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ACE6" w14:textId="77777777" w:rsidR="00D709D9" w:rsidRPr="00D709D9" w:rsidRDefault="00D709D9" w:rsidP="00D709D9">
      <w:pPr>
        <w:spacing w:before="360" w:after="0"/>
        <w:jc w:val="center"/>
        <w:rPr>
          <w:rFonts w:eastAsia="Times New Roman" w:cs="Times New Roman"/>
          <w:szCs w:val="24"/>
        </w:rPr>
      </w:pPr>
      <w:r w:rsidRPr="00D709D9">
        <w:rPr>
          <w:rFonts w:eastAsia="Times New Roman" w:cs="Times New Roman"/>
          <w:caps/>
          <w:noProof/>
          <w:szCs w:val="24"/>
          <w:lang w:eastAsia="en-AU"/>
        </w:rPr>
        <w:drawing>
          <wp:inline distT="0" distB="0" distL="0" distR="0" wp14:anchorId="08C0ADE3" wp14:editId="08C0ADE4">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08C0ACE8" w14:textId="2EBAA8C8" w:rsidR="00D709D9" w:rsidRPr="00E7542D" w:rsidRDefault="00D709D9" w:rsidP="00E7542D">
      <w:pPr>
        <w:pStyle w:val="Title"/>
        <w:spacing w:before="2000"/>
        <w:ind w:left="1134" w:right="1513"/>
      </w:pPr>
      <w:r w:rsidRPr="00E7542D">
        <w:t>Australian Gov</w:t>
      </w:r>
      <w:bookmarkStart w:id="0" w:name="_GoBack"/>
      <w:bookmarkEnd w:id="0"/>
      <w:r w:rsidRPr="00E7542D">
        <w:t>ernment response to the Senate</w:t>
      </w:r>
      <w:r w:rsidR="00512CE2" w:rsidRPr="00E7542D">
        <w:t xml:space="preserve"> </w:t>
      </w:r>
      <w:r w:rsidRPr="00E7542D">
        <w:t>Community Affairs References Committee report:</w:t>
      </w:r>
      <w:r w:rsidR="00E7542D" w:rsidRPr="00E7542D">
        <w:t xml:space="preserve"> </w:t>
      </w:r>
      <w:r w:rsidR="00512CE2" w:rsidRPr="00E7542D">
        <w:t>Value and affordability of private health insurance and out</w:t>
      </w:r>
      <w:r w:rsidR="003D03B3" w:rsidRPr="00E7542D">
        <w:t>-</w:t>
      </w:r>
      <w:r w:rsidR="00512CE2" w:rsidRPr="00E7542D">
        <w:t>of</w:t>
      </w:r>
      <w:r w:rsidR="003D03B3" w:rsidRPr="00E7542D">
        <w:t>-</w:t>
      </w:r>
      <w:r w:rsidR="00512CE2" w:rsidRPr="00E7542D">
        <w:t>pocket medical costs</w:t>
      </w:r>
    </w:p>
    <w:p w14:paraId="08C0ACF2" w14:textId="2E85D93B" w:rsidR="00642869" w:rsidRPr="00E7542D" w:rsidRDefault="003C52D9" w:rsidP="00E7542D">
      <w:pPr>
        <w:spacing w:before="6000"/>
      </w:pPr>
      <w:r w:rsidRPr="00E7542D">
        <w:t>December</w:t>
      </w:r>
      <w:r w:rsidR="00C57F07" w:rsidRPr="00E7542D">
        <w:t xml:space="preserve"> </w:t>
      </w:r>
      <w:r w:rsidR="00642869" w:rsidRPr="00E7542D">
        <w:t>2018</w:t>
      </w:r>
    </w:p>
    <w:p w14:paraId="08C0ACF5" w14:textId="77777777" w:rsidR="00D709D9" w:rsidRPr="00D709D9" w:rsidRDefault="00D709D9" w:rsidP="00E7542D">
      <w:pPr>
        <w:pStyle w:val="Heading1"/>
        <w:rPr>
          <w:rFonts w:eastAsia="Times New Roman"/>
          <w:b w:val="0"/>
        </w:rPr>
      </w:pPr>
      <w:r w:rsidRPr="00D709D9">
        <w:rPr>
          <w:rFonts w:eastAsia="Times New Roman"/>
        </w:rPr>
        <w:lastRenderedPageBreak/>
        <w:t>Introduction</w:t>
      </w:r>
    </w:p>
    <w:p w14:paraId="08C0ACF7" w14:textId="3F7C7BFD" w:rsidR="002E70DB" w:rsidRPr="003E7659" w:rsidRDefault="00D709D9" w:rsidP="00911C5A">
      <w:pPr>
        <w:rPr>
          <w:rFonts w:eastAsia="Calibri" w:cs="Times New Roman"/>
          <w:szCs w:val="24"/>
          <w:lang w:eastAsia="en-AU"/>
        </w:rPr>
      </w:pPr>
      <w:r w:rsidRPr="003E7659">
        <w:rPr>
          <w:rFonts w:eastAsia="Calibri" w:cs="Times New Roman"/>
          <w:szCs w:val="24"/>
          <w:lang w:eastAsia="en-AU"/>
        </w:rPr>
        <w:t xml:space="preserve">The </w:t>
      </w:r>
      <w:r w:rsidR="00E87439" w:rsidRPr="003E7659">
        <w:rPr>
          <w:rFonts w:eastAsia="Calibri" w:cs="Times New Roman"/>
          <w:szCs w:val="24"/>
          <w:lang w:eastAsia="en-AU"/>
        </w:rPr>
        <w:t>Australian Government</w:t>
      </w:r>
      <w:r w:rsidR="003E7659" w:rsidRPr="003E7659">
        <w:rPr>
          <w:rFonts w:eastAsia="Calibri" w:cs="Times New Roman"/>
          <w:szCs w:val="24"/>
          <w:lang w:eastAsia="en-AU"/>
        </w:rPr>
        <w:t xml:space="preserve"> </w:t>
      </w:r>
      <w:r w:rsidR="00512CE2" w:rsidRPr="003E7659">
        <w:rPr>
          <w:rFonts w:eastAsia="Calibri" w:cs="Times New Roman"/>
          <w:szCs w:val="24"/>
          <w:lang w:eastAsia="en-AU"/>
        </w:rPr>
        <w:t xml:space="preserve">welcomes the </w:t>
      </w:r>
      <w:r w:rsidR="00BF0893">
        <w:rPr>
          <w:rFonts w:eastAsia="Calibri" w:cs="Times New Roman"/>
          <w:szCs w:val="24"/>
          <w:lang w:eastAsia="en-AU"/>
        </w:rPr>
        <w:t xml:space="preserve">opportunity to respond to the findings and recommendations of the </w:t>
      </w:r>
      <w:r w:rsidR="00512CE2" w:rsidRPr="003E7659">
        <w:rPr>
          <w:rFonts w:eastAsia="Calibri" w:cs="Times New Roman"/>
          <w:szCs w:val="24"/>
          <w:lang w:eastAsia="en-AU"/>
        </w:rPr>
        <w:t>Senate Community Affairs References Committee (the Committee) report</w:t>
      </w:r>
      <w:r w:rsidR="002E70DB" w:rsidRPr="003E7659">
        <w:rPr>
          <w:rFonts w:eastAsia="Calibri" w:cs="Times New Roman"/>
          <w:szCs w:val="24"/>
          <w:lang w:eastAsia="en-AU"/>
        </w:rPr>
        <w:t xml:space="preserve"> on the </w:t>
      </w:r>
      <w:r w:rsidR="0085289E">
        <w:rPr>
          <w:rFonts w:eastAsia="Calibri" w:cs="Times New Roman"/>
          <w:i/>
          <w:szCs w:val="24"/>
          <w:lang w:eastAsia="en-AU"/>
        </w:rPr>
        <w:t>V</w:t>
      </w:r>
      <w:r w:rsidR="002E70DB" w:rsidRPr="00E740F6">
        <w:rPr>
          <w:rFonts w:eastAsia="Calibri" w:cs="Times New Roman"/>
          <w:i/>
          <w:szCs w:val="24"/>
          <w:lang w:eastAsia="en-AU"/>
        </w:rPr>
        <w:t>alue and affordability of priv</w:t>
      </w:r>
      <w:r w:rsidR="00AA5836" w:rsidRPr="00E740F6">
        <w:rPr>
          <w:rFonts w:eastAsia="Calibri" w:cs="Times New Roman"/>
          <w:i/>
          <w:szCs w:val="24"/>
          <w:lang w:eastAsia="en-AU"/>
        </w:rPr>
        <w:t>ate health insurance and out</w:t>
      </w:r>
      <w:r w:rsidR="00B25C4F">
        <w:rPr>
          <w:rFonts w:eastAsia="Calibri" w:cs="Times New Roman"/>
          <w:i/>
          <w:szCs w:val="24"/>
          <w:lang w:eastAsia="en-AU"/>
        </w:rPr>
        <w:t>-</w:t>
      </w:r>
      <w:r w:rsidR="00AA5836" w:rsidRPr="00E740F6">
        <w:rPr>
          <w:rFonts w:eastAsia="Calibri" w:cs="Times New Roman"/>
          <w:i/>
          <w:szCs w:val="24"/>
          <w:lang w:eastAsia="en-AU"/>
        </w:rPr>
        <w:t>of</w:t>
      </w:r>
      <w:r w:rsidR="00B25C4F">
        <w:rPr>
          <w:rFonts w:eastAsia="Calibri" w:cs="Times New Roman"/>
          <w:i/>
          <w:szCs w:val="24"/>
          <w:lang w:eastAsia="en-AU"/>
        </w:rPr>
        <w:t>-</w:t>
      </w:r>
      <w:r w:rsidR="002E70DB" w:rsidRPr="00E740F6">
        <w:rPr>
          <w:rFonts w:eastAsia="Calibri" w:cs="Times New Roman"/>
          <w:i/>
          <w:szCs w:val="24"/>
          <w:lang w:eastAsia="en-AU"/>
        </w:rPr>
        <w:t>pocket medical costs</w:t>
      </w:r>
      <w:r w:rsidR="006A3417" w:rsidRPr="00E1505A">
        <w:rPr>
          <w:rFonts w:eastAsia="Calibri" w:cs="Times New Roman"/>
          <w:i/>
          <w:szCs w:val="24"/>
          <w:lang w:eastAsia="en-AU"/>
        </w:rPr>
        <w:t xml:space="preserve"> </w:t>
      </w:r>
      <w:r w:rsidR="006A3417">
        <w:rPr>
          <w:rFonts w:eastAsia="Calibri" w:cs="Times New Roman"/>
          <w:szCs w:val="24"/>
          <w:lang w:eastAsia="en-AU"/>
        </w:rPr>
        <w:t xml:space="preserve">(the </w:t>
      </w:r>
      <w:r w:rsidR="00E1505A">
        <w:rPr>
          <w:rFonts w:eastAsia="Calibri" w:cs="Times New Roman"/>
          <w:szCs w:val="24"/>
          <w:lang w:eastAsia="en-AU"/>
        </w:rPr>
        <w:t>R</w:t>
      </w:r>
      <w:r w:rsidR="006A3417">
        <w:rPr>
          <w:rFonts w:eastAsia="Calibri" w:cs="Times New Roman"/>
          <w:szCs w:val="24"/>
          <w:lang w:eastAsia="en-AU"/>
        </w:rPr>
        <w:t>eport)</w:t>
      </w:r>
      <w:r w:rsidR="002E70DB" w:rsidRPr="003E7659">
        <w:rPr>
          <w:rFonts w:eastAsia="Calibri" w:cs="Times New Roman"/>
          <w:szCs w:val="24"/>
          <w:lang w:eastAsia="en-AU"/>
        </w:rPr>
        <w:t>.</w:t>
      </w:r>
    </w:p>
    <w:p w14:paraId="08C0ACF9" w14:textId="2059FAE5" w:rsidR="001E0E8B" w:rsidRPr="00E7542D" w:rsidRDefault="00DC12AE" w:rsidP="00E7542D">
      <w:pPr>
        <w:pStyle w:val="ListParagraph"/>
        <w:numPr>
          <w:ilvl w:val="0"/>
          <w:numId w:val="15"/>
        </w:numPr>
      </w:pPr>
      <w:r w:rsidRPr="00E7542D">
        <w:rPr>
          <w:rFonts w:eastAsia="Calibri"/>
          <w:lang w:eastAsia="en-AU"/>
        </w:rPr>
        <w:t>The Government is committed to affordable and sustai</w:t>
      </w:r>
      <w:r w:rsidR="003E7659" w:rsidRPr="00E7542D">
        <w:rPr>
          <w:rFonts w:eastAsia="Calibri"/>
          <w:lang w:eastAsia="en-AU"/>
        </w:rPr>
        <w:t xml:space="preserve">nable private health insurance. </w:t>
      </w:r>
      <w:r w:rsidR="00C57F07" w:rsidRPr="00E7542D">
        <w:rPr>
          <w:rFonts w:eastAsia="Calibri"/>
          <w:lang w:eastAsia="en-AU"/>
        </w:rPr>
        <w:t xml:space="preserve"> </w:t>
      </w:r>
      <w:r w:rsidR="001E0E8B" w:rsidRPr="00E7542D">
        <w:rPr>
          <w:rFonts w:eastAsia="Calibri"/>
          <w:lang w:eastAsia="en-AU"/>
        </w:rPr>
        <w:t>On 13</w:t>
      </w:r>
      <w:r w:rsidR="003E7659" w:rsidRPr="00E7542D">
        <w:rPr>
          <w:rFonts w:eastAsia="Calibri"/>
          <w:lang w:eastAsia="en-AU"/>
        </w:rPr>
        <w:t> </w:t>
      </w:r>
      <w:r w:rsidR="001E0E8B" w:rsidRPr="00E7542D">
        <w:rPr>
          <w:rFonts w:eastAsia="Calibri"/>
          <w:lang w:eastAsia="en-AU"/>
        </w:rPr>
        <w:t xml:space="preserve">October 2017, </w:t>
      </w:r>
      <w:r w:rsidR="0085289E">
        <w:t>the Government announced a</w:t>
      </w:r>
      <w:r w:rsidR="001E0E8B" w:rsidRPr="003E7659">
        <w:t xml:space="preserve"> wide ranging package of reforms to private health </w:t>
      </w:r>
      <w:r w:rsidR="001E0E8B" w:rsidRPr="00E7542D">
        <w:t xml:space="preserve">insurance to make it simpler and more affordable for Australians. </w:t>
      </w:r>
      <w:r w:rsidR="00C57F07" w:rsidRPr="00E7542D">
        <w:t xml:space="preserve"> </w:t>
      </w:r>
      <w:r w:rsidR="001E0E8B" w:rsidRPr="00E7542D">
        <w:t>Reforms include:</w:t>
      </w:r>
    </w:p>
    <w:p w14:paraId="08C0ACFA" w14:textId="6BDB9DF9" w:rsidR="001E0E8B" w:rsidRPr="00E7542D" w:rsidRDefault="00C57F07" w:rsidP="00E7542D">
      <w:pPr>
        <w:pStyle w:val="ListParagraph"/>
        <w:numPr>
          <w:ilvl w:val="0"/>
          <w:numId w:val="15"/>
        </w:numPr>
      </w:pPr>
      <w:r w:rsidRPr="00E7542D">
        <w:t>i</w:t>
      </w:r>
      <w:r w:rsidR="00707561" w:rsidRPr="00E7542D">
        <w:t xml:space="preserve">ntroducing a </w:t>
      </w:r>
      <w:r w:rsidR="001E0E8B" w:rsidRPr="00E7542D">
        <w:t xml:space="preserve">new system for categorising health insurance products to allow consumers to more readily compare and choose products (Gold/Silver/Bronze/Basic product </w:t>
      </w:r>
      <w:r w:rsidR="00E60A75" w:rsidRPr="00E7542D">
        <w:t>tiers</w:t>
      </w:r>
      <w:r w:rsidR="001E0E8B" w:rsidRPr="00E7542D">
        <w:t>);</w:t>
      </w:r>
    </w:p>
    <w:p w14:paraId="08C0ACFB" w14:textId="2C25D8B9" w:rsidR="001E0E8B" w:rsidRPr="00E7542D" w:rsidRDefault="00C57F07" w:rsidP="00E7542D">
      <w:pPr>
        <w:pStyle w:val="ListParagraph"/>
        <w:numPr>
          <w:ilvl w:val="0"/>
          <w:numId w:val="15"/>
        </w:numPr>
      </w:pPr>
      <w:r w:rsidRPr="00E7542D">
        <w:t>e</w:t>
      </w:r>
      <w:r w:rsidR="001E0E8B" w:rsidRPr="00E7542D">
        <w:t>nhancing mental health support to improve and enable earlier patient access to mental health services;</w:t>
      </w:r>
    </w:p>
    <w:p w14:paraId="08C0ACFC" w14:textId="0F23725C" w:rsidR="00D627BF" w:rsidRPr="00E7542D" w:rsidRDefault="00C57F07" w:rsidP="00E7542D">
      <w:pPr>
        <w:pStyle w:val="ListParagraph"/>
        <w:numPr>
          <w:ilvl w:val="0"/>
          <w:numId w:val="15"/>
        </w:numPr>
      </w:pPr>
      <w:r w:rsidRPr="00E7542D">
        <w:t>e</w:t>
      </w:r>
      <w:r w:rsidR="001E0E8B" w:rsidRPr="00E7542D">
        <w:t>stablishing a working group on improved models of care</w:t>
      </w:r>
      <w:r w:rsidRPr="00E7542D">
        <w:t>,</w:t>
      </w:r>
      <w:r w:rsidR="00BC1FDE" w:rsidRPr="00E7542D">
        <w:t xml:space="preserve"> </w:t>
      </w:r>
      <w:r w:rsidR="001E0E8B" w:rsidRPr="00E7542D">
        <w:t xml:space="preserve">including possible options </w:t>
      </w:r>
      <w:r w:rsidR="00D627BF" w:rsidRPr="00E7542D">
        <w:t>to improve the regulation of mental health and rehabilitation services funded by private health insurance;</w:t>
      </w:r>
    </w:p>
    <w:p w14:paraId="08C0ACFD" w14:textId="503C1C0F" w:rsidR="001E0E8B" w:rsidRPr="00E7542D" w:rsidRDefault="00C57F07" w:rsidP="00E7542D">
      <w:pPr>
        <w:pStyle w:val="ListParagraph"/>
        <w:numPr>
          <w:ilvl w:val="0"/>
          <w:numId w:val="15"/>
        </w:numPr>
      </w:pPr>
      <w:r w:rsidRPr="00E7542D">
        <w:t>i</w:t>
      </w:r>
      <w:r w:rsidR="001E0E8B" w:rsidRPr="00E7542D">
        <w:t xml:space="preserve">ntroducing standard clinical </w:t>
      </w:r>
      <w:r w:rsidR="00050429" w:rsidRPr="00E7542D">
        <w:t>categories for hospital treatment</w:t>
      </w:r>
      <w:r w:rsidR="001E0E8B" w:rsidRPr="00E7542D">
        <w:t>;</w:t>
      </w:r>
    </w:p>
    <w:p w14:paraId="08C0ACFE" w14:textId="450773A8" w:rsidR="001E0E8B" w:rsidRPr="00E7542D" w:rsidRDefault="00C57F07" w:rsidP="00E7542D">
      <w:pPr>
        <w:pStyle w:val="ListParagraph"/>
        <w:numPr>
          <w:ilvl w:val="0"/>
          <w:numId w:val="15"/>
        </w:numPr>
      </w:pPr>
      <w:r w:rsidRPr="00E7542D">
        <w:t>i</w:t>
      </w:r>
      <w:r w:rsidR="001E0E8B" w:rsidRPr="00E7542D">
        <w:t>mprov</w:t>
      </w:r>
      <w:r w:rsidR="00B26DE3" w:rsidRPr="00E7542D">
        <w:t>ed</w:t>
      </w:r>
      <w:r w:rsidR="001E0E8B" w:rsidRPr="00E7542D">
        <w:t xml:space="preserve"> access to travel and accommodation benefits for regional and rural areas;</w:t>
      </w:r>
    </w:p>
    <w:p w14:paraId="08C0ACFF" w14:textId="171B273F" w:rsidR="001E0E8B" w:rsidRPr="00E7542D" w:rsidRDefault="00C57F07" w:rsidP="00E7542D">
      <w:pPr>
        <w:pStyle w:val="ListParagraph"/>
        <w:numPr>
          <w:ilvl w:val="0"/>
          <w:numId w:val="15"/>
        </w:numPr>
      </w:pPr>
      <w:r w:rsidRPr="00E7542D">
        <w:t>s</w:t>
      </w:r>
      <w:r w:rsidR="001E0E8B" w:rsidRPr="00E7542D">
        <w:t xml:space="preserve">trengthening the powers of the Private Health Insurance Ombudsman </w:t>
      </w:r>
      <w:r w:rsidR="003E52C9" w:rsidRPr="00E7542D">
        <w:t xml:space="preserve">(PHIO) </w:t>
      </w:r>
      <w:r w:rsidR="001E0E8B" w:rsidRPr="00E7542D">
        <w:t>to investigate consumer concerns;</w:t>
      </w:r>
    </w:p>
    <w:p w14:paraId="08C0AD00" w14:textId="1AAE45B5" w:rsidR="001E0E8B" w:rsidRPr="00E7542D" w:rsidRDefault="00C57F07" w:rsidP="00E7542D">
      <w:pPr>
        <w:pStyle w:val="ListParagraph"/>
        <w:numPr>
          <w:ilvl w:val="0"/>
          <w:numId w:val="15"/>
        </w:numPr>
      </w:pPr>
      <w:r w:rsidRPr="00E7542D">
        <w:t>e</w:t>
      </w:r>
      <w:r w:rsidR="001E0E8B" w:rsidRPr="00E7542D">
        <w:t>stablishing an expert committee to consider best practice models for improving transparency for patients</w:t>
      </w:r>
      <w:r w:rsidR="00AA5836" w:rsidRPr="00E7542D">
        <w:t>’</w:t>
      </w:r>
      <w:r w:rsidR="001E0E8B" w:rsidRPr="00E7542D">
        <w:t xml:space="preserve"> out-of-pocket costs;</w:t>
      </w:r>
    </w:p>
    <w:p w14:paraId="08C0AD01" w14:textId="38081DA0" w:rsidR="001E0E8B" w:rsidRPr="00E7542D" w:rsidRDefault="00C57F07" w:rsidP="00E7542D">
      <w:pPr>
        <w:pStyle w:val="ListParagraph"/>
        <w:numPr>
          <w:ilvl w:val="0"/>
          <w:numId w:val="15"/>
        </w:numPr>
      </w:pPr>
      <w:r w:rsidRPr="00E7542D">
        <w:t>i</w:t>
      </w:r>
      <w:r w:rsidR="002B1DE3" w:rsidRPr="00E7542D">
        <w:t>ntroducing p</w:t>
      </w:r>
      <w:r w:rsidR="00BC1FDE" w:rsidRPr="00E7542D">
        <w:t>rivate health insurance</w:t>
      </w:r>
      <w:r w:rsidR="001E0E8B" w:rsidRPr="00E7542D">
        <w:t xml:space="preserve"> information reforms, including upgrading the Government’s website (privatehealth.gov.au) and the development of a </w:t>
      </w:r>
      <w:r w:rsidR="00532C58" w:rsidRPr="00E7542D">
        <w:t xml:space="preserve">Private Health Information Statement </w:t>
      </w:r>
      <w:r w:rsidR="001E0E8B" w:rsidRPr="00E7542D">
        <w:t>for consumers;</w:t>
      </w:r>
    </w:p>
    <w:p w14:paraId="08C0AD02" w14:textId="616EB7A5" w:rsidR="001E0E8B" w:rsidRPr="00E7542D" w:rsidRDefault="00C57F07" w:rsidP="00E7542D">
      <w:pPr>
        <w:pStyle w:val="ListParagraph"/>
        <w:numPr>
          <w:ilvl w:val="0"/>
          <w:numId w:val="15"/>
        </w:numPr>
      </w:pPr>
      <w:r w:rsidRPr="00E7542D">
        <w:t>a</w:t>
      </w:r>
      <w:r w:rsidR="001E0E8B" w:rsidRPr="00E7542D">
        <w:t>llowing insurers to offer discounted private hospital cover to people aged 18 to 29;</w:t>
      </w:r>
    </w:p>
    <w:p w14:paraId="08C0AD03" w14:textId="474132FF" w:rsidR="001E0E8B" w:rsidRPr="00E7542D" w:rsidRDefault="00C57F07" w:rsidP="00E7542D">
      <w:pPr>
        <w:pStyle w:val="ListParagraph"/>
        <w:numPr>
          <w:ilvl w:val="0"/>
          <w:numId w:val="15"/>
        </w:numPr>
      </w:pPr>
      <w:r w:rsidRPr="00E7542D">
        <w:t>i</w:t>
      </w:r>
      <w:r w:rsidR="00317B22" w:rsidRPr="00E7542D">
        <w:t xml:space="preserve">ntroducing </w:t>
      </w:r>
      <w:r w:rsidR="001E0E8B" w:rsidRPr="00E7542D">
        <w:t>Prostheses List benefit reductions and an agreement between the Government and the Medical Technology Association of Australia to provide increased certainty around future prostheses reimbursement;</w:t>
      </w:r>
    </w:p>
    <w:p w14:paraId="08C0AD04" w14:textId="3CA07082" w:rsidR="001E0E8B" w:rsidRPr="00E7542D" w:rsidRDefault="00C57F07" w:rsidP="00E7542D">
      <w:pPr>
        <w:pStyle w:val="ListParagraph"/>
        <w:numPr>
          <w:ilvl w:val="0"/>
          <w:numId w:val="15"/>
        </w:numPr>
      </w:pPr>
      <w:r w:rsidRPr="00E7542D">
        <w:t>i</w:t>
      </w:r>
      <w:r w:rsidR="001E0E8B" w:rsidRPr="00E7542D">
        <w:t xml:space="preserve">ncreasing </w:t>
      </w:r>
      <w:r w:rsidR="00703742" w:rsidRPr="00E7542D">
        <w:t xml:space="preserve">voluntary </w:t>
      </w:r>
      <w:r w:rsidR="001E0E8B" w:rsidRPr="00E7542D">
        <w:t>maximum excess levels;</w:t>
      </w:r>
    </w:p>
    <w:p w14:paraId="08C0AD05" w14:textId="6BAA7609" w:rsidR="001E0E8B" w:rsidRPr="00E7542D" w:rsidRDefault="00C57F07" w:rsidP="00E7542D">
      <w:pPr>
        <w:pStyle w:val="ListParagraph"/>
        <w:numPr>
          <w:ilvl w:val="0"/>
          <w:numId w:val="15"/>
        </w:numPr>
      </w:pPr>
      <w:r w:rsidRPr="00E7542D">
        <w:t>r</w:t>
      </w:r>
      <w:r w:rsidR="001E0E8B" w:rsidRPr="00E7542D">
        <w:t xml:space="preserve">emoving coverage for some natural therapies; </w:t>
      </w:r>
      <w:r w:rsidR="004B2C30" w:rsidRPr="00E7542D">
        <w:t>and</w:t>
      </w:r>
    </w:p>
    <w:p w14:paraId="08C0AD06" w14:textId="526A5361" w:rsidR="004B2C30" w:rsidRPr="00E7542D" w:rsidRDefault="00C57F07" w:rsidP="00E7542D">
      <w:pPr>
        <w:pStyle w:val="ListParagraph"/>
        <w:numPr>
          <w:ilvl w:val="0"/>
          <w:numId w:val="15"/>
        </w:numPr>
      </w:pPr>
      <w:proofErr w:type="gramStart"/>
      <w:r w:rsidRPr="00E7542D">
        <w:t>i</w:t>
      </w:r>
      <w:r w:rsidR="00602426" w:rsidRPr="00E7542D">
        <w:t>ntroducing</w:t>
      </w:r>
      <w:proofErr w:type="gramEnd"/>
      <w:r w:rsidR="00E60A75" w:rsidRPr="00E7542D">
        <w:t xml:space="preserve"> hospital</w:t>
      </w:r>
      <w:r w:rsidR="00602426" w:rsidRPr="00E7542D">
        <w:t xml:space="preserve"> s</w:t>
      </w:r>
      <w:r w:rsidR="001E0E8B" w:rsidRPr="00E7542D">
        <w:t>econd tier benefits administrative reforms</w:t>
      </w:r>
      <w:r w:rsidR="004B2C30" w:rsidRPr="00E7542D">
        <w:t>.</w:t>
      </w:r>
    </w:p>
    <w:p w14:paraId="08C0AD08" w14:textId="645D064C" w:rsidR="001E0E8B" w:rsidRDefault="001E0E8B" w:rsidP="00911C5A">
      <w:pPr>
        <w:widowControl w:val="0"/>
        <w:rPr>
          <w:rFonts w:cs="Times New Roman"/>
          <w:szCs w:val="24"/>
        </w:rPr>
      </w:pPr>
      <w:r w:rsidRPr="003E7659">
        <w:rPr>
          <w:rFonts w:cs="Times New Roman"/>
          <w:szCs w:val="24"/>
        </w:rPr>
        <w:t>The Government will also continue to support a</w:t>
      </w:r>
      <w:r w:rsidR="0085289E">
        <w:rPr>
          <w:rFonts w:cs="Times New Roman"/>
          <w:szCs w:val="24"/>
        </w:rPr>
        <w:t>ffordable health insurance through</w:t>
      </w:r>
      <w:r w:rsidRPr="003E7659">
        <w:rPr>
          <w:rFonts w:cs="Times New Roman"/>
          <w:szCs w:val="24"/>
        </w:rPr>
        <w:t xml:space="preserve"> its private health insurance rebate, currently worth over $6 billion a year.</w:t>
      </w:r>
    </w:p>
    <w:p w14:paraId="08C0AD0A" w14:textId="6AE80BE2" w:rsidR="006A3417" w:rsidRDefault="00883EA9" w:rsidP="00911C5A">
      <w:pPr>
        <w:widowControl w:val="0"/>
        <w:rPr>
          <w:rFonts w:cs="Times New Roman"/>
          <w:szCs w:val="24"/>
        </w:rPr>
      </w:pPr>
      <w:r>
        <w:rPr>
          <w:rFonts w:cs="Times New Roman"/>
          <w:szCs w:val="24"/>
        </w:rPr>
        <w:t xml:space="preserve">Further information on the private health insurance reforms is available on the </w:t>
      </w:r>
      <w:r w:rsidR="00AA5836">
        <w:rPr>
          <w:rFonts w:cs="Times New Roman"/>
          <w:szCs w:val="24"/>
        </w:rPr>
        <w:t xml:space="preserve">Australian Government </w:t>
      </w:r>
      <w:r w:rsidR="008A0848">
        <w:rPr>
          <w:rFonts w:cs="Times New Roman"/>
          <w:szCs w:val="24"/>
        </w:rPr>
        <w:t xml:space="preserve">Department of Health </w:t>
      </w:r>
      <w:r>
        <w:rPr>
          <w:rFonts w:cs="Times New Roman"/>
          <w:szCs w:val="24"/>
        </w:rPr>
        <w:t xml:space="preserve">website </w:t>
      </w:r>
      <w:r w:rsidR="0096545C">
        <w:rPr>
          <w:rFonts w:cs="Times New Roman"/>
          <w:szCs w:val="24"/>
        </w:rPr>
        <w:t xml:space="preserve">on the </w:t>
      </w:r>
      <w:hyperlink r:id="rId12" w:history="1">
        <w:r w:rsidR="0096545C" w:rsidRPr="0096545C">
          <w:rPr>
            <w:rStyle w:val="Hyperlink"/>
            <w:rFonts w:cs="Times New Roman"/>
            <w:szCs w:val="24"/>
          </w:rPr>
          <w:t xml:space="preserve">Private Health Insurance </w:t>
        </w:r>
        <w:r w:rsidR="002E1F05">
          <w:rPr>
            <w:rStyle w:val="Hyperlink"/>
            <w:rFonts w:cs="Times New Roman"/>
            <w:szCs w:val="24"/>
          </w:rPr>
          <w:t xml:space="preserve">2017 </w:t>
        </w:r>
        <w:r w:rsidR="0096545C" w:rsidRPr="0096545C">
          <w:rPr>
            <w:rStyle w:val="Hyperlink"/>
            <w:rFonts w:cs="Times New Roman"/>
            <w:szCs w:val="24"/>
          </w:rPr>
          <w:t>Reforms page</w:t>
        </w:r>
      </w:hyperlink>
      <w:r w:rsidR="0096545C">
        <w:rPr>
          <w:rFonts w:cs="Times New Roman"/>
          <w:szCs w:val="24"/>
        </w:rPr>
        <w:t>.</w:t>
      </w:r>
    </w:p>
    <w:p w14:paraId="55E0D916" w14:textId="77777777" w:rsidR="00BF0F45" w:rsidRDefault="004A2680" w:rsidP="00911C5A">
      <w:pPr>
        <w:rPr>
          <w:rFonts w:eastAsia="Times New Roman" w:cs="Times New Roman"/>
          <w:szCs w:val="24"/>
          <w:lang w:eastAsia="en-AU"/>
        </w:rPr>
      </w:pPr>
      <w:r w:rsidRPr="00C63F64">
        <w:rPr>
          <w:rFonts w:eastAsia="Times New Roman" w:cs="Times New Roman"/>
          <w:szCs w:val="24"/>
          <w:lang w:eastAsia="en-AU"/>
        </w:rPr>
        <w:t>Implementation of these reforms requires amendments to primary and subordinate private health insurance</w:t>
      </w:r>
      <w:r w:rsidR="0085289E">
        <w:rPr>
          <w:rFonts w:eastAsia="Times New Roman" w:cs="Times New Roman"/>
          <w:szCs w:val="24"/>
          <w:lang w:eastAsia="en-AU"/>
        </w:rPr>
        <w:t xml:space="preserve"> legislation. </w:t>
      </w:r>
    </w:p>
    <w:p w14:paraId="08C0AD0C" w14:textId="20BA323E" w:rsidR="004A2680" w:rsidRPr="004A2680" w:rsidRDefault="004A2680" w:rsidP="00911C5A">
      <w:pPr>
        <w:rPr>
          <w:rFonts w:eastAsia="Times New Roman" w:cs="Times New Roman"/>
          <w:szCs w:val="24"/>
          <w:highlight w:val="yellow"/>
          <w:lang w:eastAsia="en-AU"/>
        </w:rPr>
      </w:pPr>
      <w:r w:rsidRPr="00C63F64">
        <w:rPr>
          <w:rFonts w:eastAsia="Times New Roman" w:cs="Times New Roman"/>
          <w:szCs w:val="24"/>
          <w:lang w:eastAsia="en-AU"/>
        </w:rPr>
        <w:t xml:space="preserve">The </w:t>
      </w:r>
      <w:r w:rsidRPr="00BF0F45">
        <w:rPr>
          <w:rFonts w:eastAsia="Times New Roman" w:cs="Times New Roman"/>
          <w:i/>
          <w:szCs w:val="24"/>
          <w:lang w:eastAsia="en-AU"/>
        </w:rPr>
        <w:t>Private Health Insur</w:t>
      </w:r>
      <w:r w:rsidR="00BF0F45" w:rsidRPr="00BF0F45">
        <w:rPr>
          <w:rFonts w:eastAsia="Times New Roman" w:cs="Times New Roman"/>
          <w:i/>
          <w:szCs w:val="24"/>
          <w:lang w:eastAsia="en-AU"/>
        </w:rPr>
        <w:t xml:space="preserve">ance Legislation Amendment Act </w:t>
      </w:r>
      <w:r w:rsidRPr="00BF0F45">
        <w:rPr>
          <w:rFonts w:eastAsia="Times New Roman" w:cs="Times New Roman"/>
          <w:i/>
          <w:szCs w:val="24"/>
          <w:lang w:eastAsia="en-AU"/>
        </w:rPr>
        <w:t>2018</w:t>
      </w:r>
      <w:r w:rsidRPr="00C63F64">
        <w:rPr>
          <w:rFonts w:eastAsia="Times New Roman" w:cs="Times New Roman"/>
          <w:szCs w:val="24"/>
          <w:lang w:eastAsia="en-AU"/>
        </w:rPr>
        <w:t xml:space="preserve"> </w:t>
      </w:r>
      <w:r w:rsidR="00BF0F45">
        <w:rPr>
          <w:rFonts w:eastAsia="Times New Roman" w:cs="Times New Roman"/>
          <w:szCs w:val="24"/>
          <w:lang w:eastAsia="en-AU"/>
        </w:rPr>
        <w:t xml:space="preserve">will amend the </w:t>
      </w:r>
      <w:r w:rsidR="00BF0F45" w:rsidRPr="00BF0F45">
        <w:rPr>
          <w:rFonts w:eastAsia="Times New Roman" w:cs="Times New Roman"/>
          <w:i/>
          <w:szCs w:val="24"/>
          <w:lang w:eastAsia="en-AU"/>
        </w:rPr>
        <w:t>Private Health Insurance Act 2007</w:t>
      </w:r>
      <w:r w:rsidR="00BF0F45">
        <w:rPr>
          <w:rFonts w:eastAsia="Times New Roman" w:cs="Times New Roman"/>
          <w:szCs w:val="24"/>
          <w:lang w:eastAsia="en-AU"/>
        </w:rPr>
        <w:t xml:space="preserve"> to implement reforms</w:t>
      </w:r>
      <w:r w:rsidRPr="00C63F64">
        <w:rPr>
          <w:rFonts w:eastAsia="Times New Roman" w:cs="Times New Roman"/>
          <w:szCs w:val="24"/>
          <w:lang w:eastAsia="en-AU"/>
        </w:rPr>
        <w:t>.</w:t>
      </w:r>
      <w:r w:rsidR="00C57F07">
        <w:rPr>
          <w:rFonts w:eastAsia="Times New Roman" w:cs="Times New Roman"/>
          <w:szCs w:val="24"/>
          <w:lang w:eastAsia="en-AU"/>
        </w:rPr>
        <w:t xml:space="preserve"> </w:t>
      </w:r>
      <w:r w:rsidR="00C63F64" w:rsidRPr="00C63F64">
        <w:rPr>
          <w:rFonts w:eastAsia="Times New Roman" w:cs="Times New Roman"/>
          <w:szCs w:val="24"/>
          <w:lang w:eastAsia="en-AU"/>
        </w:rPr>
        <w:t>T</w:t>
      </w:r>
      <w:r w:rsidR="00BF0F45">
        <w:rPr>
          <w:rFonts w:eastAsia="Times New Roman" w:cs="Times New Roman"/>
          <w:szCs w:val="24"/>
          <w:lang w:eastAsia="en-AU"/>
        </w:rPr>
        <w:t>his Act</w:t>
      </w:r>
      <w:r w:rsidRPr="00C63F64">
        <w:rPr>
          <w:rFonts w:eastAsia="Times New Roman" w:cs="Times New Roman"/>
          <w:szCs w:val="24"/>
          <w:lang w:eastAsia="en-AU"/>
        </w:rPr>
        <w:t xml:space="preserve"> was the subject of </w:t>
      </w:r>
      <w:r w:rsidR="00BF0F45">
        <w:rPr>
          <w:rFonts w:eastAsia="Times New Roman" w:cs="Times New Roman"/>
          <w:szCs w:val="24"/>
          <w:lang w:eastAsia="en-AU"/>
        </w:rPr>
        <w:t xml:space="preserve">an </w:t>
      </w:r>
      <w:r w:rsidRPr="00C63F64">
        <w:rPr>
          <w:rFonts w:eastAsia="Times New Roman" w:cs="Times New Roman"/>
          <w:szCs w:val="24"/>
          <w:lang w:eastAsia="en-AU"/>
        </w:rPr>
        <w:t>inquiry by the Senate Community Affairs Legislation Committee</w:t>
      </w:r>
      <w:r w:rsidR="00BF0F45">
        <w:rPr>
          <w:rFonts w:eastAsia="Times New Roman" w:cs="Times New Roman"/>
          <w:szCs w:val="24"/>
          <w:lang w:eastAsia="en-AU"/>
        </w:rPr>
        <w:t>, and was passed by the Parliament in September 2018</w:t>
      </w:r>
      <w:r w:rsidRPr="00E60A75">
        <w:rPr>
          <w:rFonts w:eastAsia="Times New Roman" w:cs="Times New Roman"/>
          <w:szCs w:val="24"/>
          <w:lang w:eastAsia="en-AU"/>
        </w:rPr>
        <w:t>.</w:t>
      </w:r>
    </w:p>
    <w:p w14:paraId="08C0AD0E" w14:textId="7FD0BA42" w:rsidR="002754BC" w:rsidRDefault="004A2680" w:rsidP="00911C5A">
      <w:pPr>
        <w:rPr>
          <w:rFonts w:eastAsia="Times New Roman" w:cs="Times New Roman"/>
          <w:szCs w:val="24"/>
          <w:lang w:eastAsia="en-AU"/>
        </w:rPr>
      </w:pPr>
      <w:r w:rsidRPr="00C63F64">
        <w:rPr>
          <w:rFonts w:eastAsia="Times New Roman" w:cs="Times New Roman"/>
          <w:szCs w:val="24"/>
          <w:lang w:eastAsia="en-AU"/>
        </w:rPr>
        <w:t xml:space="preserve">Amendments to subordinate legislation for the reforms </w:t>
      </w:r>
      <w:r w:rsidR="00A8522B">
        <w:rPr>
          <w:rFonts w:eastAsia="Times New Roman" w:cs="Times New Roman"/>
          <w:szCs w:val="24"/>
          <w:lang w:eastAsia="en-AU"/>
        </w:rPr>
        <w:t>were made on 11 October 2018</w:t>
      </w:r>
      <w:r w:rsidR="00A70820">
        <w:rPr>
          <w:rFonts w:eastAsia="Times New Roman" w:cs="Times New Roman"/>
          <w:szCs w:val="24"/>
          <w:lang w:eastAsia="en-AU"/>
        </w:rPr>
        <w:t xml:space="preserve"> following extensive stakeholder and public consultation</w:t>
      </w:r>
      <w:r w:rsidR="00A8522B">
        <w:rPr>
          <w:rFonts w:eastAsia="Times New Roman" w:cs="Times New Roman"/>
          <w:szCs w:val="24"/>
          <w:lang w:eastAsia="en-AU"/>
        </w:rPr>
        <w:t>.</w:t>
      </w:r>
    </w:p>
    <w:p w14:paraId="08C0AD10" w14:textId="77777777" w:rsidR="002E70DB" w:rsidRPr="003E7659" w:rsidRDefault="002E70DB" w:rsidP="00911C5A">
      <w:pPr>
        <w:rPr>
          <w:rFonts w:eastAsia="Times New Roman" w:cs="Times New Roman"/>
          <w:szCs w:val="24"/>
          <w:lang w:eastAsia="en-AU"/>
        </w:rPr>
      </w:pPr>
      <w:r w:rsidRPr="003E7659">
        <w:rPr>
          <w:rFonts w:eastAsia="Times New Roman" w:cs="Times New Roman"/>
          <w:szCs w:val="24"/>
          <w:lang w:eastAsia="en-AU"/>
        </w:rPr>
        <w:t xml:space="preserve">The </w:t>
      </w:r>
      <w:r w:rsidR="005757A3" w:rsidRPr="003E7659">
        <w:rPr>
          <w:rFonts w:eastAsia="Times New Roman" w:cs="Times New Roman"/>
          <w:szCs w:val="24"/>
          <w:lang w:eastAsia="en-AU"/>
        </w:rPr>
        <w:t>Committee</w:t>
      </w:r>
      <w:r w:rsidR="005757A3">
        <w:rPr>
          <w:rFonts w:eastAsia="Times New Roman" w:cs="Times New Roman"/>
          <w:szCs w:val="24"/>
          <w:lang w:eastAsia="en-AU"/>
        </w:rPr>
        <w:t>’s</w:t>
      </w:r>
      <w:r w:rsidR="006A3417">
        <w:rPr>
          <w:rFonts w:eastAsia="Times New Roman" w:cs="Times New Roman"/>
          <w:szCs w:val="24"/>
          <w:lang w:eastAsia="en-AU"/>
        </w:rPr>
        <w:t xml:space="preserve"> </w:t>
      </w:r>
      <w:r w:rsidR="00E1505A">
        <w:rPr>
          <w:rFonts w:eastAsia="Times New Roman" w:cs="Times New Roman"/>
          <w:szCs w:val="24"/>
          <w:lang w:eastAsia="en-AU"/>
        </w:rPr>
        <w:t>R</w:t>
      </w:r>
      <w:r w:rsidR="006A3417">
        <w:rPr>
          <w:rFonts w:eastAsia="Times New Roman" w:cs="Times New Roman"/>
          <w:szCs w:val="24"/>
          <w:lang w:eastAsia="en-AU"/>
        </w:rPr>
        <w:t>eport</w:t>
      </w:r>
      <w:r w:rsidRPr="003E7659">
        <w:rPr>
          <w:rFonts w:eastAsia="Times New Roman" w:cs="Times New Roman"/>
          <w:szCs w:val="24"/>
          <w:lang w:eastAsia="en-AU"/>
        </w:rPr>
        <w:t xml:space="preserve"> is an important document and the Government thanks the Committee and the </w:t>
      </w:r>
      <w:r w:rsidR="00BA6825">
        <w:rPr>
          <w:rFonts w:eastAsia="Times New Roman" w:cs="Times New Roman"/>
          <w:szCs w:val="24"/>
          <w:lang w:eastAsia="en-AU"/>
        </w:rPr>
        <w:t>wide range of</w:t>
      </w:r>
      <w:r w:rsidR="00BA6825" w:rsidRPr="003E7659">
        <w:rPr>
          <w:rFonts w:eastAsia="Times New Roman" w:cs="Times New Roman"/>
          <w:szCs w:val="24"/>
          <w:lang w:eastAsia="en-AU"/>
        </w:rPr>
        <w:t xml:space="preserve"> </w:t>
      </w:r>
      <w:r w:rsidR="00226E34">
        <w:rPr>
          <w:rFonts w:eastAsia="Times New Roman" w:cs="Times New Roman"/>
          <w:szCs w:val="24"/>
          <w:lang w:eastAsia="en-AU"/>
        </w:rPr>
        <w:t>organisation</w:t>
      </w:r>
      <w:r w:rsidR="00CF2F54">
        <w:rPr>
          <w:rFonts w:eastAsia="Times New Roman" w:cs="Times New Roman"/>
          <w:szCs w:val="24"/>
          <w:lang w:eastAsia="en-AU"/>
        </w:rPr>
        <w:t>s</w:t>
      </w:r>
      <w:r w:rsidR="00226E34">
        <w:rPr>
          <w:rFonts w:eastAsia="Times New Roman" w:cs="Times New Roman"/>
          <w:szCs w:val="24"/>
          <w:lang w:eastAsia="en-AU"/>
        </w:rPr>
        <w:t xml:space="preserve"> and people who contributed </w:t>
      </w:r>
      <w:r w:rsidRPr="003853B3">
        <w:rPr>
          <w:rFonts w:eastAsia="Times New Roman" w:cs="Times New Roman"/>
          <w:szCs w:val="24"/>
          <w:lang w:eastAsia="en-AU"/>
        </w:rPr>
        <w:t>to</w:t>
      </w:r>
      <w:r w:rsidRPr="003E7659">
        <w:rPr>
          <w:rFonts w:eastAsia="Times New Roman" w:cs="Times New Roman"/>
          <w:szCs w:val="24"/>
          <w:lang w:eastAsia="en-AU"/>
        </w:rPr>
        <w:t xml:space="preserve"> </w:t>
      </w:r>
      <w:r w:rsidR="00BA6825" w:rsidRPr="003E7659">
        <w:rPr>
          <w:rFonts w:eastAsia="Times New Roman" w:cs="Times New Roman"/>
          <w:szCs w:val="24"/>
          <w:lang w:eastAsia="en-AU"/>
        </w:rPr>
        <w:t>th</w:t>
      </w:r>
      <w:r w:rsidR="00BA6825">
        <w:rPr>
          <w:rFonts w:eastAsia="Times New Roman" w:cs="Times New Roman"/>
          <w:szCs w:val="24"/>
          <w:lang w:eastAsia="en-AU"/>
        </w:rPr>
        <w:t>is</w:t>
      </w:r>
      <w:r w:rsidR="00BA6825" w:rsidRPr="003E7659">
        <w:rPr>
          <w:rFonts w:eastAsia="Times New Roman" w:cs="Times New Roman"/>
          <w:szCs w:val="24"/>
          <w:lang w:eastAsia="en-AU"/>
        </w:rPr>
        <w:t xml:space="preserve"> </w:t>
      </w:r>
      <w:r w:rsidR="00BA6825">
        <w:rPr>
          <w:rFonts w:eastAsia="Times New Roman" w:cs="Times New Roman"/>
          <w:szCs w:val="24"/>
          <w:lang w:eastAsia="en-AU"/>
        </w:rPr>
        <w:t>i</w:t>
      </w:r>
      <w:r w:rsidR="00BA6825" w:rsidRPr="003E7659">
        <w:rPr>
          <w:rFonts w:eastAsia="Times New Roman" w:cs="Times New Roman"/>
          <w:szCs w:val="24"/>
          <w:lang w:eastAsia="en-AU"/>
        </w:rPr>
        <w:t>nquiry</w:t>
      </w:r>
      <w:r w:rsidRPr="003E7659">
        <w:rPr>
          <w:rFonts w:eastAsia="Times New Roman" w:cs="Times New Roman"/>
          <w:szCs w:val="24"/>
          <w:lang w:eastAsia="en-AU"/>
        </w:rPr>
        <w:t>.</w:t>
      </w:r>
    </w:p>
    <w:p w14:paraId="08C0AD12" w14:textId="77777777" w:rsidR="006A3417" w:rsidRDefault="002E70DB" w:rsidP="00911C5A">
      <w:pPr>
        <w:autoSpaceDE w:val="0"/>
        <w:autoSpaceDN w:val="0"/>
        <w:adjustRightInd w:val="0"/>
        <w:rPr>
          <w:rFonts w:eastAsia="Times New Roman" w:cs="Times New Roman"/>
          <w:szCs w:val="24"/>
          <w:lang w:eastAsia="en-AU"/>
        </w:rPr>
      </w:pPr>
      <w:r w:rsidRPr="003E7659">
        <w:rPr>
          <w:rFonts w:eastAsia="Times New Roman" w:cs="Times New Roman"/>
          <w:szCs w:val="24"/>
          <w:lang w:eastAsia="en-AU"/>
        </w:rPr>
        <w:t xml:space="preserve">This response addresses the recommendations raised in the Report, and has been coordinated and prepared by the </w:t>
      </w:r>
      <w:r w:rsidR="004D0E56">
        <w:rPr>
          <w:rFonts w:eastAsia="Times New Roman" w:cs="Times New Roman"/>
          <w:szCs w:val="24"/>
          <w:lang w:eastAsia="en-AU"/>
        </w:rPr>
        <w:t>Australian Government</w:t>
      </w:r>
      <w:r w:rsidR="00BA6825">
        <w:rPr>
          <w:rFonts w:eastAsia="Times New Roman" w:cs="Times New Roman"/>
          <w:szCs w:val="24"/>
          <w:lang w:eastAsia="en-AU"/>
        </w:rPr>
        <w:t xml:space="preserve"> </w:t>
      </w:r>
      <w:r w:rsidRPr="003E7659">
        <w:rPr>
          <w:rFonts w:eastAsia="Times New Roman" w:cs="Times New Roman"/>
          <w:szCs w:val="24"/>
          <w:lang w:eastAsia="en-AU"/>
        </w:rPr>
        <w:t>Department of Health.</w:t>
      </w:r>
    </w:p>
    <w:p w14:paraId="08C0AD14" w14:textId="77777777" w:rsidR="00301F48" w:rsidRPr="00351ADA" w:rsidRDefault="00301F48" w:rsidP="004C2F68">
      <w:pPr>
        <w:pStyle w:val="Heading2"/>
      </w:pPr>
      <w:r>
        <w:lastRenderedPageBreak/>
        <w:t>Recommendations</w:t>
      </w:r>
      <w:r w:rsidR="00D709D9" w:rsidRPr="00D709D9">
        <w:t xml:space="preserve"> and Australian Government responses</w:t>
      </w:r>
    </w:p>
    <w:p w14:paraId="08C0AD16" w14:textId="77777777" w:rsidR="00351ADA" w:rsidRPr="00E7542D" w:rsidRDefault="00351ADA" w:rsidP="00E7542D">
      <w:pPr>
        <w:pStyle w:val="Heading3"/>
      </w:pPr>
      <w:r w:rsidRPr="00E7542D">
        <w:t>Recommendation 1</w:t>
      </w:r>
    </w:p>
    <w:p w14:paraId="08C0AD17" w14:textId="77777777" w:rsidR="00351ADA" w:rsidRPr="005E7DF9" w:rsidRDefault="002E70DB"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Pr>
          <w:rFonts w:eastAsia="Times New Roman" w:cs="Times New Roman"/>
          <w:szCs w:val="24"/>
        </w:rPr>
        <w:t>5</w:t>
      </w:r>
      <w:r w:rsidR="00351ADA" w:rsidRPr="005E7DF9">
        <w:rPr>
          <w:rFonts w:eastAsia="Times New Roman" w:cs="Times New Roman"/>
          <w:szCs w:val="24"/>
        </w:rPr>
        <w:t>.</w:t>
      </w:r>
      <w:r>
        <w:rPr>
          <w:rFonts w:eastAsia="Times New Roman" w:cs="Times New Roman"/>
          <w:szCs w:val="24"/>
        </w:rPr>
        <w:t>11</w:t>
      </w:r>
      <w:r w:rsidR="00351ADA" w:rsidRPr="005E7DF9">
        <w:rPr>
          <w:rFonts w:eastAsia="Times New Roman" w:cs="Times New Roman"/>
          <w:szCs w:val="24"/>
        </w:rPr>
        <w:t xml:space="preserve"> </w:t>
      </w:r>
      <w:r w:rsidRPr="002E70DB">
        <w:rPr>
          <w:rFonts w:eastAsia="Times New Roman" w:cs="Times New Roman"/>
          <w:szCs w:val="24"/>
        </w:rPr>
        <w:t xml:space="preserve">The committee recommends that the Commonwealth Government undertake an evaluation of the value provided by </w:t>
      </w:r>
      <w:r w:rsidR="00DA54AA">
        <w:rPr>
          <w:rFonts w:eastAsia="Times New Roman" w:cs="Times New Roman"/>
          <w:szCs w:val="24"/>
        </w:rPr>
        <w:t>‘</w:t>
      </w:r>
      <w:r w:rsidRPr="002E70DB">
        <w:rPr>
          <w:rFonts w:eastAsia="Times New Roman" w:cs="Times New Roman"/>
          <w:szCs w:val="24"/>
        </w:rPr>
        <w:t>basic</w:t>
      </w:r>
      <w:r w:rsidR="00DA54AA">
        <w:rPr>
          <w:rFonts w:eastAsia="Times New Roman" w:cs="Times New Roman"/>
          <w:szCs w:val="24"/>
        </w:rPr>
        <w:t>’</w:t>
      </w:r>
      <w:r w:rsidRPr="002E70DB">
        <w:rPr>
          <w:rFonts w:eastAsia="Times New Roman" w:cs="Times New Roman"/>
          <w:szCs w:val="24"/>
        </w:rPr>
        <w:t xml:space="preserve"> policies as a fourth product category (Gold/Silver/Bronze/Basic). Following that evaluation, the Commonwealth should determine whether consumers are best served by a three-tier or a four-tier product categorisation system.</w:t>
      </w:r>
    </w:p>
    <w:p w14:paraId="08C0AD19" w14:textId="77777777" w:rsidR="00D655CC" w:rsidRPr="00E7542D" w:rsidRDefault="00AC1065" w:rsidP="00E7542D">
      <w:pPr>
        <w:pStyle w:val="Heading4"/>
      </w:pPr>
      <w:r w:rsidRPr="00E7542D">
        <w:t>Response:</w:t>
      </w:r>
    </w:p>
    <w:p w14:paraId="08C0AD1B" w14:textId="233A0F02" w:rsidR="00226E34" w:rsidRDefault="00BF0F45" w:rsidP="00911C5A">
      <w:pPr>
        <w:rPr>
          <w:rFonts w:eastAsia="Times New Roman" w:cs="Times New Roman"/>
          <w:color w:val="000000"/>
          <w:szCs w:val="24"/>
          <w:lang w:eastAsia="en-AU"/>
        </w:rPr>
      </w:pPr>
      <w:r>
        <w:rPr>
          <w:rFonts w:eastAsia="Times New Roman" w:cs="Times New Roman"/>
          <w:color w:val="000000"/>
          <w:szCs w:val="24"/>
          <w:lang w:eastAsia="en-AU"/>
        </w:rPr>
        <w:t xml:space="preserve">The Government agrees to and has </w:t>
      </w:r>
      <w:r w:rsidR="00226E34">
        <w:rPr>
          <w:rFonts w:eastAsia="Times New Roman" w:cs="Times New Roman"/>
          <w:color w:val="000000"/>
          <w:szCs w:val="24"/>
          <w:lang w:eastAsia="en-AU"/>
        </w:rPr>
        <w:t>implemented this recommendation.</w:t>
      </w:r>
    </w:p>
    <w:p w14:paraId="08C0AD1D" w14:textId="05F55E62" w:rsidR="00226E34" w:rsidRDefault="00C3662E" w:rsidP="00911C5A">
      <w:pPr>
        <w:rPr>
          <w:rFonts w:eastAsia="Times New Roman" w:cs="Times New Roman"/>
          <w:color w:val="000000"/>
          <w:szCs w:val="24"/>
          <w:lang w:eastAsia="en-AU"/>
        </w:rPr>
      </w:pPr>
      <w:r>
        <w:rPr>
          <w:rFonts w:eastAsia="Times New Roman" w:cs="Times New Roman"/>
          <w:color w:val="000000"/>
          <w:szCs w:val="24"/>
          <w:lang w:eastAsia="en-AU"/>
        </w:rPr>
        <w:t>T</w:t>
      </w:r>
      <w:r w:rsidR="00226E34">
        <w:rPr>
          <w:rFonts w:eastAsia="Times New Roman" w:cs="Times New Roman"/>
          <w:color w:val="000000"/>
          <w:szCs w:val="24"/>
          <w:lang w:eastAsia="en-AU"/>
        </w:rPr>
        <w:t xml:space="preserve">he </w:t>
      </w:r>
      <w:r w:rsidR="00226E34" w:rsidRPr="003C15E9">
        <w:rPr>
          <w:rFonts w:eastAsia="Times New Roman" w:cs="Times New Roman"/>
          <w:color w:val="000000"/>
          <w:szCs w:val="24"/>
          <w:lang w:eastAsia="en-AU"/>
        </w:rPr>
        <w:t>Private Health Ministerial Advisory Committee</w:t>
      </w:r>
      <w:r w:rsidR="005F5C72">
        <w:rPr>
          <w:rFonts w:eastAsia="Times New Roman" w:cs="Times New Roman"/>
          <w:color w:val="000000"/>
          <w:szCs w:val="24"/>
          <w:lang w:eastAsia="en-AU"/>
        </w:rPr>
        <w:t xml:space="preserve"> (PHMAC)</w:t>
      </w:r>
      <w:r w:rsidR="00226E34">
        <w:rPr>
          <w:rFonts w:eastAsia="Times New Roman" w:cs="Times New Roman"/>
          <w:color w:val="000000"/>
          <w:szCs w:val="24"/>
          <w:lang w:eastAsia="en-AU"/>
        </w:rPr>
        <w:t>,</w:t>
      </w:r>
      <w:r w:rsidR="005209B9">
        <w:rPr>
          <w:rFonts w:eastAsia="Times New Roman" w:cs="Times New Roman"/>
          <w:color w:val="000000"/>
          <w:szCs w:val="24"/>
          <w:lang w:eastAsia="en-AU"/>
        </w:rPr>
        <w:t xml:space="preserve"> which includes insurer</w:t>
      </w:r>
      <w:r w:rsidR="008B5B22">
        <w:rPr>
          <w:rFonts w:eastAsia="Times New Roman" w:cs="Times New Roman"/>
          <w:color w:val="000000"/>
          <w:szCs w:val="24"/>
          <w:lang w:eastAsia="en-AU"/>
        </w:rPr>
        <w:t xml:space="preserve">, medical, hospital </w:t>
      </w:r>
      <w:r w:rsidR="005209B9">
        <w:rPr>
          <w:rFonts w:eastAsia="Times New Roman" w:cs="Times New Roman"/>
          <w:color w:val="000000"/>
          <w:szCs w:val="24"/>
          <w:lang w:eastAsia="en-AU"/>
        </w:rPr>
        <w:t xml:space="preserve">and </w:t>
      </w:r>
      <w:r w:rsidR="008B5B22">
        <w:rPr>
          <w:rFonts w:eastAsia="Times New Roman" w:cs="Times New Roman"/>
          <w:color w:val="000000"/>
          <w:szCs w:val="24"/>
          <w:lang w:eastAsia="en-AU"/>
        </w:rPr>
        <w:t xml:space="preserve">consumer </w:t>
      </w:r>
      <w:proofErr w:type="gramStart"/>
      <w:r w:rsidR="008B5B22">
        <w:rPr>
          <w:rFonts w:eastAsia="Times New Roman" w:cs="Times New Roman"/>
          <w:color w:val="000000"/>
          <w:szCs w:val="24"/>
          <w:lang w:eastAsia="en-AU"/>
        </w:rPr>
        <w:t>representatives</w:t>
      </w:r>
      <w:proofErr w:type="gramEnd"/>
      <w:r w:rsidR="00226E34" w:rsidRPr="005209B9">
        <w:rPr>
          <w:rFonts w:eastAsia="Times New Roman" w:cs="Times New Roman"/>
          <w:color w:val="000000"/>
          <w:szCs w:val="24"/>
          <w:lang w:eastAsia="en-AU"/>
        </w:rPr>
        <w:t xml:space="preserve"> commissioned </w:t>
      </w:r>
      <w:r w:rsidR="00DA0FB5">
        <w:rPr>
          <w:rFonts w:eastAsia="Times New Roman" w:cs="Times New Roman"/>
          <w:color w:val="000000"/>
          <w:szCs w:val="24"/>
          <w:lang w:eastAsia="en-AU"/>
        </w:rPr>
        <w:t xml:space="preserve">analysis </w:t>
      </w:r>
      <w:r w:rsidR="00226E34" w:rsidRPr="005209B9">
        <w:rPr>
          <w:rFonts w:eastAsia="Times New Roman" w:cs="Times New Roman"/>
          <w:color w:val="000000"/>
          <w:szCs w:val="24"/>
          <w:lang w:eastAsia="en-AU"/>
        </w:rPr>
        <w:t>on the premium and membership implications of</w:t>
      </w:r>
      <w:r w:rsidR="00226E34">
        <w:rPr>
          <w:rFonts w:eastAsia="Times New Roman" w:cs="Times New Roman"/>
          <w:color w:val="000000"/>
          <w:szCs w:val="24"/>
          <w:lang w:eastAsia="en-AU"/>
        </w:rPr>
        <w:t xml:space="preserve"> different configurations of product tiers. </w:t>
      </w:r>
      <w:r w:rsidR="00C57F07">
        <w:rPr>
          <w:rFonts w:eastAsia="Times New Roman" w:cs="Times New Roman"/>
          <w:color w:val="000000"/>
          <w:szCs w:val="24"/>
          <w:lang w:eastAsia="en-AU"/>
        </w:rPr>
        <w:t xml:space="preserve"> </w:t>
      </w:r>
      <w:r w:rsidR="00DA0FB5">
        <w:rPr>
          <w:rFonts w:eastAsia="Times New Roman" w:cs="Times New Roman"/>
          <w:color w:val="000000"/>
          <w:szCs w:val="24"/>
          <w:lang w:eastAsia="en-AU"/>
        </w:rPr>
        <w:t>This analysis found that the removal of low-priced products with low-coverage levels would lead to premium increases across the board for other products, and would lead to significant reductions in private health insurance participation.</w:t>
      </w:r>
      <w:r w:rsidR="00C57F07">
        <w:rPr>
          <w:rFonts w:eastAsia="Times New Roman" w:cs="Times New Roman"/>
          <w:color w:val="000000"/>
          <w:szCs w:val="24"/>
          <w:lang w:eastAsia="en-AU"/>
        </w:rPr>
        <w:t xml:space="preserve">  </w:t>
      </w:r>
      <w:r>
        <w:rPr>
          <w:rFonts w:eastAsia="Times New Roman" w:cs="Times New Roman"/>
          <w:color w:val="000000"/>
          <w:szCs w:val="24"/>
          <w:lang w:eastAsia="en-AU"/>
        </w:rPr>
        <w:t>Having regard t</w:t>
      </w:r>
      <w:r w:rsidR="00DF7C51">
        <w:rPr>
          <w:rFonts w:eastAsia="Times New Roman" w:cs="Times New Roman"/>
          <w:color w:val="000000"/>
          <w:szCs w:val="24"/>
          <w:lang w:eastAsia="en-AU"/>
        </w:rPr>
        <w:t>o</w:t>
      </w:r>
      <w:r>
        <w:rPr>
          <w:rFonts w:eastAsia="Times New Roman" w:cs="Times New Roman"/>
          <w:color w:val="000000"/>
          <w:szCs w:val="24"/>
          <w:lang w:eastAsia="en-AU"/>
        </w:rPr>
        <w:t xml:space="preserve"> this advice, t</w:t>
      </w:r>
      <w:r w:rsidR="00DA0FB5">
        <w:rPr>
          <w:rFonts w:eastAsia="Times New Roman" w:cs="Times New Roman"/>
          <w:color w:val="000000"/>
          <w:szCs w:val="24"/>
          <w:lang w:eastAsia="en-AU"/>
        </w:rPr>
        <w:t xml:space="preserve">he </w:t>
      </w:r>
      <w:r w:rsidR="008B5B22">
        <w:rPr>
          <w:rFonts w:eastAsia="Times New Roman" w:cs="Times New Roman"/>
          <w:color w:val="000000"/>
          <w:szCs w:val="24"/>
          <w:lang w:eastAsia="en-AU"/>
        </w:rPr>
        <w:t>Government</w:t>
      </w:r>
      <w:r w:rsidR="00226E34">
        <w:rPr>
          <w:rFonts w:eastAsia="Times New Roman" w:cs="Times New Roman"/>
          <w:color w:val="000000"/>
          <w:szCs w:val="24"/>
          <w:lang w:eastAsia="en-AU"/>
        </w:rPr>
        <w:t xml:space="preserve"> has decided to proceed with a four tier structure.</w:t>
      </w:r>
    </w:p>
    <w:p w14:paraId="08C0AD21" w14:textId="0E851337" w:rsidR="00226E34" w:rsidRPr="003C15E9" w:rsidRDefault="005209B9" w:rsidP="00911C5A">
      <w:pPr>
        <w:rPr>
          <w:rFonts w:eastAsia="Times New Roman" w:cs="Times New Roman"/>
          <w:color w:val="000000"/>
          <w:szCs w:val="24"/>
          <w:lang w:eastAsia="en-AU"/>
        </w:rPr>
      </w:pPr>
      <w:r>
        <w:rPr>
          <w:rFonts w:eastAsia="Times New Roman" w:cs="Times New Roman"/>
          <w:color w:val="000000"/>
          <w:szCs w:val="24"/>
          <w:lang w:eastAsia="en-AU"/>
        </w:rPr>
        <w:t>T</w:t>
      </w:r>
      <w:r w:rsidR="00226E34" w:rsidRPr="00226E34">
        <w:rPr>
          <w:rFonts w:eastAsia="Times New Roman" w:cs="Times New Roman"/>
          <w:color w:val="000000"/>
          <w:szCs w:val="24"/>
          <w:lang w:eastAsia="en-AU"/>
        </w:rPr>
        <w:t>he</w:t>
      </w:r>
      <w:r w:rsidR="00BF0F45">
        <w:rPr>
          <w:rFonts w:eastAsia="Times New Roman" w:cs="Times New Roman"/>
          <w:color w:val="000000"/>
          <w:szCs w:val="24"/>
          <w:lang w:eastAsia="en-AU"/>
        </w:rPr>
        <w:t xml:space="preserve"> </w:t>
      </w:r>
      <w:r w:rsidR="00226E34" w:rsidRPr="00226E34">
        <w:rPr>
          <w:rFonts w:eastAsia="Times New Roman" w:cs="Times New Roman"/>
          <w:color w:val="000000"/>
          <w:szCs w:val="24"/>
          <w:lang w:eastAsia="en-AU"/>
        </w:rPr>
        <w:t xml:space="preserve">minimum requirements for each product </w:t>
      </w:r>
      <w:r>
        <w:rPr>
          <w:rFonts w:eastAsia="Times New Roman" w:cs="Times New Roman"/>
          <w:color w:val="000000"/>
          <w:szCs w:val="24"/>
          <w:lang w:eastAsia="en-AU"/>
        </w:rPr>
        <w:t>tier</w:t>
      </w:r>
      <w:r w:rsidR="00226E34" w:rsidRPr="00226E34">
        <w:rPr>
          <w:rFonts w:eastAsia="Times New Roman" w:cs="Times New Roman"/>
          <w:color w:val="000000"/>
          <w:szCs w:val="24"/>
          <w:lang w:eastAsia="en-AU"/>
        </w:rPr>
        <w:t xml:space="preserve"> </w:t>
      </w:r>
      <w:r w:rsidR="00A8522B">
        <w:rPr>
          <w:rFonts w:eastAsia="Times New Roman" w:cs="Times New Roman"/>
          <w:color w:val="000000"/>
          <w:szCs w:val="24"/>
          <w:lang w:eastAsia="en-AU"/>
        </w:rPr>
        <w:t>are in the Private Health Insurance (Reforms) Amendment Rules 2018 which were made on 11 October 2018</w:t>
      </w:r>
      <w:r w:rsidR="00A70820">
        <w:rPr>
          <w:rFonts w:eastAsia="Times New Roman" w:cs="Times New Roman"/>
          <w:color w:val="000000"/>
          <w:szCs w:val="24"/>
          <w:lang w:eastAsia="en-AU"/>
        </w:rPr>
        <w:t>.</w:t>
      </w:r>
    </w:p>
    <w:p w14:paraId="08C0AD23" w14:textId="77777777" w:rsidR="00351ADA" w:rsidRPr="005E7DF9" w:rsidRDefault="00351ADA" w:rsidP="00E7542D">
      <w:pPr>
        <w:pStyle w:val="Heading3"/>
      </w:pPr>
      <w:r w:rsidRPr="005E7DF9">
        <w:t>Recommendation 2</w:t>
      </w:r>
    </w:p>
    <w:p w14:paraId="08C0AD24" w14:textId="77777777" w:rsidR="00351ADA" w:rsidRPr="002E70DB" w:rsidRDefault="002E70DB" w:rsidP="002E70D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eastAsia="Times New Roman" w:cs="Times New Roman"/>
          <w:szCs w:val="24"/>
        </w:rPr>
      </w:pPr>
      <w:r w:rsidRPr="002E70DB">
        <w:rPr>
          <w:rFonts w:eastAsia="Times New Roman" w:cs="Times New Roman"/>
          <w:bCs/>
          <w:szCs w:val="24"/>
        </w:rPr>
        <w:t xml:space="preserve">5.18 The committee recommends that the Minister for Health require private health insurers to publish all rebates by policy and item number. </w:t>
      </w:r>
    </w:p>
    <w:p w14:paraId="08C0AD25" w14:textId="77777777" w:rsidR="00351ADA" w:rsidRPr="005E7DF9" w:rsidRDefault="00351ADA" w:rsidP="00E7542D">
      <w:pPr>
        <w:pStyle w:val="Heading3"/>
      </w:pPr>
      <w:r w:rsidRPr="005E7DF9">
        <w:t>Recommendation 3</w:t>
      </w:r>
    </w:p>
    <w:p w14:paraId="08C0AD26" w14:textId="77777777" w:rsidR="00351ADA" w:rsidRPr="002E70DB" w:rsidRDefault="002E70DB" w:rsidP="005E7DF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eastAsia="Times New Roman" w:cs="Times New Roman"/>
          <w:szCs w:val="24"/>
        </w:rPr>
      </w:pPr>
      <w:r w:rsidRPr="002E70DB">
        <w:rPr>
          <w:rFonts w:eastAsia="Times New Roman" w:cs="Times New Roman"/>
          <w:bCs/>
          <w:szCs w:val="24"/>
        </w:rPr>
        <w:t>5.23 The committee recommends that the Minister for Health instruct the Department of Health to publish the fees of individual medical practitioners in a searchable database.</w:t>
      </w:r>
    </w:p>
    <w:p w14:paraId="08C0AD28" w14:textId="77777777" w:rsidR="00AC1065" w:rsidRPr="00D655CC" w:rsidRDefault="00AC1065" w:rsidP="00E7542D">
      <w:pPr>
        <w:pStyle w:val="Heading4"/>
      </w:pPr>
      <w:r>
        <w:t>Response:</w:t>
      </w:r>
    </w:p>
    <w:p w14:paraId="08C0AD2A" w14:textId="77777777" w:rsidR="00E502FB" w:rsidRDefault="00E502FB" w:rsidP="00911C5A">
      <w:pPr>
        <w:rPr>
          <w:rFonts w:eastAsia="Times New Roman" w:cs="Times New Roman"/>
          <w:color w:val="000000"/>
          <w:szCs w:val="20"/>
          <w:lang w:eastAsia="en-AU"/>
        </w:rPr>
      </w:pPr>
      <w:r>
        <w:rPr>
          <w:rFonts w:eastAsia="Times New Roman" w:cs="Times New Roman"/>
          <w:color w:val="000000"/>
          <w:szCs w:val="20"/>
          <w:lang w:eastAsia="en-AU"/>
        </w:rPr>
        <w:t xml:space="preserve">The Government </w:t>
      </w:r>
      <w:r w:rsidR="0012482A">
        <w:rPr>
          <w:rFonts w:eastAsia="Times New Roman" w:cs="Times New Roman"/>
          <w:color w:val="000000"/>
          <w:szCs w:val="20"/>
          <w:lang w:eastAsia="en-AU"/>
        </w:rPr>
        <w:t xml:space="preserve">notes </w:t>
      </w:r>
      <w:r>
        <w:rPr>
          <w:rFonts w:eastAsia="Times New Roman" w:cs="Times New Roman"/>
          <w:color w:val="000000"/>
          <w:szCs w:val="20"/>
          <w:lang w:eastAsia="en-AU"/>
        </w:rPr>
        <w:t>th</w:t>
      </w:r>
      <w:r w:rsidR="00FF1912">
        <w:rPr>
          <w:rFonts w:eastAsia="Times New Roman" w:cs="Times New Roman"/>
          <w:color w:val="000000"/>
          <w:szCs w:val="20"/>
          <w:lang w:eastAsia="en-AU"/>
        </w:rPr>
        <w:t xml:space="preserve">ese </w:t>
      </w:r>
      <w:r>
        <w:rPr>
          <w:rFonts w:eastAsia="Times New Roman" w:cs="Times New Roman"/>
          <w:color w:val="000000"/>
          <w:szCs w:val="20"/>
          <w:lang w:eastAsia="en-AU"/>
        </w:rPr>
        <w:t>recommendation</w:t>
      </w:r>
      <w:r w:rsidR="00FF1912">
        <w:rPr>
          <w:rFonts w:eastAsia="Times New Roman" w:cs="Times New Roman"/>
          <w:color w:val="000000"/>
          <w:szCs w:val="20"/>
          <w:lang w:eastAsia="en-AU"/>
        </w:rPr>
        <w:t>s</w:t>
      </w:r>
      <w:r>
        <w:rPr>
          <w:rFonts w:eastAsia="Times New Roman" w:cs="Times New Roman"/>
          <w:color w:val="000000"/>
          <w:szCs w:val="20"/>
          <w:lang w:eastAsia="en-AU"/>
        </w:rPr>
        <w:t>.</w:t>
      </w:r>
    </w:p>
    <w:p w14:paraId="08C0AD2C" w14:textId="77777777" w:rsidR="00FF1912" w:rsidRDefault="00D0465F" w:rsidP="00911C5A">
      <w:pPr>
        <w:pStyle w:val="Default"/>
        <w:spacing w:before="120" w:after="120"/>
      </w:pPr>
      <w:r>
        <w:rPr>
          <w:bCs/>
        </w:rPr>
        <w:t>On 2 January 2018, the Minister for Health, the Hon Greg Hunt MP</w:t>
      </w:r>
      <w:r w:rsidR="00AB6B66">
        <w:rPr>
          <w:bCs/>
        </w:rPr>
        <w:t>,</w:t>
      </w:r>
      <w:r>
        <w:rPr>
          <w:bCs/>
        </w:rPr>
        <w:t xml:space="preserve"> announced the establishment of t</w:t>
      </w:r>
      <w:r w:rsidR="009F42D4">
        <w:t xml:space="preserve">he Ministerial Advisory Committee on Out-of-Pocket Costs, chaired by the </w:t>
      </w:r>
      <w:r w:rsidR="002E6D02">
        <w:t>Australian Government</w:t>
      </w:r>
      <w:r>
        <w:t xml:space="preserve"> </w:t>
      </w:r>
      <w:r w:rsidR="009F42D4">
        <w:t>Chief Medical Officer, Professor Brendan Murphy</w:t>
      </w:r>
      <w:r w:rsidR="00FF1912">
        <w:t>, and includ</w:t>
      </w:r>
      <w:r w:rsidR="008B5B22">
        <w:t>ing</w:t>
      </w:r>
      <w:r w:rsidR="00FF1912">
        <w:t xml:space="preserve"> medical, insurance and consumer representatives. </w:t>
      </w:r>
    </w:p>
    <w:p w14:paraId="08C0AD2E" w14:textId="223ECB45" w:rsidR="009F42D4" w:rsidRDefault="00FD7461" w:rsidP="00911C5A">
      <w:pPr>
        <w:pStyle w:val="Default"/>
        <w:spacing w:before="120" w:after="120"/>
      </w:pPr>
      <w:r>
        <w:t xml:space="preserve">The </w:t>
      </w:r>
      <w:r w:rsidR="00AB6B66">
        <w:t xml:space="preserve">Committee </w:t>
      </w:r>
      <w:r w:rsidR="008B5B22">
        <w:t>is working</w:t>
      </w:r>
      <w:r w:rsidR="009F42D4">
        <w:t xml:space="preserve"> </w:t>
      </w:r>
      <w:r>
        <w:t xml:space="preserve">to </w:t>
      </w:r>
      <w:r w:rsidR="009F42D4">
        <w:t xml:space="preserve">develop models to make information on out-of-pocket costs charged by </w:t>
      </w:r>
      <w:r w:rsidR="00A70820">
        <w:t xml:space="preserve">medical specialists </w:t>
      </w:r>
      <w:r w:rsidR="009F42D4">
        <w:t>more transparent</w:t>
      </w:r>
      <w:r w:rsidR="00FF1912">
        <w:t>,</w:t>
      </w:r>
      <w:r w:rsidR="009F42D4">
        <w:t xml:space="preserve"> and to help consumers with private health insurance better understand out</w:t>
      </w:r>
      <w:r w:rsidR="008F0AE9">
        <w:noBreakHyphen/>
      </w:r>
      <w:r w:rsidR="009F42D4">
        <w:t>of</w:t>
      </w:r>
      <w:r w:rsidR="008F0AE9">
        <w:noBreakHyphen/>
      </w:r>
      <w:r w:rsidR="009F42D4">
        <w:t>pocket costs</w:t>
      </w:r>
      <w:r w:rsidR="00FF1912">
        <w:t xml:space="preserve">. </w:t>
      </w:r>
      <w:r w:rsidR="00C57F07">
        <w:t xml:space="preserve"> </w:t>
      </w:r>
      <w:r>
        <w:t xml:space="preserve">The </w:t>
      </w:r>
      <w:r w:rsidR="00610811">
        <w:t xml:space="preserve">key work of the </w:t>
      </w:r>
      <w:r w:rsidR="00AB6B66">
        <w:t xml:space="preserve">Committee </w:t>
      </w:r>
      <w:r>
        <w:t xml:space="preserve">is expected to </w:t>
      </w:r>
      <w:r w:rsidR="00610811">
        <w:t xml:space="preserve">be finalised in </w:t>
      </w:r>
      <w:r>
        <w:t>2018.</w:t>
      </w:r>
    </w:p>
    <w:p w14:paraId="1BECCAAC" w14:textId="0AC8DAB8" w:rsidR="009622F9" w:rsidRDefault="00C44779" w:rsidP="00911C5A">
      <w:pPr>
        <w:pStyle w:val="Default"/>
        <w:spacing w:before="120" w:after="240"/>
        <w:rPr>
          <w:rStyle w:val="Hyperlink"/>
        </w:rPr>
      </w:pPr>
      <w:r>
        <w:t xml:space="preserve">Further information about the Committee can be found </w:t>
      </w:r>
      <w:r w:rsidR="009C683A">
        <w:t xml:space="preserve">on the Department of Health website on the </w:t>
      </w:r>
      <w:hyperlink r:id="rId13" w:history="1">
        <w:r w:rsidR="009C683A" w:rsidRPr="009C683A">
          <w:rPr>
            <w:rStyle w:val="Hyperlink"/>
          </w:rPr>
          <w:t>Ministerial Advisory Committee on Out-of-Pocket</w:t>
        </w:r>
        <w:r w:rsidR="00DC18BE">
          <w:rPr>
            <w:rStyle w:val="Hyperlink"/>
          </w:rPr>
          <w:t xml:space="preserve"> Costs</w:t>
        </w:r>
        <w:r w:rsidR="009C683A" w:rsidRPr="009C683A">
          <w:rPr>
            <w:rStyle w:val="Hyperlink"/>
          </w:rPr>
          <w:t xml:space="preserve"> page</w:t>
        </w:r>
      </w:hyperlink>
      <w:r w:rsidR="00A8522B">
        <w:rPr>
          <w:rStyle w:val="Hyperlink"/>
        </w:rPr>
        <w:t>.</w:t>
      </w:r>
    </w:p>
    <w:p w14:paraId="08C0AD30" w14:textId="660414B9" w:rsidR="000B0E3E" w:rsidRDefault="00B47D65" w:rsidP="00EE55FF">
      <w:pPr>
        <w:pStyle w:val="Default"/>
        <w:spacing w:before="120" w:after="120"/>
      </w:pPr>
      <w:r w:rsidRPr="00EE55FF">
        <w:t>Private health insurers continue to increase transparency about rebates, with a number of insurers making rebate/benefit information available on public websites.  There are commercial and privacy issues relevant to publication of rebates as they can be specific to the health care provider or hospital involved</w:t>
      </w:r>
      <w:r>
        <w:t>.</w:t>
      </w:r>
    </w:p>
    <w:p w14:paraId="08C0AD32" w14:textId="77777777" w:rsidR="00994B72" w:rsidRPr="005E7DF9" w:rsidRDefault="00994B72" w:rsidP="00E7542D">
      <w:pPr>
        <w:pStyle w:val="Heading3"/>
      </w:pPr>
      <w:r>
        <w:t>Recommendation 4</w:t>
      </w:r>
    </w:p>
    <w:p w14:paraId="08C0AD33" w14:textId="77777777" w:rsidR="00994B72" w:rsidRPr="002E70DB"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5.26 The committee recommends that the Commonwealth Government ask the appropriate body (such as the Australian National Audit Office, Department of Health, Australian Prudential Regulation Authority, Australian Competition and Consumer Commission or the Private Health Insurance Ombudsman) to report in 12 months on whether the benefits from the Prostheses List reforms are being passed on to consumers.</w:t>
      </w:r>
    </w:p>
    <w:p w14:paraId="08C0AD35" w14:textId="77777777" w:rsidR="00AC1065" w:rsidRPr="00D655CC" w:rsidRDefault="00AC1065" w:rsidP="00E7542D">
      <w:pPr>
        <w:pStyle w:val="Heading4"/>
      </w:pPr>
      <w:r>
        <w:lastRenderedPageBreak/>
        <w:t>Response:</w:t>
      </w:r>
    </w:p>
    <w:p w14:paraId="08C0AD37" w14:textId="16DD14FC" w:rsidR="005F23B5" w:rsidRDefault="005F23B5" w:rsidP="00D554B5">
      <w:r>
        <w:t xml:space="preserve">The Government </w:t>
      </w:r>
      <w:r w:rsidR="005E060E">
        <w:t>supports in-principle</w:t>
      </w:r>
      <w:r w:rsidR="00155DCD">
        <w:t xml:space="preserve"> </w:t>
      </w:r>
      <w:r>
        <w:t>this recommendation.</w:t>
      </w:r>
    </w:p>
    <w:p w14:paraId="1DDAB5AB" w14:textId="51C951C5" w:rsidR="00DB565B" w:rsidRDefault="00DB565B" w:rsidP="00D554B5">
      <w:r>
        <w:t xml:space="preserve">The Department of Health is the appropriate body to </w:t>
      </w:r>
      <w:r w:rsidR="005E060E">
        <w:t>provide information</w:t>
      </w:r>
      <w:r>
        <w:t xml:space="preserve"> on </w:t>
      </w:r>
      <w:r w:rsidR="002F46A6">
        <w:t>the impact of</w:t>
      </w:r>
      <w:r>
        <w:t xml:space="preserve"> Prostheses List reforms</w:t>
      </w:r>
      <w:r w:rsidR="005E060E" w:rsidRPr="002F46A6">
        <w:t>.</w:t>
      </w:r>
      <w:r w:rsidR="005E060E">
        <w:t xml:space="preserve"> </w:t>
      </w:r>
    </w:p>
    <w:p w14:paraId="39D99ECC" w14:textId="5BCB5EF6" w:rsidR="00DB565B" w:rsidRDefault="00DB565B" w:rsidP="00D554B5">
      <w:r>
        <w:t>In their 2018 and 2019 premium applications, insurers are required to provide information</w:t>
      </w:r>
      <w:r w:rsidR="00BF0F45">
        <w:t xml:space="preserve"> to the Department</w:t>
      </w:r>
      <w:r>
        <w:t xml:space="preserve"> about the impact of reduced Prostheses List benefits</w:t>
      </w:r>
      <w:r w:rsidR="00244E42">
        <w:t>.</w:t>
      </w:r>
      <w:r>
        <w:t xml:space="preserve">  </w:t>
      </w:r>
      <w:r w:rsidRPr="000B7512">
        <w:t>From 1</w:t>
      </w:r>
      <w:r>
        <w:t> </w:t>
      </w:r>
      <w:r w:rsidRPr="000B7512">
        <w:t>April</w:t>
      </w:r>
      <w:r>
        <w:t> </w:t>
      </w:r>
      <w:r w:rsidRPr="000B7512">
        <w:t xml:space="preserve">2018, the national industry weighted average private health insurance premium increase </w:t>
      </w:r>
      <w:r>
        <w:t>wa</w:t>
      </w:r>
      <w:r w:rsidRPr="000B7512">
        <w:t>s 3.95 per cent. This is the lowest increase in nearly two decades</w:t>
      </w:r>
      <w:r w:rsidR="00244E42">
        <w:t>.</w:t>
      </w:r>
    </w:p>
    <w:p w14:paraId="08C0AD3C" w14:textId="4CDC438A" w:rsidR="00994B72" w:rsidRPr="00994B72" w:rsidRDefault="00994B72" w:rsidP="00E7542D">
      <w:pPr>
        <w:pStyle w:val="Heading3"/>
      </w:pPr>
      <w:r w:rsidRPr="00994B72">
        <w:t>Recommendation</w:t>
      </w:r>
      <w:r>
        <w:t xml:space="preserve"> </w:t>
      </w:r>
      <w:r w:rsidR="00DE2AF2">
        <w:t>5</w:t>
      </w:r>
    </w:p>
    <w:p w14:paraId="08C0AD3D"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 xml:space="preserve">5.29 The committee recommends that the Commonwealth Government provide additional funding to the Private Health Insurance Ombudsman to enable it to widely promote its upgraded website and comparison service to consumers. </w:t>
      </w:r>
    </w:p>
    <w:p w14:paraId="08C0AD3F" w14:textId="77777777" w:rsidR="00AC1065" w:rsidRPr="00D655CC" w:rsidRDefault="00AC1065" w:rsidP="00E7542D">
      <w:pPr>
        <w:pStyle w:val="Heading4"/>
      </w:pPr>
      <w:r>
        <w:t>Response:</w:t>
      </w:r>
    </w:p>
    <w:p w14:paraId="08C0AD41" w14:textId="77777777" w:rsidR="006968E1" w:rsidRDefault="00C901A0" w:rsidP="00D554B5">
      <w:pPr>
        <w:rPr>
          <w:lang w:eastAsia="en-AU"/>
        </w:rPr>
      </w:pPr>
      <w:r>
        <w:rPr>
          <w:lang w:eastAsia="en-AU"/>
        </w:rPr>
        <w:t xml:space="preserve">The Government </w:t>
      </w:r>
      <w:r w:rsidRPr="00FB3F8D">
        <w:rPr>
          <w:lang w:eastAsia="en-AU"/>
        </w:rPr>
        <w:t>notes</w:t>
      </w:r>
      <w:r w:rsidRPr="00C75097">
        <w:rPr>
          <w:lang w:eastAsia="en-AU"/>
        </w:rPr>
        <w:t xml:space="preserve"> </w:t>
      </w:r>
      <w:r>
        <w:rPr>
          <w:lang w:eastAsia="en-AU"/>
        </w:rPr>
        <w:t>this recommendation.</w:t>
      </w:r>
    </w:p>
    <w:p w14:paraId="08C0AD43" w14:textId="270D5D51" w:rsidR="003259A6" w:rsidRDefault="003259A6" w:rsidP="00911C5A">
      <w:pPr>
        <w:rPr>
          <w:rFonts w:eastAsia="Times New Roman" w:cs="Times New Roman"/>
          <w:color w:val="000000"/>
          <w:szCs w:val="20"/>
          <w:lang w:eastAsia="en-AU"/>
        </w:rPr>
      </w:pPr>
      <w:r>
        <w:rPr>
          <w:rFonts w:eastAsia="Times New Roman" w:cs="Times New Roman"/>
          <w:color w:val="000000"/>
          <w:szCs w:val="20"/>
          <w:lang w:eastAsia="en-AU"/>
        </w:rPr>
        <w:t xml:space="preserve">On 13 October 2017, as a part of its package of reforms, the Government announced funding to redevelop the </w:t>
      </w:r>
      <w:r w:rsidRPr="00C62F12">
        <w:rPr>
          <w:rFonts w:eastAsia="Times New Roman" w:cs="Times New Roman"/>
          <w:color w:val="000000"/>
          <w:szCs w:val="20"/>
          <w:lang w:eastAsia="en-AU"/>
        </w:rPr>
        <w:t>Private Health Insurance Ombudsman’s</w:t>
      </w:r>
      <w:r w:rsidR="00C62F12">
        <w:rPr>
          <w:rFonts w:eastAsia="Times New Roman" w:cs="Times New Roman"/>
          <w:color w:val="000000"/>
          <w:szCs w:val="20"/>
          <w:lang w:eastAsia="en-AU"/>
        </w:rPr>
        <w:t xml:space="preserve"> (PHIO)</w:t>
      </w:r>
      <w:r>
        <w:rPr>
          <w:rFonts w:eastAsia="Times New Roman" w:cs="Times New Roman"/>
          <w:color w:val="000000"/>
          <w:szCs w:val="20"/>
          <w:lang w:eastAsia="en-AU"/>
        </w:rPr>
        <w:t xml:space="preserve"> consu</w:t>
      </w:r>
      <w:r w:rsidR="004D2C26">
        <w:rPr>
          <w:rFonts w:eastAsia="Times New Roman" w:cs="Times New Roman"/>
          <w:color w:val="000000"/>
          <w:szCs w:val="20"/>
          <w:lang w:eastAsia="en-AU"/>
        </w:rPr>
        <w:t>mer website privatehealth.gov.au</w:t>
      </w:r>
      <w:r w:rsidR="0051594E">
        <w:rPr>
          <w:rFonts w:eastAsia="Times New Roman" w:cs="Times New Roman"/>
          <w:color w:val="000000"/>
          <w:szCs w:val="20"/>
          <w:lang w:eastAsia="en-AU"/>
        </w:rPr>
        <w:t xml:space="preserve"> </w:t>
      </w:r>
      <w:r w:rsidR="0051103C">
        <w:rPr>
          <w:rFonts w:eastAsia="Times New Roman" w:cs="Times New Roman"/>
          <w:color w:val="000000"/>
          <w:szCs w:val="20"/>
          <w:lang w:eastAsia="en-AU"/>
        </w:rPr>
        <w:t xml:space="preserve">to </w:t>
      </w:r>
      <w:r w:rsidR="0051594E" w:rsidRPr="0051594E">
        <w:rPr>
          <w:rFonts w:eastAsia="Times New Roman" w:cs="Times New Roman"/>
          <w:color w:val="000000"/>
          <w:szCs w:val="20"/>
          <w:lang w:eastAsia="en-AU"/>
        </w:rPr>
        <w:t>better assist consumers to choose a private health insurance product that best meets their health needs.</w:t>
      </w:r>
      <w:r>
        <w:rPr>
          <w:rFonts w:eastAsia="Times New Roman" w:cs="Times New Roman"/>
          <w:color w:val="000000"/>
          <w:szCs w:val="20"/>
          <w:lang w:eastAsia="en-AU"/>
        </w:rPr>
        <w:t xml:space="preserve"> </w:t>
      </w:r>
      <w:r w:rsidR="003A5D83">
        <w:rPr>
          <w:rFonts w:eastAsia="Times New Roman" w:cs="Times New Roman"/>
          <w:color w:val="000000"/>
          <w:szCs w:val="20"/>
          <w:lang w:eastAsia="en-AU"/>
        </w:rPr>
        <w:t xml:space="preserve"> </w:t>
      </w:r>
      <w:r w:rsidR="005D60F6">
        <w:rPr>
          <w:rFonts w:eastAsia="Times New Roman" w:cs="Times New Roman"/>
          <w:color w:val="000000"/>
          <w:szCs w:val="20"/>
          <w:lang w:eastAsia="en-AU"/>
        </w:rPr>
        <w:t>In addition</w:t>
      </w:r>
      <w:r w:rsidR="00A60FEA">
        <w:rPr>
          <w:rFonts w:eastAsia="Times New Roman" w:cs="Times New Roman"/>
          <w:color w:val="000000"/>
          <w:szCs w:val="20"/>
          <w:lang w:eastAsia="en-AU"/>
        </w:rPr>
        <w:t>,</w:t>
      </w:r>
      <w:r w:rsidR="004962E9">
        <w:rPr>
          <w:rFonts w:eastAsia="Times New Roman" w:cs="Times New Roman"/>
          <w:color w:val="000000"/>
          <w:szCs w:val="20"/>
          <w:lang w:eastAsia="en-AU"/>
        </w:rPr>
        <w:t xml:space="preserve"> t</w:t>
      </w:r>
      <w:r w:rsidR="00E66E9E">
        <w:rPr>
          <w:rFonts w:eastAsia="Times New Roman" w:cs="Times New Roman"/>
          <w:color w:val="000000"/>
          <w:szCs w:val="20"/>
          <w:lang w:eastAsia="en-AU"/>
        </w:rPr>
        <w:t xml:space="preserve">he Government </w:t>
      </w:r>
      <w:r w:rsidR="00E60A75">
        <w:rPr>
          <w:rFonts w:eastAsia="Times New Roman" w:cs="Times New Roman"/>
          <w:color w:val="000000"/>
          <w:szCs w:val="20"/>
          <w:lang w:eastAsia="en-AU"/>
        </w:rPr>
        <w:t>will engage with private health insurers to encourage support for consumer awareness</w:t>
      </w:r>
      <w:r w:rsidR="0051594E">
        <w:rPr>
          <w:rFonts w:eastAsia="Times New Roman" w:cs="Times New Roman"/>
          <w:color w:val="000000"/>
          <w:szCs w:val="20"/>
          <w:lang w:eastAsia="en-AU"/>
        </w:rPr>
        <w:t xml:space="preserve">. </w:t>
      </w:r>
    </w:p>
    <w:p w14:paraId="08C0AD45" w14:textId="70F0D48E" w:rsidR="00994B72" w:rsidRPr="00994B72" w:rsidRDefault="00DE2AF2" w:rsidP="00E7542D">
      <w:pPr>
        <w:pStyle w:val="Heading3"/>
      </w:pPr>
      <w:r>
        <w:t>Recommendation 6</w:t>
      </w:r>
    </w:p>
    <w:p w14:paraId="08C0AD46"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 xml:space="preserve">5.34 The committee recommends that all state and territory governments review policies and practices regarding private patient election to ensure that all patients can provide informed financial consent. </w:t>
      </w:r>
    </w:p>
    <w:p w14:paraId="08C0AD47" w14:textId="3E3D0B6C" w:rsidR="00994B72" w:rsidRPr="00994B72" w:rsidRDefault="00DE2AF2" w:rsidP="00E7542D">
      <w:pPr>
        <w:pStyle w:val="Heading3"/>
      </w:pPr>
      <w:r>
        <w:t>Recommendation 7</w:t>
      </w:r>
    </w:p>
    <w:p w14:paraId="08C0AD48"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5.35 The committee recommends that the Commonwealth Government and state governments ensure that public hospitals provide equality of access for public and private patients based only on clinical need and not on insurance status.</w:t>
      </w:r>
    </w:p>
    <w:p w14:paraId="08C0AD49" w14:textId="1C0A8B82" w:rsidR="00994B72" w:rsidRPr="00994B72" w:rsidRDefault="00DE2AF2" w:rsidP="00E7542D">
      <w:pPr>
        <w:pStyle w:val="Heading3"/>
      </w:pPr>
      <w:r>
        <w:t>Recommendation 8</w:t>
      </w:r>
    </w:p>
    <w:p w14:paraId="08C0AD4A" w14:textId="77777777" w:rsidR="00994B72" w:rsidRPr="002E70DB"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5.37 The committee recommends that the issue of private patient adjustments be considered in the context of negotiations on the next National Health Agreement, consistent with the Minister's broader approach.</w:t>
      </w:r>
    </w:p>
    <w:p w14:paraId="08C0AD4C" w14:textId="4E664BBF" w:rsidR="00263AB7" w:rsidRDefault="00563B15" w:rsidP="00E7542D">
      <w:pPr>
        <w:pStyle w:val="Heading4"/>
      </w:pPr>
      <w:r>
        <w:t>Response</w:t>
      </w:r>
      <w:r w:rsidR="00263AB7">
        <w:t>:</w:t>
      </w:r>
    </w:p>
    <w:p w14:paraId="08C0AD4E" w14:textId="77777777" w:rsidR="009101EE" w:rsidRDefault="009101EE" w:rsidP="00D554B5">
      <w:r>
        <w:t xml:space="preserve">The Government </w:t>
      </w:r>
      <w:r w:rsidR="001857D3">
        <w:t>supports</w:t>
      </w:r>
      <w:r>
        <w:t xml:space="preserve"> </w:t>
      </w:r>
      <w:r w:rsidR="00563B15">
        <w:t>these</w:t>
      </w:r>
      <w:r>
        <w:t xml:space="preserve"> recommendation</w:t>
      </w:r>
      <w:r w:rsidR="00563B15">
        <w:t>s</w:t>
      </w:r>
      <w:r>
        <w:t>.</w:t>
      </w:r>
    </w:p>
    <w:p w14:paraId="2044D605" w14:textId="3331795A" w:rsidR="0085289E" w:rsidRDefault="00137E15" w:rsidP="00D554B5">
      <w:r w:rsidRPr="00137E15">
        <w:t xml:space="preserve">A Heads of Agreement </w:t>
      </w:r>
      <w:r w:rsidR="001A0693">
        <w:t>on</w:t>
      </w:r>
      <w:r w:rsidRPr="00137E15">
        <w:t xml:space="preserve"> public hospital funding and health</w:t>
      </w:r>
      <w:r w:rsidR="00EC7BAD">
        <w:t xml:space="preserve"> </w:t>
      </w:r>
      <w:r w:rsidRPr="00137E15">
        <w:t xml:space="preserve">reform was considered by First Ministers at the 9 February 2018 COAG meeting. </w:t>
      </w:r>
      <w:r w:rsidR="003A5D83">
        <w:t xml:space="preserve"> </w:t>
      </w:r>
      <w:r w:rsidRPr="00137E15">
        <w:t xml:space="preserve">The Heads of Agreement outlines a commitment to ensure that information and processes for patients electing to use private health insurance in public hospital emergency departments are appropriate, robust and best support consumer choice. </w:t>
      </w:r>
      <w:r w:rsidR="003A5D83">
        <w:t xml:space="preserve"> The </w:t>
      </w:r>
      <w:r w:rsidRPr="00137E15">
        <w:t xml:space="preserve">Heads of Agreement </w:t>
      </w:r>
      <w:r w:rsidR="003A5D83">
        <w:t xml:space="preserve">also </w:t>
      </w:r>
      <w:r w:rsidRPr="00137E15">
        <w:t xml:space="preserve">requires </w:t>
      </w:r>
      <w:r w:rsidR="003A5D83">
        <w:t xml:space="preserve">that </w:t>
      </w:r>
      <w:r w:rsidRPr="00137E15">
        <w:t>the Commonwealth and states and territories will work together to examine the underlying drivers of growth of private patients in public hospitals, to improve public hospital admission policy and practices to support patient choice and improve data and financial reporting on private patients, and to ensure that the 2020-25 National Health Reform Agreement supports access to public hospital services by all patients on the basis of clinical need.</w:t>
      </w:r>
      <w:r w:rsidR="003A5D83">
        <w:t xml:space="preserve">  </w:t>
      </w:r>
    </w:p>
    <w:p w14:paraId="08C0AD50" w14:textId="0BD341C8" w:rsidR="00FF1912" w:rsidRDefault="003A5D83" w:rsidP="00D554B5">
      <w:r>
        <w:t xml:space="preserve">On 2 August 2018, the COAG Health Council </w:t>
      </w:r>
      <w:r w:rsidR="00995EA0">
        <w:t xml:space="preserve">agreed </w:t>
      </w:r>
      <w:r>
        <w:t>to commission an independent review of a range of factors regarding utilisation of private health insurance in public hospitals to report as soon as possible but no later than 31 December 2018.</w:t>
      </w:r>
    </w:p>
    <w:p w14:paraId="08C0AD52" w14:textId="448DD69C" w:rsidR="00994B72" w:rsidRPr="00994B72" w:rsidRDefault="00994B72" w:rsidP="00E7542D">
      <w:pPr>
        <w:pStyle w:val="Heading3"/>
      </w:pPr>
      <w:r w:rsidRPr="00994B72">
        <w:lastRenderedPageBreak/>
        <w:t>Recommendation 9</w:t>
      </w:r>
    </w:p>
    <w:p w14:paraId="08C0AD53"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 xml:space="preserve">5.41 The committee recommends that the Commonwealth Government consider extending the Broader Health Cover provisions of the </w:t>
      </w:r>
      <w:r w:rsidRPr="00994B72">
        <w:rPr>
          <w:rFonts w:eastAsia="Times New Roman" w:cs="Times New Roman"/>
          <w:bCs/>
          <w:i/>
          <w:iCs/>
          <w:szCs w:val="24"/>
        </w:rPr>
        <w:t xml:space="preserve">Private Health Insurance Act 2007 </w:t>
      </w:r>
      <w:r w:rsidRPr="00994B72">
        <w:rPr>
          <w:rFonts w:eastAsia="Times New Roman" w:cs="Times New Roman"/>
          <w:bCs/>
          <w:szCs w:val="24"/>
        </w:rPr>
        <w:t>on the basis that such services, if offered, do not undermine the universality of Medicare by creating a two-tiered primary health care system, do not inflate costs for the Commonwealth by introducing another payer, are provided on a comprehensive basis and do not delay treatment or lead to greater out-of-pocket costs.</w:t>
      </w:r>
    </w:p>
    <w:p w14:paraId="08C0AD54" w14:textId="24A7FCF3" w:rsidR="00FF1912" w:rsidRPr="00994B72" w:rsidRDefault="00DE2AF2" w:rsidP="00E7542D">
      <w:pPr>
        <w:pStyle w:val="Heading3"/>
      </w:pPr>
      <w:r>
        <w:t>Recommendation 10</w:t>
      </w:r>
    </w:p>
    <w:p w14:paraId="08C0AD55" w14:textId="77777777" w:rsidR="00FF1912" w:rsidRPr="00994B72" w:rsidRDefault="00FF191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5.42 The committee recommends that the Commonwealth Government review current regulations to allow private health insurers to rebate out-of-hospital medical treatment where it is delivered, on referral, in an out-patient, community or home setting.</w:t>
      </w:r>
    </w:p>
    <w:p w14:paraId="08C0AD57" w14:textId="77777777" w:rsidR="008E4AC7" w:rsidRDefault="00072727" w:rsidP="00E7542D">
      <w:pPr>
        <w:pStyle w:val="Heading4"/>
      </w:pPr>
      <w:r>
        <w:t>Response</w:t>
      </w:r>
      <w:r w:rsidR="008E4AC7" w:rsidRPr="00E502FB">
        <w:t>:</w:t>
      </w:r>
    </w:p>
    <w:p w14:paraId="08C0AD59" w14:textId="77777777" w:rsidR="006F24B0" w:rsidRDefault="006F24B0" w:rsidP="00DE2AF2">
      <w:pPr>
        <w:rPr>
          <w:lang w:eastAsia="en-AU"/>
        </w:rPr>
      </w:pPr>
      <w:r>
        <w:rPr>
          <w:lang w:eastAsia="en-AU"/>
        </w:rPr>
        <w:t xml:space="preserve">The Government </w:t>
      </w:r>
      <w:r w:rsidRPr="00BC5B42">
        <w:rPr>
          <w:lang w:eastAsia="en-AU"/>
        </w:rPr>
        <w:t>notes</w:t>
      </w:r>
      <w:r>
        <w:rPr>
          <w:lang w:eastAsia="en-AU"/>
        </w:rPr>
        <w:t xml:space="preserve"> th</w:t>
      </w:r>
      <w:r w:rsidR="00FF1912">
        <w:rPr>
          <w:lang w:eastAsia="en-AU"/>
        </w:rPr>
        <w:t xml:space="preserve">ese </w:t>
      </w:r>
      <w:r>
        <w:rPr>
          <w:lang w:eastAsia="en-AU"/>
        </w:rPr>
        <w:t>recommendation</w:t>
      </w:r>
      <w:r w:rsidR="00FF1912">
        <w:rPr>
          <w:lang w:eastAsia="en-AU"/>
        </w:rPr>
        <w:t>s</w:t>
      </w:r>
      <w:r>
        <w:rPr>
          <w:lang w:eastAsia="en-AU"/>
        </w:rPr>
        <w:t>.</w:t>
      </w:r>
    </w:p>
    <w:p w14:paraId="08C0AD5D" w14:textId="77777777" w:rsidR="00FF1912" w:rsidRDefault="00FF1912" w:rsidP="00D554B5">
      <w:pPr>
        <w:rPr>
          <w:lang w:eastAsia="en-AU"/>
        </w:rPr>
      </w:pPr>
      <w:r>
        <w:rPr>
          <w:lang w:eastAsia="en-AU"/>
        </w:rPr>
        <w:t xml:space="preserve">The PHMAC </w:t>
      </w:r>
      <w:r w:rsidRPr="008F3248">
        <w:rPr>
          <w:lang w:eastAsia="en-AU"/>
        </w:rPr>
        <w:t>Improved Models of Care Working Group</w:t>
      </w:r>
      <w:r>
        <w:rPr>
          <w:lang w:eastAsia="en-AU"/>
        </w:rPr>
        <w:t xml:space="preserve"> is examining the issue of insurance coverage for mental health and rehabilitation services, with the intention of ensuring that the regulatory regime does not result in hospitalisation solely to access private health insurance benefits.  </w:t>
      </w:r>
    </w:p>
    <w:p w14:paraId="08C0AD5F" w14:textId="77777777" w:rsidR="00847D23" w:rsidRDefault="00847D23" w:rsidP="00D554B5">
      <w:pPr>
        <w:rPr>
          <w:lang w:eastAsia="en-AU"/>
        </w:rPr>
      </w:pPr>
      <w:r>
        <w:rPr>
          <w:lang w:eastAsia="en-AU"/>
        </w:rPr>
        <w:t>The Government will continue to work with the private health insurance industry to ensure that appropriate alternatives to hospital treatment can be funded by private health insurers to ensure that patients receive timely, appropriate care in the most appropriate location.</w:t>
      </w:r>
    </w:p>
    <w:p w14:paraId="08C0AD61" w14:textId="23FC18B8" w:rsidR="00994B72" w:rsidRPr="00994B72" w:rsidRDefault="00DE2AF2" w:rsidP="00E7542D">
      <w:pPr>
        <w:pStyle w:val="Heading3"/>
      </w:pPr>
      <w:r>
        <w:t>Recommendation 11</w:t>
      </w:r>
    </w:p>
    <w:p w14:paraId="08C0AD62"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5.44 The committee recommends that private health insurers engage in negotiations with private hospitals and paediatric dentists to urgently resolve the issues surrounding paediatric dentistry.</w:t>
      </w:r>
    </w:p>
    <w:p w14:paraId="08C0AD64" w14:textId="77777777" w:rsidR="00AC1065" w:rsidRPr="00D655CC" w:rsidRDefault="00AC1065" w:rsidP="00E7542D">
      <w:pPr>
        <w:pStyle w:val="Heading4"/>
      </w:pPr>
      <w:r>
        <w:t>Response:</w:t>
      </w:r>
    </w:p>
    <w:p w14:paraId="08C0AD66" w14:textId="77777777" w:rsidR="00320A07" w:rsidRDefault="00E669E7" w:rsidP="00D554B5">
      <w:pPr>
        <w:rPr>
          <w:lang w:eastAsia="en-AU"/>
        </w:rPr>
      </w:pPr>
      <w:r>
        <w:rPr>
          <w:lang w:eastAsia="en-AU"/>
        </w:rPr>
        <w:t xml:space="preserve">The Government notes this recommendation. </w:t>
      </w:r>
    </w:p>
    <w:p w14:paraId="08C0AD68" w14:textId="3A486D9D" w:rsidR="00E502FB" w:rsidRDefault="00D962CB" w:rsidP="00E7542D">
      <w:pPr>
        <w:rPr>
          <w:lang w:eastAsia="en-AU"/>
        </w:rPr>
      </w:pPr>
      <w:r>
        <w:rPr>
          <w:lang w:eastAsia="en-AU"/>
        </w:rPr>
        <w:t xml:space="preserve">These are commercial arrangements and are therefore a matter to </w:t>
      </w:r>
      <w:r w:rsidR="00272366" w:rsidRPr="00272366">
        <w:rPr>
          <w:lang w:eastAsia="en-AU"/>
        </w:rPr>
        <w:t>be resolved between</w:t>
      </w:r>
      <w:r w:rsidR="00E669E7">
        <w:rPr>
          <w:lang w:eastAsia="en-AU"/>
        </w:rPr>
        <w:t xml:space="preserve"> private health</w:t>
      </w:r>
      <w:r w:rsidR="00272366" w:rsidRPr="00272366">
        <w:rPr>
          <w:lang w:eastAsia="en-AU"/>
        </w:rPr>
        <w:t xml:space="preserve"> insurers, </w:t>
      </w:r>
      <w:r w:rsidR="00E669E7">
        <w:rPr>
          <w:lang w:eastAsia="en-AU"/>
        </w:rPr>
        <w:t xml:space="preserve">private hospitals </w:t>
      </w:r>
      <w:r w:rsidR="00272366" w:rsidRPr="00272366">
        <w:rPr>
          <w:lang w:eastAsia="en-AU"/>
        </w:rPr>
        <w:t>and</w:t>
      </w:r>
      <w:r w:rsidR="00E669E7">
        <w:rPr>
          <w:lang w:eastAsia="en-AU"/>
        </w:rPr>
        <w:t xml:space="preserve"> paediatric</w:t>
      </w:r>
      <w:r w:rsidR="00272366" w:rsidRPr="00272366">
        <w:rPr>
          <w:lang w:eastAsia="en-AU"/>
        </w:rPr>
        <w:t xml:space="preserve"> dentists.</w:t>
      </w:r>
    </w:p>
    <w:p w14:paraId="08C0AD6A" w14:textId="14C894D6" w:rsidR="00994B72" w:rsidRPr="00994B72" w:rsidRDefault="00DE2AF2" w:rsidP="00E7542D">
      <w:pPr>
        <w:pStyle w:val="Heading3"/>
      </w:pPr>
      <w:r>
        <w:t>Recommendation 12</w:t>
      </w:r>
    </w:p>
    <w:p w14:paraId="08C0AD6B"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5.47 The committee recommends that the Commonwealth Government amend relevant legislation to prohibit the current practice of differential rebates for the same treatments provided under the same product in the same jurisdiction.</w:t>
      </w:r>
    </w:p>
    <w:p w14:paraId="08C0AD6D" w14:textId="77777777" w:rsidR="008E4AC7" w:rsidRDefault="0034230C" w:rsidP="00E7542D">
      <w:pPr>
        <w:pStyle w:val="Heading4"/>
      </w:pPr>
      <w:r>
        <w:t>Response</w:t>
      </w:r>
      <w:r w:rsidR="008E4AC7" w:rsidRPr="00E502FB">
        <w:t>:</w:t>
      </w:r>
    </w:p>
    <w:p w14:paraId="08C0AD6F" w14:textId="77777777" w:rsidR="00AB6E67" w:rsidRDefault="00AB6E67" w:rsidP="00D554B5">
      <w:pPr>
        <w:rPr>
          <w:lang w:eastAsia="en-AU"/>
        </w:rPr>
      </w:pPr>
      <w:r>
        <w:rPr>
          <w:lang w:eastAsia="en-AU"/>
        </w:rPr>
        <w:t xml:space="preserve">The Government </w:t>
      </w:r>
      <w:r w:rsidRPr="0048101C">
        <w:rPr>
          <w:lang w:eastAsia="en-AU"/>
        </w:rPr>
        <w:t>does not support</w:t>
      </w:r>
      <w:r>
        <w:rPr>
          <w:lang w:eastAsia="en-AU"/>
        </w:rPr>
        <w:t xml:space="preserve"> </w:t>
      </w:r>
      <w:r w:rsidR="00AF33EF">
        <w:rPr>
          <w:lang w:eastAsia="en-AU"/>
        </w:rPr>
        <w:t>this recommendation.</w:t>
      </w:r>
    </w:p>
    <w:p w14:paraId="08C0AD71" w14:textId="23771068" w:rsidR="00FF1912" w:rsidRDefault="00FF1912" w:rsidP="00D554B5">
      <w:pPr>
        <w:rPr>
          <w:lang w:eastAsia="en-AU"/>
        </w:rPr>
      </w:pPr>
      <w:r>
        <w:rPr>
          <w:lang w:eastAsia="en-AU"/>
        </w:rPr>
        <w:t>The ability for insurers to pay differential rebates for the same treatment is an essential part of the contracting proces</w:t>
      </w:r>
      <w:r w:rsidR="0085289E">
        <w:rPr>
          <w:lang w:eastAsia="en-AU"/>
        </w:rPr>
        <w:t>s between insurers and health providers</w:t>
      </w:r>
      <w:r>
        <w:rPr>
          <w:lang w:eastAsia="en-AU"/>
        </w:rPr>
        <w:t xml:space="preserve">, </w:t>
      </w:r>
      <w:r w:rsidRPr="00272366">
        <w:rPr>
          <w:lang w:eastAsia="en-AU"/>
        </w:rPr>
        <w:t>which is an important element in limiting growth in hospital premiums</w:t>
      </w:r>
      <w:r>
        <w:rPr>
          <w:lang w:eastAsia="en-AU"/>
        </w:rPr>
        <w:t>.</w:t>
      </w:r>
    </w:p>
    <w:p w14:paraId="08C0AD73" w14:textId="33736617" w:rsidR="00FF1912" w:rsidRDefault="0085289E" w:rsidP="00D554B5">
      <w:pPr>
        <w:rPr>
          <w:lang w:eastAsia="en-AU"/>
        </w:rPr>
      </w:pPr>
      <w:r>
        <w:rPr>
          <w:lang w:eastAsia="en-AU"/>
        </w:rPr>
        <w:t xml:space="preserve">It is similar </w:t>
      </w:r>
      <w:r w:rsidR="00FF1912">
        <w:rPr>
          <w:lang w:eastAsia="en-AU"/>
        </w:rPr>
        <w:t>to</w:t>
      </w:r>
      <w:r>
        <w:rPr>
          <w:lang w:eastAsia="en-AU"/>
        </w:rPr>
        <w:t xml:space="preserve"> the capacity for</w:t>
      </w:r>
      <w:r w:rsidR="00FF1912">
        <w:rPr>
          <w:lang w:eastAsia="en-AU"/>
        </w:rPr>
        <w:t xml:space="preserve"> motor vehicle insurers </w:t>
      </w:r>
      <w:r>
        <w:rPr>
          <w:lang w:eastAsia="en-AU"/>
        </w:rPr>
        <w:t>to contract with different auto repairers</w:t>
      </w:r>
      <w:r w:rsidR="00FF1912">
        <w:rPr>
          <w:lang w:eastAsia="en-AU"/>
        </w:rPr>
        <w:t xml:space="preserve"> at</w:t>
      </w:r>
      <w:r>
        <w:rPr>
          <w:lang w:eastAsia="en-AU"/>
        </w:rPr>
        <w:t xml:space="preserve"> different rates to ensure better </w:t>
      </w:r>
      <w:r w:rsidR="00FF1912">
        <w:rPr>
          <w:lang w:eastAsia="en-AU"/>
        </w:rPr>
        <w:t>value for policy holders.</w:t>
      </w:r>
    </w:p>
    <w:p w14:paraId="08C0AD75" w14:textId="77777777" w:rsidR="00930144" w:rsidRPr="00930144" w:rsidRDefault="00FF1912" w:rsidP="00D554B5">
      <w:pPr>
        <w:rPr>
          <w:lang w:eastAsia="en-AU"/>
        </w:rPr>
      </w:pPr>
      <w:r>
        <w:rPr>
          <w:lang w:eastAsia="en-AU"/>
        </w:rPr>
        <w:t>For general treatment services, such as dentistry, p</w:t>
      </w:r>
      <w:r w:rsidR="00930144" w:rsidRPr="00930144">
        <w:rPr>
          <w:lang w:eastAsia="en-AU"/>
        </w:rPr>
        <w:t>referred provider schemes and insurer-owned clinics are popular with consumers because they give them certainty about costs.</w:t>
      </w:r>
    </w:p>
    <w:p w14:paraId="08C0AD77" w14:textId="77777777" w:rsidR="00190147" w:rsidRDefault="00A11E36" w:rsidP="00D554B5">
      <w:pPr>
        <w:rPr>
          <w:lang w:eastAsia="en-AU"/>
        </w:rPr>
      </w:pPr>
      <w:r>
        <w:rPr>
          <w:lang w:eastAsia="en-AU"/>
        </w:rPr>
        <w:t>C</w:t>
      </w:r>
      <w:r w:rsidR="00B520E8">
        <w:rPr>
          <w:lang w:eastAsia="en-AU"/>
        </w:rPr>
        <w:t xml:space="preserve">onsumers are free to choose a </w:t>
      </w:r>
      <w:r w:rsidR="00BC5B42">
        <w:rPr>
          <w:lang w:eastAsia="en-AU"/>
        </w:rPr>
        <w:t xml:space="preserve">private health insurance </w:t>
      </w:r>
      <w:r w:rsidR="00B520E8">
        <w:rPr>
          <w:lang w:eastAsia="en-AU"/>
        </w:rPr>
        <w:t>policy that pays a set benefit regardless of provider</w:t>
      </w:r>
      <w:r>
        <w:rPr>
          <w:lang w:eastAsia="en-AU"/>
        </w:rPr>
        <w:t xml:space="preserve">, and many insurers offer such products. </w:t>
      </w:r>
    </w:p>
    <w:p w14:paraId="08C0AD78" w14:textId="7768AB0C" w:rsidR="00994B72" w:rsidRPr="00994B72" w:rsidRDefault="00DE2AF2" w:rsidP="00E7542D">
      <w:pPr>
        <w:pStyle w:val="Heading3"/>
        <w:pBdr>
          <w:left w:val="single" w:sz="4" w:space="1" w:color="auto"/>
          <w:right w:val="single" w:sz="4" w:space="1" w:color="auto"/>
        </w:pBdr>
      </w:pPr>
      <w:r>
        <w:t>Recommendation 13</w:t>
      </w:r>
    </w:p>
    <w:p w14:paraId="08C0AD79" w14:textId="77777777" w:rsidR="00994B72" w:rsidRPr="00E7542D" w:rsidRDefault="00994B72" w:rsidP="00E7542D">
      <w:pPr>
        <w:pBdr>
          <w:top w:val="single" w:sz="4" w:space="1" w:color="auto"/>
          <w:left w:val="single" w:sz="4" w:space="1" w:color="auto"/>
          <w:bottom w:val="single" w:sz="4" w:space="1" w:color="auto"/>
          <w:right w:val="single" w:sz="4" w:space="1" w:color="auto"/>
        </w:pBdr>
        <w:shd w:val="clear" w:color="auto" w:fill="F2F2F2" w:themeFill="background1" w:themeFillShade="F2"/>
        <w:rPr>
          <w:rFonts w:eastAsia="Times New Roman" w:cs="Times New Roman"/>
          <w:bCs/>
          <w:szCs w:val="24"/>
        </w:rPr>
      </w:pPr>
      <w:r w:rsidRPr="00E7542D">
        <w:rPr>
          <w:rFonts w:eastAsia="Times New Roman" w:cs="Times New Roman"/>
          <w:bCs/>
          <w:szCs w:val="24"/>
        </w:rPr>
        <w:lastRenderedPageBreak/>
        <w:t xml:space="preserve">5.49 The committee recommends that the Australian Competition and Consumer Commission reconsider whether private health insurers' use of data obtained from the Health Industry Claims and Processing Service is anti-competitive. </w:t>
      </w:r>
    </w:p>
    <w:p w14:paraId="08C0AD7A" w14:textId="77777777" w:rsidR="00994B72" w:rsidRPr="00E7542D" w:rsidRDefault="00994B72" w:rsidP="00E7542D">
      <w:pPr>
        <w:pBdr>
          <w:top w:val="single" w:sz="4" w:space="1" w:color="auto"/>
          <w:left w:val="single" w:sz="4" w:space="1" w:color="auto"/>
          <w:bottom w:val="single" w:sz="4" w:space="1" w:color="auto"/>
          <w:right w:val="single" w:sz="4" w:space="1" w:color="auto"/>
        </w:pBdr>
        <w:shd w:val="clear" w:color="auto" w:fill="F2F2F2" w:themeFill="background1" w:themeFillShade="F2"/>
        <w:rPr>
          <w:rFonts w:eastAsia="Times New Roman" w:cs="Times New Roman"/>
          <w:bCs/>
          <w:szCs w:val="24"/>
        </w:rPr>
      </w:pPr>
      <w:r w:rsidRPr="00E7542D">
        <w:rPr>
          <w:rFonts w:eastAsia="Times New Roman" w:cs="Times New Roman"/>
          <w:bCs/>
          <w:szCs w:val="24"/>
        </w:rPr>
        <w:t>5.50 The committee also recommends the Commonwealth Government amend relevant legislation to ensure there is a clear delineation between data obtained from the Health Industry Claims and Processing Service and data used by health insurers competing for services against other non-preferred providers. This should extend to a requirement that such data be maintained strictly and separately and that private health insurers should be prohibited from using data gained through claims processes for commercial gain.</w:t>
      </w:r>
    </w:p>
    <w:p w14:paraId="08C0AD7C" w14:textId="77777777" w:rsidR="008E4AC7" w:rsidRDefault="00855424" w:rsidP="00911C5A">
      <w:pPr>
        <w:pStyle w:val="Default"/>
        <w:keepNext/>
        <w:widowControl w:val="0"/>
        <w:spacing w:before="120" w:after="120"/>
        <w:rPr>
          <w:i/>
          <w:szCs w:val="20"/>
        </w:rPr>
      </w:pPr>
      <w:r>
        <w:rPr>
          <w:i/>
          <w:szCs w:val="20"/>
        </w:rPr>
        <w:t>Response:</w:t>
      </w:r>
    </w:p>
    <w:p w14:paraId="08C0AD7E" w14:textId="77777777" w:rsidR="00434A6F" w:rsidRDefault="00D54108" w:rsidP="00D554B5">
      <w:r w:rsidRPr="00B97FE4">
        <w:t xml:space="preserve">The Government </w:t>
      </w:r>
      <w:r w:rsidR="0048101C" w:rsidRPr="00B97FE4">
        <w:t xml:space="preserve">notes </w:t>
      </w:r>
      <w:r w:rsidR="005A3D22" w:rsidRPr="00B97FE4">
        <w:t>this recommendation.</w:t>
      </w:r>
    </w:p>
    <w:p w14:paraId="08C0AD80" w14:textId="6AEF8FD4" w:rsidR="004D3E57" w:rsidRDefault="00E350ED" w:rsidP="00D554B5">
      <w:r>
        <w:t xml:space="preserve">The Australian Competition and Consumer Commission (ACCC) has previously assessed a number of issues involving preferred provider arrangements and has not found any breach of the </w:t>
      </w:r>
      <w:r w:rsidRPr="00E350ED">
        <w:rPr>
          <w:i/>
        </w:rPr>
        <w:t>Competition and Consumer Act 2010</w:t>
      </w:r>
      <w:r>
        <w:t xml:space="preserve">. </w:t>
      </w:r>
      <w:r w:rsidR="007C590B">
        <w:t xml:space="preserve"> </w:t>
      </w:r>
      <w:r>
        <w:t>The</w:t>
      </w:r>
      <w:r w:rsidR="002550DC">
        <w:t xml:space="preserve"> </w:t>
      </w:r>
      <w:r>
        <w:t xml:space="preserve">ACCC’s private health insurance report for 2015-16 stated that </w:t>
      </w:r>
      <w:r w:rsidR="00A11E36">
        <w:t xml:space="preserve">its </w:t>
      </w:r>
      <w:r>
        <w:t xml:space="preserve">current assessment is that these matters are unlikely to raise competition issues. </w:t>
      </w:r>
      <w:r w:rsidR="007C590B">
        <w:t xml:space="preserve"> </w:t>
      </w:r>
      <w:r w:rsidR="0093059A">
        <w:t xml:space="preserve">The ACCC will continue to monitor complaints about preferred provider arrangements and assess </w:t>
      </w:r>
      <w:r w:rsidR="00A11E36">
        <w:t xml:space="preserve">any </w:t>
      </w:r>
      <w:r w:rsidR="0093059A">
        <w:t xml:space="preserve">issues </w:t>
      </w:r>
      <w:r w:rsidR="00A11E36">
        <w:t xml:space="preserve">that </w:t>
      </w:r>
      <w:r w:rsidR="005B0C37">
        <w:t xml:space="preserve">are </w:t>
      </w:r>
      <w:r w:rsidR="0093059A">
        <w:t>raised as they arise.</w:t>
      </w:r>
    </w:p>
    <w:p w14:paraId="08C0AD82" w14:textId="7E28CA3D" w:rsidR="00A11E36" w:rsidRDefault="00272366" w:rsidP="00D554B5">
      <w:r w:rsidRPr="0066536A">
        <w:t>In relation to</w:t>
      </w:r>
      <w:r w:rsidR="004D3E57">
        <w:t xml:space="preserve"> </w:t>
      </w:r>
      <w:r w:rsidR="004D3E57" w:rsidRPr="005A3D22">
        <w:t>recommendation 13</w:t>
      </w:r>
      <w:r w:rsidR="005A3D22" w:rsidRPr="005A3D22">
        <w:t xml:space="preserve"> (section 5.50</w:t>
      </w:r>
      <w:r w:rsidR="005A3D22">
        <w:t>)</w:t>
      </w:r>
      <w:r w:rsidR="004D3E57">
        <w:t>,</w:t>
      </w:r>
      <w:r w:rsidRPr="0066536A">
        <w:t xml:space="preserve"> currently insurers may use data gained through claims processes to determine where they may establish their own service providers, such as dental or optical centres. </w:t>
      </w:r>
      <w:r w:rsidR="007C590B">
        <w:t xml:space="preserve"> </w:t>
      </w:r>
      <w:r w:rsidRPr="0066536A">
        <w:t xml:space="preserve">In many cases, consumers who use an insurer’s own dental or optical centre will normally face no, or lower, out-of-pocket costs, whereas the average out-of-pocket cost for other dental services is around fifty per cent of the fee charged. </w:t>
      </w:r>
    </w:p>
    <w:p w14:paraId="08C0AD84" w14:textId="2E8350DD" w:rsidR="00272366" w:rsidRDefault="00272366" w:rsidP="00E7542D">
      <w:r w:rsidRPr="0066536A">
        <w:t xml:space="preserve">The </w:t>
      </w:r>
      <w:r w:rsidR="00BE2450">
        <w:t>Government</w:t>
      </w:r>
      <w:r w:rsidRPr="0066536A">
        <w:t xml:space="preserve"> </w:t>
      </w:r>
      <w:r w:rsidR="00A11E36">
        <w:t xml:space="preserve">does not intend </w:t>
      </w:r>
      <w:r w:rsidRPr="0066536A">
        <w:t xml:space="preserve">to remove arrangements that allow consumers </w:t>
      </w:r>
      <w:r>
        <w:t xml:space="preserve">the opportunity for </w:t>
      </w:r>
      <w:r w:rsidRPr="0066536A">
        <w:t>reduced or no out-of-pocket costs by using an insurer-owned service provider.</w:t>
      </w:r>
    </w:p>
    <w:p w14:paraId="08C0AD86" w14:textId="1C6B3D4A" w:rsidR="00994B72" w:rsidRPr="00994B72" w:rsidRDefault="00994B72" w:rsidP="00E7542D">
      <w:pPr>
        <w:pStyle w:val="Heading3"/>
      </w:pPr>
      <w:r w:rsidRPr="00994B72">
        <w:t xml:space="preserve">Recommendation </w:t>
      </w:r>
      <w:r>
        <w:t>14</w:t>
      </w:r>
    </w:p>
    <w:p w14:paraId="08C0AD87"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5.52 The committee recommends that the Commonwealth Government require intermediaries to disclose any commissions received from private health insurers for the service.</w:t>
      </w:r>
    </w:p>
    <w:p w14:paraId="08C0AD89" w14:textId="77777777" w:rsidR="00AC1065" w:rsidRPr="004E2620" w:rsidRDefault="00AC1065" w:rsidP="00E7542D">
      <w:pPr>
        <w:pStyle w:val="Heading4"/>
      </w:pPr>
      <w:r w:rsidRPr="004E2620">
        <w:t>Response:</w:t>
      </w:r>
    </w:p>
    <w:p w14:paraId="08C0AD8B" w14:textId="77777777" w:rsidR="00091ECC" w:rsidRPr="00326CF5" w:rsidRDefault="00DE1EE0" w:rsidP="00D554B5">
      <w:pPr>
        <w:rPr>
          <w:lang w:eastAsia="en-AU"/>
        </w:rPr>
      </w:pPr>
      <w:r w:rsidRPr="00326CF5">
        <w:rPr>
          <w:lang w:eastAsia="en-AU"/>
        </w:rPr>
        <w:t xml:space="preserve">The </w:t>
      </w:r>
      <w:r w:rsidR="00091ECC" w:rsidRPr="00326CF5">
        <w:rPr>
          <w:lang w:eastAsia="en-AU"/>
        </w:rPr>
        <w:t>Government</w:t>
      </w:r>
      <w:r w:rsidR="00A11E36">
        <w:rPr>
          <w:lang w:eastAsia="en-AU"/>
        </w:rPr>
        <w:t xml:space="preserve"> does not support</w:t>
      </w:r>
      <w:r w:rsidR="00091ECC" w:rsidRPr="00326CF5">
        <w:rPr>
          <w:lang w:eastAsia="en-AU"/>
        </w:rPr>
        <w:t xml:space="preserve"> </w:t>
      </w:r>
      <w:r w:rsidR="002C60DC" w:rsidRPr="00326CF5">
        <w:rPr>
          <w:lang w:eastAsia="en-AU"/>
        </w:rPr>
        <w:t>this recommendation.</w:t>
      </w:r>
    </w:p>
    <w:p w14:paraId="7EDB6B83" w14:textId="3E462407" w:rsidR="00D544D9" w:rsidRDefault="00BF0F45" w:rsidP="00D554B5">
      <w:pPr>
        <w:rPr>
          <w:lang w:eastAsia="en-AU"/>
        </w:rPr>
      </w:pPr>
      <w:r>
        <w:rPr>
          <w:lang w:eastAsia="en-AU"/>
        </w:rPr>
        <w:t>T</w:t>
      </w:r>
      <w:r w:rsidR="007042FD">
        <w:rPr>
          <w:lang w:eastAsia="en-AU"/>
        </w:rPr>
        <w:t xml:space="preserve">he Government does not support </w:t>
      </w:r>
      <w:r w:rsidR="00A11E36">
        <w:rPr>
          <w:lang w:eastAsia="en-AU"/>
        </w:rPr>
        <w:t>a</w:t>
      </w:r>
      <w:r>
        <w:rPr>
          <w:lang w:eastAsia="en-AU"/>
        </w:rPr>
        <w:t>dditional Commonwealth Government regulation of intermediaries.</w:t>
      </w:r>
      <w:r w:rsidR="0077421C">
        <w:rPr>
          <w:lang w:eastAsia="en-AU"/>
        </w:rPr>
        <w:t xml:space="preserve">  </w:t>
      </w:r>
      <w:r w:rsidR="005A3802">
        <w:rPr>
          <w:lang w:eastAsia="en-AU"/>
        </w:rPr>
        <w:t>I</w:t>
      </w:r>
      <w:r w:rsidR="00D544D9">
        <w:rPr>
          <w:lang w:eastAsia="en-AU"/>
        </w:rPr>
        <w:t xml:space="preserve">nsurers are encouraged to </w:t>
      </w:r>
      <w:r w:rsidR="009F590E">
        <w:rPr>
          <w:lang w:eastAsia="en-AU"/>
        </w:rPr>
        <w:t>be</w:t>
      </w:r>
      <w:r w:rsidR="00D544D9">
        <w:rPr>
          <w:lang w:eastAsia="en-AU"/>
        </w:rPr>
        <w:t xml:space="preserve"> transparen</w:t>
      </w:r>
      <w:r w:rsidR="009F590E">
        <w:rPr>
          <w:lang w:eastAsia="en-AU"/>
        </w:rPr>
        <w:t>t</w:t>
      </w:r>
      <w:r w:rsidR="00D544D9">
        <w:rPr>
          <w:lang w:eastAsia="en-AU"/>
        </w:rPr>
        <w:t xml:space="preserve"> a</w:t>
      </w:r>
      <w:r w:rsidR="009F590E">
        <w:rPr>
          <w:lang w:eastAsia="en-AU"/>
        </w:rPr>
        <w:t>bout</w:t>
      </w:r>
      <w:r w:rsidR="00D544D9">
        <w:rPr>
          <w:lang w:eastAsia="en-AU"/>
        </w:rPr>
        <w:t xml:space="preserve"> their commercial arrangements with intermediaries to raise awareness of these arrangements with consumers.  </w:t>
      </w:r>
    </w:p>
    <w:p w14:paraId="08C0AD91" w14:textId="4D432D23" w:rsidR="00EE0D83" w:rsidRPr="00326CF5" w:rsidRDefault="00467E0C" w:rsidP="002B61A1">
      <w:pPr>
        <w:rPr>
          <w:rFonts w:eastAsia="Times New Roman"/>
          <w:bCs/>
          <w:color w:val="000000"/>
          <w:szCs w:val="20"/>
          <w:lang w:eastAsia="en-AU"/>
        </w:rPr>
      </w:pPr>
      <w:r w:rsidRPr="00326CF5">
        <w:rPr>
          <w:rFonts w:eastAsia="Times New Roman"/>
          <w:bCs/>
          <w:color w:val="000000"/>
          <w:szCs w:val="20"/>
          <w:lang w:eastAsia="en-AU"/>
        </w:rPr>
        <w:t>The ACCC has published</w:t>
      </w:r>
      <w:r w:rsidRPr="00326CF5">
        <w:rPr>
          <w:color w:val="000000"/>
        </w:rPr>
        <w:t xml:space="preserve"> </w:t>
      </w:r>
      <w:hyperlink r:id="rId14" w:history="1">
        <w:r w:rsidRPr="00326CF5">
          <w:rPr>
            <w:rStyle w:val="Hyperlink"/>
            <w:rFonts w:cs="Times New Roman"/>
            <w:szCs w:val="24"/>
          </w:rPr>
          <w:t>industry guidance</w:t>
        </w:r>
      </w:hyperlink>
      <w:r w:rsidRPr="00326CF5">
        <w:rPr>
          <w:color w:val="000000"/>
        </w:rPr>
        <w:t xml:space="preserve"> </w:t>
      </w:r>
      <w:r w:rsidRPr="00326CF5">
        <w:rPr>
          <w:rFonts w:eastAsia="Times New Roman"/>
          <w:bCs/>
          <w:color w:val="000000"/>
          <w:szCs w:val="20"/>
          <w:lang w:eastAsia="en-AU"/>
        </w:rPr>
        <w:t>for comparator we</w:t>
      </w:r>
      <w:r>
        <w:rPr>
          <w:rFonts w:eastAsia="Times New Roman"/>
          <w:bCs/>
          <w:color w:val="000000"/>
          <w:szCs w:val="20"/>
          <w:lang w:eastAsia="en-AU"/>
        </w:rPr>
        <w:t xml:space="preserve">bsite operators and suppliers, setting </w:t>
      </w:r>
      <w:r w:rsidRPr="00326CF5">
        <w:rPr>
          <w:rFonts w:eastAsia="Times New Roman"/>
          <w:bCs/>
          <w:color w:val="000000"/>
          <w:szCs w:val="20"/>
          <w:lang w:eastAsia="en-AU"/>
        </w:rPr>
        <w:t>out the standards that the ACCC expects comparator websites to meet, including being transparent about commercial relationships.</w:t>
      </w:r>
      <w:r w:rsidR="00D86CAD">
        <w:rPr>
          <w:rFonts w:eastAsia="Times New Roman"/>
          <w:bCs/>
          <w:color w:val="000000"/>
          <w:szCs w:val="20"/>
          <w:lang w:eastAsia="en-AU"/>
        </w:rPr>
        <w:t xml:space="preserve">  </w:t>
      </w:r>
      <w:r w:rsidR="00D32B37">
        <w:rPr>
          <w:rFonts w:eastAsia="Times New Roman"/>
          <w:bCs/>
          <w:color w:val="000000"/>
          <w:szCs w:val="20"/>
          <w:lang w:eastAsia="en-AU"/>
        </w:rPr>
        <w:t xml:space="preserve">Information is increasingly being </w:t>
      </w:r>
      <w:r w:rsidR="00BC1C75">
        <w:rPr>
          <w:rFonts w:eastAsia="Times New Roman"/>
          <w:bCs/>
          <w:color w:val="000000"/>
          <w:szCs w:val="20"/>
          <w:lang w:eastAsia="en-AU"/>
        </w:rPr>
        <w:t xml:space="preserve">made </w:t>
      </w:r>
      <w:r w:rsidR="00D32B37">
        <w:rPr>
          <w:rFonts w:eastAsia="Times New Roman"/>
          <w:bCs/>
          <w:color w:val="000000"/>
          <w:szCs w:val="20"/>
          <w:lang w:eastAsia="en-AU"/>
        </w:rPr>
        <w:t>available to consumers – a</w:t>
      </w:r>
      <w:r w:rsidR="00BF0F45">
        <w:rPr>
          <w:rFonts w:eastAsia="Times New Roman"/>
          <w:bCs/>
          <w:color w:val="000000"/>
          <w:szCs w:val="20"/>
          <w:lang w:eastAsia="en-AU"/>
        </w:rPr>
        <w:t xml:space="preserve"> </w:t>
      </w:r>
      <w:r w:rsidR="005C6C57" w:rsidRPr="00326CF5">
        <w:rPr>
          <w:rFonts w:eastAsia="Times New Roman"/>
          <w:bCs/>
          <w:color w:val="000000"/>
          <w:szCs w:val="20"/>
          <w:lang w:eastAsia="en-AU"/>
        </w:rPr>
        <w:t>number of intermediaries already disclose payments and commissions on their websites for complete transparency</w:t>
      </w:r>
      <w:r w:rsidR="00B63ACE">
        <w:rPr>
          <w:rFonts w:eastAsia="Times New Roman"/>
          <w:bCs/>
          <w:color w:val="000000"/>
          <w:szCs w:val="20"/>
          <w:lang w:eastAsia="en-AU"/>
        </w:rPr>
        <w:t xml:space="preserve"> in accordance with ACCC guidelines</w:t>
      </w:r>
      <w:r w:rsidR="005C6C57" w:rsidRPr="00326CF5">
        <w:rPr>
          <w:rFonts w:eastAsia="Times New Roman"/>
          <w:bCs/>
          <w:color w:val="000000"/>
          <w:szCs w:val="20"/>
          <w:lang w:eastAsia="en-AU"/>
        </w:rPr>
        <w:t>.</w:t>
      </w:r>
    </w:p>
    <w:p w14:paraId="08C0AD93" w14:textId="6FBF545E" w:rsidR="00994B72" w:rsidRPr="00994B72" w:rsidRDefault="00994B72" w:rsidP="00E7542D">
      <w:pPr>
        <w:pStyle w:val="Heading3"/>
      </w:pPr>
      <w:r w:rsidRPr="00994B72">
        <w:t xml:space="preserve">Recommendation </w:t>
      </w:r>
      <w:r>
        <w:t>15</w:t>
      </w:r>
    </w:p>
    <w:p w14:paraId="08C0AD94" w14:textId="77777777" w:rsidR="00994B72" w:rsidRPr="00994B72" w:rsidRDefault="00994B72"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994B72">
        <w:rPr>
          <w:rFonts w:eastAsia="Times New Roman" w:cs="Times New Roman"/>
          <w:bCs/>
          <w:szCs w:val="24"/>
        </w:rPr>
        <w:t>5.53 The committee recommends that the Commonwealth Government amend relevant legislation to require all private health insurers disclose executive remuneration and other administrative costs.</w:t>
      </w:r>
    </w:p>
    <w:p w14:paraId="08C0AD96" w14:textId="77777777" w:rsidR="00AC1065" w:rsidRPr="002B61A1" w:rsidRDefault="00AC1065" w:rsidP="00E7542D">
      <w:pPr>
        <w:pStyle w:val="Heading4"/>
      </w:pPr>
      <w:r w:rsidRPr="002B61A1">
        <w:t>Response:</w:t>
      </w:r>
    </w:p>
    <w:p w14:paraId="08C0AD98" w14:textId="77777777" w:rsidR="00A11E36" w:rsidRPr="00326CF5" w:rsidRDefault="00A11E36" w:rsidP="00D554B5">
      <w:pPr>
        <w:rPr>
          <w:lang w:eastAsia="en-AU"/>
        </w:rPr>
      </w:pPr>
      <w:r w:rsidRPr="00326CF5">
        <w:rPr>
          <w:lang w:eastAsia="en-AU"/>
        </w:rPr>
        <w:t>The Government</w:t>
      </w:r>
      <w:r>
        <w:rPr>
          <w:lang w:eastAsia="en-AU"/>
        </w:rPr>
        <w:t xml:space="preserve"> does not support</w:t>
      </w:r>
      <w:r w:rsidRPr="00326CF5">
        <w:rPr>
          <w:lang w:eastAsia="en-AU"/>
        </w:rPr>
        <w:t xml:space="preserve"> this recommendation.</w:t>
      </w:r>
    </w:p>
    <w:p w14:paraId="08C0AD9A" w14:textId="77777777" w:rsidR="00A11E36" w:rsidRDefault="00A11E36" w:rsidP="00D554B5">
      <w:pPr>
        <w:rPr>
          <w:lang w:eastAsia="en-AU"/>
        </w:rPr>
      </w:pPr>
      <w:r>
        <w:rPr>
          <w:lang w:eastAsia="en-AU"/>
        </w:rPr>
        <w:lastRenderedPageBreak/>
        <w:t>The Australian Prudential Regulat</w:t>
      </w:r>
      <w:r w:rsidR="00E16ABD">
        <w:rPr>
          <w:lang w:eastAsia="en-AU"/>
        </w:rPr>
        <w:t>i</w:t>
      </w:r>
      <w:r>
        <w:rPr>
          <w:lang w:eastAsia="en-AU"/>
        </w:rPr>
        <w:t>o</w:t>
      </w:r>
      <w:r w:rsidR="00E16ABD">
        <w:rPr>
          <w:lang w:eastAsia="en-AU"/>
        </w:rPr>
        <w:t>n</w:t>
      </w:r>
      <w:r>
        <w:rPr>
          <w:lang w:eastAsia="en-AU"/>
        </w:rPr>
        <w:t xml:space="preserve"> Authority already collects and publishes management expenses for all private health insurers, and listed insurers also publish details of executive remuneration.</w:t>
      </w:r>
    </w:p>
    <w:p w14:paraId="08C0AD9C" w14:textId="6AB23BCF" w:rsidR="00A11E36" w:rsidRDefault="00A11E36" w:rsidP="00D554B5">
      <w:r>
        <w:rPr>
          <w:lang w:eastAsia="en-AU"/>
        </w:rPr>
        <w:t xml:space="preserve">The Government does not believe there is a case for requiring other insurers to publish executive remuneration.  </w:t>
      </w:r>
    </w:p>
    <w:p w14:paraId="08C0AD9E" w14:textId="77777777" w:rsidR="00994B72" w:rsidRPr="00994B72" w:rsidRDefault="00994B72" w:rsidP="00E7542D">
      <w:pPr>
        <w:pStyle w:val="Heading3"/>
      </w:pPr>
      <w:r w:rsidRPr="00994B72">
        <w:t xml:space="preserve">Recommendation </w:t>
      </w:r>
      <w:r w:rsidR="00632BFA">
        <w:t>16</w:t>
      </w:r>
    </w:p>
    <w:p w14:paraId="08C0AD9F" w14:textId="77777777" w:rsidR="00994B72"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5.55 The committee recommends that the Minister for Health amend the legislation to require private health insurers to provide adequate written notice of changes to policies and eligibility to allow consumers to consider alternatives, and that this notice clearly communicates changes to the policy that may affect the insured person's coverage, especially where such changes may be detrimental. Where relevant, the notice period should correspond to the eligibility period for any service or treatment affected by the changes.</w:t>
      </w:r>
    </w:p>
    <w:p w14:paraId="08C0ADA1" w14:textId="77777777" w:rsidR="00AC1065" w:rsidRPr="00D655CC" w:rsidRDefault="00AC1065" w:rsidP="00E7542D">
      <w:pPr>
        <w:pStyle w:val="Heading4"/>
      </w:pPr>
      <w:r>
        <w:t>Response:</w:t>
      </w:r>
    </w:p>
    <w:p w14:paraId="08C0ADA3" w14:textId="77777777" w:rsidR="00855424" w:rsidRPr="00C62F12" w:rsidRDefault="00AD1B70" w:rsidP="002B61A1">
      <w:pPr>
        <w:rPr>
          <w:lang w:eastAsia="en-AU"/>
        </w:rPr>
      </w:pPr>
      <w:r w:rsidRPr="00C62F12">
        <w:rPr>
          <w:lang w:eastAsia="en-AU"/>
        </w:rPr>
        <w:t>The Government does not support this recommendation.</w:t>
      </w:r>
    </w:p>
    <w:p w14:paraId="08C0ADA5" w14:textId="3C7ACB39" w:rsidR="00684367" w:rsidRDefault="00B12C60" w:rsidP="002B61A1">
      <w:pPr>
        <w:rPr>
          <w:lang w:eastAsia="en-AU"/>
        </w:rPr>
      </w:pPr>
      <w:r w:rsidRPr="00C62F12">
        <w:rPr>
          <w:lang w:eastAsia="en-AU"/>
        </w:rPr>
        <w:t xml:space="preserve">Under Section 93-20(2) of the </w:t>
      </w:r>
      <w:r w:rsidRPr="00C62F12">
        <w:rPr>
          <w:i/>
          <w:lang w:eastAsia="en-AU"/>
        </w:rPr>
        <w:t>Private Health Insurance Act 2007</w:t>
      </w:r>
      <w:r w:rsidR="00367629">
        <w:rPr>
          <w:lang w:eastAsia="en-AU"/>
        </w:rPr>
        <w:t xml:space="preserve"> (the Act)</w:t>
      </w:r>
      <w:r w:rsidRPr="00C62F12">
        <w:rPr>
          <w:lang w:eastAsia="en-AU"/>
        </w:rPr>
        <w:t xml:space="preserve">, private </w:t>
      </w:r>
      <w:r w:rsidR="00684367" w:rsidRPr="00C62F12">
        <w:rPr>
          <w:lang w:eastAsia="en-AU"/>
        </w:rPr>
        <w:t xml:space="preserve">health insurers are required to provide a Standard Information Statement </w:t>
      </w:r>
      <w:r w:rsidR="00E359E9">
        <w:rPr>
          <w:lang w:eastAsia="en-AU"/>
        </w:rPr>
        <w:t xml:space="preserve">(SIS) </w:t>
      </w:r>
      <w:r w:rsidR="00684367" w:rsidRPr="00C62F12">
        <w:rPr>
          <w:lang w:eastAsia="en-AU"/>
        </w:rPr>
        <w:t>when a change might be detrimental to the interests of an insured person</w:t>
      </w:r>
      <w:r w:rsidR="00D3745F">
        <w:rPr>
          <w:lang w:eastAsia="en-AU"/>
        </w:rPr>
        <w:t>, including changes to eligibility (waiting periods)</w:t>
      </w:r>
      <w:r w:rsidR="00684367" w:rsidRPr="00C62F12">
        <w:rPr>
          <w:lang w:eastAsia="en-AU"/>
        </w:rPr>
        <w:t>.</w:t>
      </w:r>
      <w:r w:rsidRPr="00C62F12">
        <w:rPr>
          <w:lang w:eastAsia="en-AU"/>
        </w:rPr>
        <w:t xml:space="preserve"> </w:t>
      </w:r>
      <w:r w:rsidR="00BF0F45">
        <w:rPr>
          <w:lang w:eastAsia="en-AU"/>
        </w:rPr>
        <w:t>T</w:t>
      </w:r>
      <w:r w:rsidR="000932C6" w:rsidRPr="000932C6">
        <w:rPr>
          <w:lang w:eastAsia="en-AU"/>
        </w:rPr>
        <w:t xml:space="preserve">his requirement will continue. </w:t>
      </w:r>
      <w:r w:rsidR="007C590B">
        <w:rPr>
          <w:lang w:eastAsia="en-AU"/>
        </w:rPr>
        <w:t xml:space="preserve"> </w:t>
      </w:r>
      <w:r w:rsidR="00BF0F45">
        <w:rPr>
          <w:lang w:eastAsia="en-AU"/>
        </w:rPr>
        <w:t>Under the legislation, a</w:t>
      </w:r>
      <w:r w:rsidRPr="00C62F12">
        <w:rPr>
          <w:lang w:eastAsia="en-AU"/>
        </w:rPr>
        <w:t xml:space="preserve">n insured person must be informed about the proposed change </w:t>
      </w:r>
      <w:r w:rsidR="00A96446">
        <w:rPr>
          <w:lang w:eastAsia="en-AU"/>
        </w:rPr>
        <w:t xml:space="preserve">in </w:t>
      </w:r>
      <w:r w:rsidRPr="00C62F12">
        <w:rPr>
          <w:lang w:eastAsia="en-AU"/>
        </w:rPr>
        <w:t>a reasonable time b</w:t>
      </w:r>
      <w:r w:rsidR="00876F31" w:rsidRPr="00C62F12">
        <w:rPr>
          <w:lang w:eastAsia="en-AU"/>
        </w:rPr>
        <w:t>efore the change takes effect.</w:t>
      </w:r>
    </w:p>
    <w:p w14:paraId="5013CC7C" w14:textId="3B33297E" w:rsidR="00BF0DFE" w:rsidRPr="00C62F12" w:rsidRDefault="00BF0DFE" w:rsidP="002B61A1">
      <w:pPr>
        <w:rPr>
          <w:lang w:eastAsia="en-AU"/>
        </w:rPr>
      </w:pPr>
      <w:r>
        <w:rPr>
          <w:lang w:eastAsia="en-AU"/>
        </w:rPr>
        <w:t>Insurers have adopted a 60-day written notice period for detrimental product changes under the Private Health Industry Code of Conduct.  This corresponds to the waiting period for most services.</w:t>
      </w:r>
    </w:p>
    <w:p w14:paraId="4C5D3190" w14:textId="77777777" w:rsidR="004D2C26" w:rsidRDefault="00272366" w:rsidP="002B61A1">
      <w:pPr>
        <w:rPr>
          <w:lang w:eastAsia="en-AU"/>
        </w:rPr>
      </w:pPr>
      <w:r w:rsidRPr="00C62F12">
        <w:rPr>
          <w:lang w:eastAsia="en-AU"/>
        </w:rPr>
        <w:t xml:space="preserve">If consumers were to receive information </w:t>
      </w:r>
      <w:r w:rsidR="00D667B4">
        <w:rPr>
          <w:lang w:eastAsia="en-AU"/>
        </w:rPr>
        <w:t>every</w:t>
      </w:r>
      <w:r w:rsidR="00D667B4" w:rsidRPr="00C62F12">
        <w:rPr>
          <w:lang w:eastAsia="en-AU"/>
        </w:rPr>
        <w:t xml:space="preserve"> </w:t>
      </w:r>
      <w:r w:rsidRPr="00C62F12">
        <w:rPr>
          <w:lang w:eastAsia="en-AU"/>
        </w:rPr>
        <w:t>time</w:t>
      </w:r>
      <w:r w:rsidR="00B67710">
        <w:rPr>
          <w:lang w:eastAsia="en-AU"/>
        </w:rPr>
        <w:t xml:space="preserve"> there was a</w:t>
      </w:r>
      <w:r w:rsidR="00D667B4">
        <w:rPr>
          <w:lang w:eastAsia="en-AU"/>
        </w:rPr>
        <w:t>ny</w:t>
      </w:r>
      <w:r w:rsidR="00B67710">
        <w:rPr>
          <w:lang w:eastAsia="en-AU"/>
        </w:rPr>
        <w:t xml:space="preserve"> change in policy benefits</w:t>
      </w:r>
      <w:r w:rsidR="00B04F21" w:rsidRPr="00C62F12">
        <w:rPr>
          <w:lang w:eastAsia="en-AU"/>
        </w:rPr>
        <w:t xml:space="preserve">, for example, </w:t>
      </w:r>
      <w:r w:rsidR="00B67710">
        <w:rPr>
          <w:lang w:eastAsia="en-AU"/>
        </w:rPr>
        <w:t>changes in contract arrangements between</w:t>
      </w:r>
      <w:r w:rsidR="00BF0F45">
        <w:rPr>
          <w:lang w:eastAsia="en-AU"/>
        </w:rPr>
        <w:t xml:space="preserve"> individual</w:t>
      </w:r>
      <w:r w:rsidR="00B67710">
        <w:rPr>
          <w:lang w:eastAsia="en-AU"/>
        </w:rPr>
        <w:t xml:space="preserve"> </w:t>
      </w:r>
      <w:r w:rsidR="00B04F21" w:rsidRPr="00C62F12">
        <w:rPr>
          <w:lang w:eastAsia="en-AU"/>
        </w:rPr>
        <w:t>hospitals and private health insurers</w:t>
      </w:r>
      <w:r w:rsidRPr="00C62F12">
        <w:rPr>
          <w:lang w:eastAsia="en-AU"/>
        </w:rPr>
        <w:t xml:space="preserve">, </w:t>
      </w:r>
      <w:r w:rsidR="00220C73">
        <w:rPr>
          <w:lang w:eastAsia="en-AU"/>
        </w:rPr>
        <w:t xml:space="preserve">the volume of </w:t>
      </w:r>
      <w:r w:rsidRPr="00C62F12">
        <w:rPr>
          <w:lang w:eastAsia="en-AU"/>
        </w:rPr>
        <w:t xml:space="preserve">information </w:t>
      </w:r>
      <w:r w:rsidR="00220C73">
        <w:rPr>
          <w:lang w:eastAsia="en-AU"/>
        </w:rPr>
        <w:t>would be burdensome</w:t>
      </w:r>
      <w:r w:rsidRPr="00C62F12">
        <w:rPr>
          <w:lang w:eastAsia="en-AU"/>
        </w:rPr>
        <w:t xml:space="preserve"> and the intended benefit of providing</w:t>
      </w:r>
      <w:r w:rsidR="0085289E">
        <w:rPr>
          <w:lang w:eastAsia="en-AU"/>
        </w:rPr>
        <w:t xml:space="preserve"> this information lost. </w:t>
      </w:r>
      <w:r w:rsidRPr="00C62F12">
        <w:rPr>
          <w:lang w:eastAsia="en-AU"/>
        </w:rPr>
        <w:t>It w</w:t>
      </w:r>
      <w:r w:rsidR="007C590B">
        <w:rPr>
          <w:lang w:eastAsia="en-AU"/>
        </w:rPr>
        <w:t xml:space="preserve">ould </w:t>
      </w:r>
      <w:r w:rsidR="0085289E">
        <w:rPr>
          <w:lang w:eastAsia="en-AU"/>
        </w:rPr>
        <w:t xml:space="preserve">also add significant administrative cost to insurers, </w:t>
      </w:r>
      <w:r w:rsidRPr="00C62F12">
        <w:rPr>
          <w:lang w:eastAsia="en-AU"/>
        </w:rPr>
        <w:t>who have to provide this information to consumers</w:t>
      </w:r>
      <w:r w:rsidR="00BF0F45">
        <w:rPr>
          <w:lang w:eastAsia="en-AU"/>
        </w:rPr>
        <w:t xml:space="preserve">, which would put </w:t>
      </w:r>
      <w:r w:rsidR="007D5CD2">
        <w:rPr>
          <w:lang w:eastAsia="en-AU"/>
        </w:rPr>
        <w:t>pressure on premiums. It is also inconsistent with</w:t>
      </w:r>
      <w:r w:rsidRPr="00C62F12">
        <w:rPr>
          <w:lang w:eastAsia="en-AU"/>
        </w:rPr>
        <w:t xml:space="preserve"> the information provision reforms announced as part of the private health insurance reform package, which aim to provide clearer information to consumers in a manner that best suits their needs, and simplify administr</w:t>
      </w:r>
      <w:r w:rsidR="007D5CD2">
        <w:rPr>
          <w:lang w:eastAsia="en-AU"/>
        </w:rPr>
        <w:t>ative arrangements.</w:t>
      </w:r>
    </w:p>
    <w:p w14:paraId="43CC0C90" w14:textId="6CD5A57C" w:rsidR="004D2C26" w:rsidRPr="004D2C26" w:rsidRDefault="004D2C26" w:rsidP="00E7542D">
      <w:pPr>
        <w:pStyle w:val="Heading3"/>
      </w:pPr>
      <w:r w:rsidRPr="004D2C26">
        <w:t>Recommendation 17</w:t>
      </w:r>
    </w:p>
    <w:p w14:paraId="08C0ADAA" w14:textId="77777777" w:rsidR="00994B72"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5.60 The committee recommends that the Private Health Insurance Ombudsman advise the Minister for Health in 2019 on additional measures that could be introduced to make private health insurance easier to understand that are in addition to significant reforms being introduced in 2018 and 2019.</w:t>
      </w:r>
    </w:p>
    <w:p w14:paraId="08C0ADAC" w14:textId="77777777" w:rsidR="00AC1065" w:rsidRPr="00D655CC" w:rsidRDefault="00AC1065" w:rsidP="00E7542D">
      <w:pPr>
        <w:pStyle w:val="Heading4"/>
      </w:pPr>
      <w:r>
        <w:t>Response:</w:t>
      </w:r>
    </w:p>
    <w:p w14:paraId="08C0ADAE" w14:textId="77777777" w:rsidR="00546113" w:rsidRDefault="00546113" w:rsidP="002B61A1">
      <w:r>
        <w:t xml:space="preserve">The Government </w:t>
      </w:r>
      <w:r w:rsidR="00677D94">
        <w:t>notes</w:t>
      </w:r>
      <w:r w:rsidR="00DC5B35">
        <w:t xml:space="preserve"> </w:t>
      </w:r>
      <w:r>
        <w:t>this recommendation.</w:t>
      </w:r>
    </w:p>
    <w:p w14:paraId="08C0ADB0" w14:textId="77777777" w:rsidR="00A11E36" w:rsidRDefault="0005223D" w:rsidP="002B61A1">
      <w:pPr>
        <w:rPr>
          <w:lang w:eastAsia="en-AU"/>
        </w:rPr>
      </w:pPr>
      <w:r>
        <w:rPr>
          <w:lang w:eastAsia="en-AU"/>
        </w:rPr>
        <w:t xml:space="preserve">The Government has announced a </w:t>
      </w:r>
      <w:r w:rsidR="00272366" w:rsidRPr="00272366">
        <w:rPr>
          <w:lang w:eastAsia="en-AU"/>
        </w:rPr>
        <w:t>number of significant reforms in relation to making information simpler for consumers to access, understand and compare policies</w:t>
      </w:r>
      <w:r w:rsidR="00A11E36">
        <w:rPr>
          <w:lang w:eastAsia="en-AU"/>
        </w:rPr>
        <w:t xml:space="preserve">, and </w:t>
      </w:r>
      <w:r w:rsidR="00AC4221">
        <w:rPr>
          <w:lang w:eastAsia="en-AU"/>
        </w:rPr>
        <w:t xml:space="preserve">will </w:t>
      </w:r>
      <w:r w:rsidR="00272366" w:rsidRPr="00272366">
        <w:rPr>
          <w:lang w:eastAsia="en-AU"/>
        </w:rPr>
        <w:t xml:space="preserve">implement </w:t>
      </w:r>
      <w:r w:rsidR="00AC4221">
        <w:rPr>
          <w:lang w:eastAsia="en-AU"/>
        </w:rPr>
        <w:t xml:space="preserve">these arrangements </w:t>
      </w:r>
      <w:r w:rsidR="00272366" w:rsidRPr="00272366">
        <w:rPr>
          <w:lang w:eastAsia="en-AU"/>
        </w:rPr>
        <w:t xml:space="preserve">prior to </w:t>
      </w:r>
      <w:r w:rsidR="00AC4221">
        <w:rPr>
          <w:lang w:eastAsia="en-AU"/>
        </w:rPr>
        <w:t xml:space="preserve">considering </w:t>
      </w:r>
      <w:r w:rsidR="00272366" w:rsidRPr="00272366">
        <w:rPr>
          <w:lang w:eastAsia="en-AU"/>
        </w:rPr>
        <w:t xml:space="preserve">additional measures. </w:t>
      </w:r>
    </w:p>
    <w:p w14:paraId="08C0ADB2" w14:textId="77777777" w:rsidR="00E502FB" w:rsidRDefault="00272366" w:rsidP="002B61A1">
      <w:pPr>
        <w:rPr>
          <w:lang w:eastAsia="en-AU"/>
        </w:rPr>
      </w:pPr>
      <w:r w:rsidRPr="00272366">
        <w:rPr>
          <w:lang w:eastAsia="en-AU"/>
        </w:rPr>
        <w:t xml:space="preserve">However, should the </w:t>
      </w:r>
      <w:r w:rsidR="00AC4221">
        <w:rPr>
          <w:lang w:eastAsia="en-AU"/>
        </w:rPr>
        <w:t>PHIO</w:t>
      </w:r>
      <w:r w:rsidRPr="00272366">
        <w:rPr>
          <w:lang w:eastAsia="en-AU"/>
        </w:rPr>
        <w:t xml:space="preserve"> recommend additional measures, the </w:t>
      </w:r>
      <w:r w:rsidR="00AC4221">
        <w:rPr>
          <w:lang w:eastAsia="en-AU"/>
        </w:rPr>
        <w:t>D</w:t>
      </w:r>
      <w:r w:rsidRPr="00272366">
        <w:rPr>
          <w:lang w:eastAsia="en-AU"/>
        </w:rPr>
        <w:t xml:space="preserve">epartment </w:t>
      </w:r>
      <w:r w:rsidR="00AC4221">
        <w:rPr>
          <w:lang w:eastAsia="en-AU"/>
        </w:rPr>
        <w:t xml:space="preserve">of Health </w:t>
      </w:r>
      <w:r w:rsidR="00291280">
        <w:rPr>
          <w:lang w:eastAsia="en-AU"/>
        </w:rPr>
        <w:t xml:space="preserve">and the PHIO </w:t>
      </w:r>
      <w:r w:rsidRPr="00272366">
        <w:rPr>
          <w:lang w:eastAsia="en-AU"/>
        </w:rPr>
        <w:t>will work in collaboration to ensure</w:t>
      </w:r>
      <w:r w:rsidR="00291280">
        <w:rPr>
          <w:lang w:eastAsia="en-AU"/>
        </w:rPr>
        <w:t xml:space="preserve"> any additional reforms</w:t>
      </w:r>
      <w:r w:rsidRPr="00272366">
        <w:rPr>
          <w:lang w:eastAsia="en-AU"/>
        </w:rPr>
        <w:t xml:space="preserve"> complement current reforms and are implemented smoothly.</w:t>
      </w:r>
    </w:p>
    <w:p w14:paraId="08C0ADB4" w14:textId="77777777" w:rsidR="00632BFA" w:rsidRPr="00994B72" w:rsidRDefault="00632BFA" w:rsidP="00E7542D">
      <w:pPr>
        <w:pStyle w:val="Heading3"/>
      </w:pPr>
      <w:r w:rsidRPr="00994B72">
        <w:t xml:space="preserve">Recommendation </w:t>
      </w:r>
      <w:r>
        <w:t>18</w:t>
      </w:r>
    </w:p>
    <w:p w14:paraId="08C0ADB5" w14:textId="77777777" w:rsidR="00632BFA"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 xml:space="preserve">5.61 The committee recommends that the Australian Competition and Consumer Commission, in consultation with the Private Health Insurance Ombudsman, commence work </w:t>
      </w:r>
      <w:r w:rsidRPr="00632BFA">
        <w:rPr>
          <w:rFonts w:eastAsia="Times New Roman" w:cs="Times New Roman"/>
          <w:bCs/>
          <w:szCs w:val="24"/>
        </w:rPr>
        <w:lastRenderedPageBreak/>
        <w:t>to establish a new code of conduct that will provide the framework for engagement between private health insurers and healthcare providers.</w:t>
      </w:r>
    </w:p>
    <w:p w14:paraId="08C0ADB7" w14:textId="77777777" w:rsidR="00AC1065" w:rsidRPr="00D655CC" w:rsidRDefault="00AC1065" w:rsidP="00E7542D">
      <w:pPr>
        <w:pStyle w:val="Heading4"/>
      </w:pPr>
      <w:r>
        <w:t>Response:</w:t>
      </w:r>
    </w:p>
    <w:p w14:paraId="08C0ADB9" w14:textId="77777777" w:rsidR="00DB6834" w:rsidRDefault="00DB6834" w:rsidP="00911C5A">
      <w:pPr>
        <w:rPr>
          <w:rFonts w:eastAsia="Times New Roman" w:cs="Times New Roman"/>
          <w:bCs/>
          <w:color w:val="000000"/>
          <w:szCs w:val="20"/>
          <w:lang w:eastAsia="en-AU"/>
        </w:rPr>
      </w:pPr>
      <w:r>
        <w:rPr>
          <w:rFonts w:eastAsia="Times New Roman" w:cs="Times New Roman"/>
          <w:bCs/>
          <w:color w:val="000000"/>
          <w:szCs w:val="20"/>
          <w:lang w:eastAsia="en-AU"/>
        </w:rPr>
        <w:t xml:space="preserve">The Government </w:t>
      </w:r>
      <w:r w:rsidR="00A11E36">
        <w:rPr>
          <w:rFonts w:eastAsia="Times New Roman" w:cs="Times New Roman"/>
          <w:bCs/>
          <w:color w:val="000000"/>
          <w:szCs w:val="20"/>
          <w:lang w:eastAsia="en-AU"/>
        </w:rPr>
        <w:t xml:space="preserve">does not support </w:t>
      </w:r>
      <w:r>
        <w:rPr>
          <w:rFonts w:eastAsia="Times New Roman" w:cs="Times New Roman"/>
          <w:bCs/>
          <w:color w:val="000000"/>
          <w:szCs w:val="20"/>
          <w:lang w:eastAsia="en-AU"/>
        </w:rPr>
        <w:t>this recommendation.</w:t>
      </w:r>
    </w:p>
    <w:p w14:paraId="08C0ADBB" w14:textId="4F9797BA" w:rsidR="004007C8" w:rsidRDefault="00C301C1" w:rsidP="002B61A1">
      <w:pPr>
        <w:rPr>
          <w:lang w:eastAsia="en-AU"/>
        </w:rPr>
      </w:pPr>
      <w:r>
        <w:rPr>
          <w:lang w:eastAsia="en-AU"/>
        </w:rPr>
        <w:t xml:space="preserve">Industry codes of conduct are typically aimed at correcting market failure </w:t>
      </w:r>
      <w:r w:rsidR="00A11E36">
        <w:rPr>
          <w:lang w:eastAsia="en-AU"/>
        </w:rPr>
        <w:t xml:space="preserve">arising from poor commercial relationships. </w:t>
      </w:r>
      <w:r w:rsidR="007C590B">
        <w:rPr>
          <w:lang w:eastAsia="en-AU"/>
        </w:rPr>
        <w:t xml:space="preserve"> </w:t>
      </w:r>
      <w:r w:rsidR="00A11E36">
        <w:rPr>
          <w:lang w:eastAsia="en-AU"/>
        </w:rPr>
        <w:t>I</w:t>
      </w:r>
      <w:r>
        <w:rPr>
          <w:lang w:eastAsia="en-AU"/>
        </w:rPr>
        <w:t xml:space="preserve">t is not apparent that there has been any market failure </w:t>
      </w:r>
      <w:r w:rsidR="004007C8">
        <w:rPr>
          <w:lang w:eastAsia="en-AU"/>
        </w:rPr>
        <w:t xml:space="preserve">in the private health sector. </w:t>
      </w:r>
    </w:p>
    <w:p w14:paraId="08C0ADBD" w14:textId="3039EC6D" w:rsidR="004007C8" w:rsidRDefault="004007C8" w:rsidP="002B61A1">
      <w:pPr>
        <w:rPr>
          <w:lang w:eastAsia="en-AU"/>
        </w:rPr>
      </w:pPr>
      <w:r>
        <w:rPr>
          <w:lang w:eastAsia="en-AU"/>
        </w:rPr>
        <w:t xml:space="preserve">The PHIO </w:t>
      </w:r>
      <w:r w:rsidRPr="00B4331F">
        <w:rPr>
          <w:i/>
          <w:lang w:eastAsia="en-AU"/>
        </w:rPr>
        <w:t>State of the Health Funds</w:t>
      </w:r>
      <w:r>
        <w:rPr>
          <w:lang w:eastAsia="en-AU"/>
        </w:rPr>
        <w:t xml:space="preserve"> </w:t>
      </w:r>
      <w:r w:rsidR="00D667B4" w:rsidRPr="00D667B4">
        <w:rPr>
          <w:i/>
          <w:lang w:eastAsia="en-AU"/>
        </w:rPr>
        <w:t>R</w:t>
      </w:r>
      <w:r w:rsidRPr="00D667B4">
        <w:rPr>
          <w:i/>
          <w:lang w:eastAsia="en-AU"/>
        </w:rPr>
        <w:t>eport</w:t>
      </w:r>
      <w:r>
        <w:rPr>
          <w:lang w:eastAsia="en-AU"/>
        </w:rPr>
        <w:t xml:space="preserve"> consistently shows that most insurers contract most overnight private hospitals and a majority of day hospitals. </w:t>
      </w:r>
      <w:r w:rsidR="007C590B">
        <w:rPr>
          <w:lang w:eastAsia="en-AU"/>
        </w:rPr>
        <w:t xml:space="preserve"> </w:t>
      </w:r>
      <w:r>
        <w:rPr>
          <w:lang w:eastAsia="en-AU"/>
        </w:rPr>
        <w:t xml:space="preserve">Hospital </w:t>
      </w:r>
      <w:proofErr w:type="spellStart"/>
      <w:r>
        <w:rPr>
          <w:lang w:eastAsia="en-AU"/>
        </w:rPr>
        <w:t>Casemix</w:t>
      </w:r>
      <w:proofErr w:type="spellEnd"/>
      <w:r>
        <w:rPr>
          <w:lang w:eastAsia="en-AU"/>
        </w:rPr>
        <w:t xml:space="preserve"> Protocol data collected by the Department shows that well over 95 per cent of private hospital separations (including day hospitals) are paid for under insurer-hospital contracts. </w:t>
      </w:r>
    </w:p>
    <w:p w14:paraId="08C0ADC1" w14:textId="77777777" w:rsidR="00632BFA" w:rsidRPr="00994B72" w:rsidRDefault="00632BFA" w:rsidP="00E7542D">
      <w:pPr>
        <w:pStyle w:val="Heading3"/>
      </w:pPr>
      <w:r w:rsidRPr="00994B72">
        <w:t xml:space="preserve">Recommendation </w:t>
      </w:r>
      <w:r>
        <w:t>19</w:t>
      </w:r>
    </w:p>
    <w:p w14:paraId="08C0ADC2" w14:textId="77777777" w:rsidR="00632BFA"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5.62 The committee recommends that the Minister for Health write to the Private Health Insurance Ombudsman to request advice on the disclosure of limitations to treatment type or frequency which may arise from contract arrangements with individual hospitals or providers that impact on members' access to services and out-of-pocket costs.</w:t>
      </w:r>
    </w:p>
    <w:p w14:paraId="08C0ADC4" w14:textId="77777777" w:rsidR="008E4AC7" w:rsidRDefault="00C7068D" w:rsidP="00E7542D">
      <w:pPr>
        <w:pStyle w:val="Heading4"/>
      </w:pPr>
      <w:r>
        <w:t>Response</w:t>
      </w:r>
      <w:r w:rsidR="008E4AC7" w:rsidRPr="00E502FB">
        <w:t>:</w:t>
      </w:r>
    </w:p>
    <w:p w14:paraId="08C0ADC6" w14:textId="77777777" w:rsidR="0075445F" w:rsidRPr="00062439" w:rsidRDefault="0075445F" w:rsidP="002B61A1">
      <w:pPr>
        <w:rPr>
          <w:lang w:eastAsia="en-AU"/>
        </w:rPr>
      </w:pPr>
      <w:r w:rsidRPr="00062439">
        <w:rPr>
          <w:lang w:eastAsia="en-AU"/>
        </w:rPr>
        <w:t>The Government</w:t>
      </w:r>
      <w:r w:rsidR="009B2821" w:rsidRPr="00062439">
        <w:rPr>
          <w:lang w:eastAsia="en-AU"/>
        </w:rPr>
        <w:t xml:space="preserve"> </w:t>
      </w:r>
      <w:r w:rsidR="00D23676" w:rsidRPr="00062439">
        <w:rPr>
          <w:lang w:eastAsia="en-AU"/>
        </w:rPr>
        <w:t>notes</w:t>
      </w:r>
      <w:r w:rsidRPr="00062439">
        <w:rPr>
          <w:lang w:eastAsia="en-AU"/>
        </w:rPr>
        <w:t xml:space="preserve"> this recommendation.</w:t>
      </w:r>
    </w:p>
    <w:p w14:paraId="0CE360D0" w14:textId="77777777" w:rsidR="0027718B" w:rsidRDefault="00983501" w:rsidP="0027718B">
      <w:pPr>
        <w:rPr>
          <w:lang w:eastAsia="en-AU"/>
        </w:rPr>
      </w:pPr>
      <w:r w:rsidRPr="00062439">
        <w:rPr>
          <w:lang w:eastAsia="en-AU"/>
        </w:rPr>
        <w:t>The</w:t>
      </w:r>
      <w:r w:rsidR="00F17E47">
        <w:rPr>
          <w:lang w:eastAsia="en-AU"/>
        </w:rPr>
        <w:t xml:space="preserve"> Department of Health</w:t>
      </w:r>
      <w:r w:rsidRPr="00062439">
        <w:rPr>
          <w:lang w:eastAsia="en-AU"/>
        </w:rPr>
        <w:t xml:space="preserve"> </w:t>
      </w:r>
      <w:r w:rsidR="00EB7F71" w:rsidRPr="00062439">
        <w:rPr>
          <w:lang w:eastAsia="en-AU"/>
        </w:rPr>
        <w:t>liaises with the PHIO on a regular basis, including on implementation</w:t>
      </w:r>
      <w:r w:rsidRPr="00062439">
        <w:rPr>
          <w:lang w:eastAsia="en-AU"/>
        </w:rPr>
        <w:t xml:space="preserve"> </w:t>
      </w:r>
      <w:r w:rsidR="00D667B4">
        <w:rPr>
          <w:lang w:eastAsia="en-AU"/>
        </w:rPr>
        <w:t xml:space="preserve">of </w:t>
      </w:r>
      <w:r w:rsidRPr="00062439">
        <w:rPr>
          <w:lang w:eastAsia="en-AU"/>
        </w:rPr>
        <w:t>the new private health insurance reforms</w:t>
      </w:r>
      <w:r w:rsidR="004007C8">
        <w:rPr>
          <w:lang w:eastAsia="en-AU"/>
        </w:rPr>
        <w:t>,</w:t>
      </w:r>
      <w:r w:rsidRPr="00062439">
        <w:rPr>
          <w:lang w:eastAsia="en-AU"/>
        </w:rPr>
        <w:t xml:space="preserve"> </w:t>
      </w:r>
      <w:r w:rsidR="00EB7F71" w:rsidRPr="00062439">
        <w:rPr>
          <w:lang w:eastAsia="en-AU"/>
        </w:rPr>
        <w:t xml:space="preserve">and </w:t>
      </w:r>
      <w:r w:rsidR="004007C8">
        <w:rPr>
          <w:lang w:eastAsia="en-AU"/>
        </w:rPr>
        <w:t>take</w:t>
      </w:r>
      <w:r w:rsidR="0026269F">
        <w:rPr>
          <w:lang w:eastAsia="en-AU"/>
        </w:rPr>
        <w:t>s</w:t>
      </w:r>
      <w:r w:rsidR="004007C8">
        <w:rPr>
          <w:lang w:eastAsia="en-AU"/>
        </w:rPr>
        <w:t xml:space="preserve"> into account </w:t>
      </w:r>
      <w:r w:rsidR="00EB7F71" w:rsidRPr="00062439">
        <w:rPr>
          <w:lang w:eastAsia="en-AU"/>
        </w:rPr>
        <w:t>PHIO</w:t>
      </w:r>
      <w:r w:rsidR="004007C8">
        <w:rPr>
          <w:lang w:eastAsia="en-AU"/>
        </w:rPr>
        <w:t xml:space="preserve">’s views on these issues. </w:t>
      </w:r>
    </w:p>
    <w:p w14:paraId="08C0ADC9" w14:textId="35049C0D" w:rsidR="00632BFA" w:rsidRPr="00632BFA" w:rsidRDefault="00632BFA" w:rsidP="0027718B">
      <w:pPr>
        <w:pStyle w:val="Heading2"/>
      </w:pPr>
      <w:r>
        <w:t>G</w:t>
      </w:r>
      <w:r w:rsidR="00194B84">
        <w:t>overnment Senators</w:t>
      </w:r>
      <w:r w:rsidR="002E1652">
        <w:t>’</w:t>
      </w:r>
      <w:r w:rsidR="00194B84">
        <w:t xml:space="preserve"> Dissenting report and Australian Government responses</w:t>
      </w:r>
    </w:p>
    <w:p w14:paraId="08C0ADCB" w14:textId="47C884B5" w:rsidR="00632BFA" w:rsidRPr="00994B72" w:rsidRDefault="00632BFA" w:rsidP="00E7542D">
      <w:pPr>
        <w:pStyle w:val="Heading3"/>
      </w:pPr>
      <w:r w:rsidRPr="00994B72">
        <w:t xml:space="preserve">Recommendation </w:t>
      </w:r>
      <w:r>
        <w:t>2</w:t>
      </w:r>
    </w:p>
    <w:p w14:paraId="08C0ADCC" w14:textId="77777777" w:rsidR="00632BFA"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bCs/>
          <w:szCs w:val="24"/>
        </w:rPr>
      </w:pPr>
      <w:r w:rsidRPr="00632BFA">
        <w:rPr>
          <w:rFonts w:eastAsia="Times New Roman" w:cs="Times New Roman"/>
          <w:bCs/>
          <w:szCs w:val="24"/>
        </w:rPr>
        <w:t xml:space="preserve">1.8 The committee recommends that the Minister for Health instruct the out-of-pocket costs committee to consider requiring private health insurers to publish all rebates by policy and item number. </w:t>
      </w:r>
    </w:p>
    <w:p w14:paraId="08C0ADCD" w14:textId="5984175D" w:rsidR="00632BFA" w:rsidRPr="00994B72" w:rsidRDefault="00632BFA" w:rsidP="00E7542D">
      <w:pPr>
        <w:pStyle w:val="Heading3"/>
      </w:pPr>
      <w:r w:rsidRPr="00994B72">
        <w:t xml:space="preserve">Recommendation </w:t>
      </w:r>
      <w:r>
        <w:t>3</w:t>
      </w:r>
    </w:p>
    <w:p w14:paraId="08C0ADCE" w14:textId="77777777" w:rsidR="00632BFA" w:rsidRPr="00994B72"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1.9 The committee recommends that the Minister for Health instruct the out-of-pocket costs committee to consider the merit of publishing the fees of in</w:t>
      </w:r>
      <w:r>
        <w:rPr>
          <w:rFonts w:eastAsia="Times New Roman" w:cs="Times New Roman"/>
          <w:bCs/>
          <w:szCs w:val="24"/>
        </w:rPr>
        <w:t>dividual medical practitioners.</w:t>
      </w:r>
    </w:p>
    <w:p w14:paraId="08C0ADD0" w14:textId="77777777" w:rsidR="00BC4309" w:rsidRPr="000B3405" w:rsidRDefault="000B3405" w:rsidP="00E7542D">
      <w:pPr>
        <w:pStyle w:val="Heading4"/>
      </w:pPr>
      <w:r w:rsidRPr="000B3405">
        <w:t>Response:</w:t>
      </w:r>
      <w:r w:rsidR="00272366" w:rsidRPr="000B3405">
        <w:t xml:space="preserve"> </w:t>
      </w:r>
    </w:p>
    <w:p w14:paraId="08C0ADD2" w14:textId="77777777" w:rsidR="009F42D4" w:rsidRDefault="009F42D4" w:rsidP="002B61A1">
      <w:r w:rsidRPr="008F516F">
        <w:t xml:space="preserve">The Government </w:t>
      </w:r>
      <w:r w:rsidR="004007C8">
        <w:t>notes</w:t>
      </w:r>
      <w:r w:rsidR="004007C8" w:rsidRPr="008F516F">
        <w:t xml:space="preserve"> </w:t>
      </w:r>
      <w:r w:rsidRPr="008F516F">
        <w:t>these recommendations.</w:t>
      </w:r>
      <w:r>
        <w:t xml:space="preserve"> </w:t>
      </w:r>
    </w:p>
    <w:p w14:paraId="08C0ADD4" w14:textId="3B1C3308" w:rsidR="004007C8" w:rsidRDefault="00220C73" w:rsidP="002B61A1">
      <w:r>
        <w:rPr>
          <w:bCs/>
        </w:rPr>
        <w:t>T</w:t>
      </w:r>
      <w:r w:rsidR="004007C8">
        <w:rPr>
          <w:bCs/>
        </w:rPr>
        <w:t xml:space="preserve">he </w:t>
      </w:r>
      <w:r w:rsidR="004007C8">
        <w:t>Ministerial Advisory Committee on Out-of-Pocket Costs will work to develop models to make information on out-of-pocket costs charged by doctors more transparent, and to help consumers with private health insurance better understand out</w:t>
      </w:r>
      <w:r w:rsidR="004007C8">
        <w:noBreakHyphen/>
        <w:t>of</w:t>
      </w:r>
      <w:r w:rsidR="004007C8">
        <w:noBreakHyphen/>
        <w:t xml:space="preserve">pocket costs. </w:t>
      </w:r>
      <w:r w:rsidR="007C590B">
        <w:t xml:space="preserve"> </w:t>
      </w:r>
      <w:r w:rsidR="004007C8">
        <w:t xml:space="preserve">The </w:t>
      </w:r>
      <w:r w:rsidR="00D667B4">
        <w:t xml:space="preserve">key work of the </w:t>
      </w:r>
      <w:r w:rsidR="004007C8">
        <w:t xml:space="preserve">Committee is expected to </w:t>
      </w:r>
      <w:r w:rsidR="00D667B4">
        <w:t>be completed in</w:t>
      </w:r>
      <w:r w:rsidR="004007C8">
        <w:t xml:space="preserve"> 2018.</w:t>
      </w:r>
    </w:p>
    <w:p w14:paraId="08C0ADD6" w14:textId="4A46C805" w:rsidR="00632BFA" w:rsidRPr="00994B72" w:rsidRDefault="00632BFA" w:rsidP="00E7542D">
      <w:pPr>
        <w:pStyle w:val="Heading3"/>
      </w:pPr>
      <w:r w:rsidRPr="00994B72">
        <w:t xml:space="preserve">Recommendation </w:t>
      </w:r>
      <w:r>
        <w:t>13</w:t>
      </w:r>
    </w:p>
    <w:p w14:paraId="08C0ADD7" w14:textId="77777777" w:rsidR="00632BFA"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szCs w:val="24"/>
        </w:rPr>
      </w:pPr>
      <w:r w:rsidRPr="00632BFA">
        <w:rPr>
          <w:rFonts w:eastAsia="Times New Roman" w:cs="Times New Roman"/>
          <w:bCs/>
          <w:szCs w:val="24"/>
        </w:rPr>
        <w:t xml:space="preserve">1.10 The Committee recommends that the Commonwealth Government ask the Private Health Insurance Ombudsman whether the practice of differential rebating exists and is having a detrimental impact on consumers overall. If so, to recommend options—including legislative changes—to mitigate impact on consumers. </w:t>
      </w:r>
    </w:p>
    <w:p w14:paraId="08C0ADD9" w14:textId="77777777" w:rsidR="00A45CFF" w:rsidRPr="00062439" w:rsidRDefault="00A45CFF" w:rsidP="002B61A1">
      <w:r w:rsidRPr="00062439">
        <w:t xml:space="preserve">The Government </w:t>
      </w:r>
      <w:r w:rsidR="000B3405" w:rsidRPr="00062439">
        <w:t>notes</w:t>
      </w:r>
      <w:r w:rsidRPr="00062439">
        <w:t xml:space="preserve"> this recommendation.</w:t>
      </w:r>
    </w:p>
    <w:p w14:paraId="08C0ADDB" w14:textId="77777777" w:rsidR="006F6525" w:rsidRDefault="00C301C1" w:rsidP="002B61A1">
      <w:r w:rsidRPr="00062439">
        <w:t>T</w:t>
      </w:r>
      <w:r w:rsidR="006F6525" w:rsidRPr="00062439">
        <w:t xml:space="preserve">he </w:t>
      </w:r>
      <w:r w:rsidR="009F1162">
        <w:t xml:space="preserve">PHIO </w:t>
      </w:r>
      <w:r w:rsidR="007C3F62" w:rsidRPr="00062439">
        <w:t>has indicated support for preferred provider arrangements as they provide consumers with options for lower cost services.</w:t>
      </w:r>
      <w:r w:rsidR="006F6525" w:rsidRPr="00062439">
        <w:t xml:space="preserve"> </w:t>
      </w:r>
    </w:p>
    <w:p w14:paraId="08C0ADDD" w14:textId="77777777" w:rsidR="004007C8" w:rsidRPr="00B4331F" w:rsidRDefault="004007C8" w:rsidP="00E7542D">
      <w:pPr>
        <w:pStyle w:val="Heading3"/>
      </w:pPr>
      <w:r w:rsidRPr="00B4331F">
        <w:lastRenderedPageBreak/>
        <w:t>Recommendation 17</w:t>
      </w:r>
    </w:p>
    <w:p w14:paraId="08C0ADDE" w14:textId="77777777" w:rsidR="00632BFA" w:rsidRPr="00632BFA" w:rsidRDefault="00632BFA" w:rsidP="00911C5A">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imes New Roman"/>
          <w:bCs/>
          <w:szCs w:val="24"/>
        </w:rPr>
      </w:pPr>
      <w:r w:rsidRPr="00632BFA">
        <w:rPr>
          <w:rFonts w:eastAsia="Times New Roman" w:cs="Times New Roman"/>
          <w:bCs/>
          <w:szCs w:val="24"/>
        </w:rPr>
        <w:t xml:space="preserve">1.11 The Committee recommends that the Commonwealth Government ask the Private Health Insurance Ombudsman whether legislating requirements of 'adequate written notice' to insurance policy changes is needed and will benefit consumers overall. If so, to propose options—including legislative changes—that may benefit consumers. </w:t>
      </w:r>
    </w:p>
    <w:p w14:paraId="08C0ADE0" w14:textId="77777777" w:rsidR="008E0B57" w:rsidRDefault="008E0B57" w:rsidP="002B61A1">
      <w:pPr>
        <w:rPr>
          <w:lang w:eastAsia="en-AU"/>
        </w:rPr>
      </w:pPr>
      <w:r w:rsidRPr="005A12CE">
        <w:rPr>
          <w:lang w:eastAsia="en-AU"/>
        </w:rPr>
        <w:t xml:space="preserve">The Government </w:t>
      </w:r>
      <w:r w:rsidR="000B3405" w:rsidRPr="009A6B99">
        <w:rPr>
          <w:lang w:eastAsia="en-AU"/>
        </w:rPr>
        <w:t>notes</w:t>
      </w:r>
      <w:r w:rsidRPr="005A12CE">
        <w:rPr>
          <w:lang w:eastAsia="en-AU"/>
        </w:rPr>
        <w:t xml:space="preserve"> this recommendation.</w:t>
      </w:r>
    </w:p>
    <w:p w14:paraId="08C0ADE2" w14:textId="77777777" w:rsidR="009E0BD9" w:rsidRDefault="009A6B99" w:rsidP="007A6C53">
      <w:pPr>
        <w:rPr>
          <w:lang w:eastAsia="en-AU"/>
        </w:rPr>
      </w:pPr>
      <w:r>
        <w:rPr>
          <w:lang w:eastAsia="en-AU"/>
        </w:rPr>
        <w:t xml:space="preserve">The Government </w:t>
      </w:r>
      <w:r w:rsidR="00B14B9F">
        <w:rPr>
          <w:lang w:eastAsia="en-AU"/>
        </w:rPr>
        <w:t xml:space="preserve">does not consider </w:t>
      </w:r>
      <w:r w:rsidR="00D667B4">
        <w:rPr>
          <w:lang w:eastAsia="en-AU"/>
        </w:rPr>
        <w:t xml:space="preserve">further </w:t>
      </w:r>
      <w:r w:rsidR="00B14B9F">
        <w:rPr>
          <w:lang w:eastAsia="en-AU"/>
        </w:rPr>
        <w:t>legislative requirements relating to adequate written notice to be necessary as</w:t>
      </w:r>
      <w:r w:rsidR="00CF0980">
        <w:rPr>
          <w:lang w:eastAsia="en-AU"/>
        </w:rPr>
        <w:t xml:space="preserve"> there are existing provisions regarding notice of product details and detrimental changes, and</w:t>
      </w:r>
      <w:r w:rsidR="00876F31">
        <w:rPr>
          <w:lang w:eastAsia="en-AU"/>
        </w:rPr>
        <w:t xml:space="preserve"> Australian Consumer Law already </w:t>
      </w:r>
      <w:r w:rsidR="00B14B9F">
        <w:rPr>
          <w:lang w:eastAsia="en-AU"/>
        </w:rPr>
        <w:t xml:space="preserve">offers </w:t>
      </w:r>
      <w:r w:rsidR="003B14E9">
        <w:rPr>
          <w:lang w:eastAsia="en-AU"/>
        </w:rPr>
        <w:t xml:space="preserve">consumer protection with regard to </w:t>
      </w:r>
      <w:r w:rsidR="00876F31">
        <w:rPr>
          <w:lang w:eastAsia="en-AU"/>
        </w:rPr>
        <w:t>reasonable practice.</w:t>
      </w:r>
    </w:p>
    <w:sectPr w:rsidR="009E0BD9" w:rsidSect="00602426">
      <w:footerReference w:type="default" r:id="rId15"/>
      <w:footerReference w:type="first" r:id="rId16"/>
      <w:pgSz w:w="11906" w:h="16838" w:code="9"/>
      <w:pgMar w:top="851" w:right="1440" w:bottom="624" w:left="1440" w:header="720" w:footer="18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DB3C" w14:textId="77777777" w:rsidR="00D21886" w:rsidRDefault="00D21886" w:rsidP="00351ADA">
      <w:pPr>
        <w:spacing w:after="0"/>
      </w:pPr>
      <w:r>
        <w:separator/>
      </w:r>
    </w:p>
  </w:endnote>
  <w:endnote w:type="continuationSeparator" w:id="0">
    <w:p w14:paraId="6C8EF2C3" w14:textId="77777777" w:rsidR="00D21886" w:rsidRDefault="00D21886" w:rsidP="00351ADA">
      <w:pPr>
        <w:spacing w:after="0"/>
      </w:pPr>
      <w:r>
        <w:continuationSeparator/>
      </w:r>
    </w:p>
  </w:endnote>
  <w:endnote w:type="continuationNotice" w:id="1">
    <w:p w14:paraId="0CAADDD2" w14:textId="77777777" w:rsidR="00D21886" w:rsidRDefault="00D21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7190"/>
      <w:docPartObj>
        <w:docPartGallery w:val="Page Numbers (Bottom of Page)"/>
        <w:docPartUnique/>
      </w:docPartObj>
    </w:sdtPr>
    <w:sdtEndPr>
      <w:rPr>
        <w:noProof/>
      </w:rPr>
    </w:sdtEndPr>
    <w:sdtContent>
      <w:p w14:paraId="08C0ADEE" w14:textId="23101651" w:rsidR="00D21886" w:rsidRDefault="00D21886" w:rsidP="00E7542D">
        <w:pPr>
          <w:pStyle w:val="Footer"/>
          <w:jc w:val="center"/>
        </w:pPr>
        <w:r>
          <w:fldChar w:fldCharType="begin"/>
        </w:r>
        <w:r>
          <w:instrText xml:space="preserve"> PAGE   \* MERGEFORMAT </w:instrText>
        </w:r>
        <w:r>
          <w:fldChar w:fldCharType="separate"/>
        </w:r>
        <w:r w:rsidR="00364FD1">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ADF0" w14:textId="77777777" w:rsidR="00D21886" w:rsidRDefault="00D21886">
    <w:pPr>
      <w:pStyle w:val="Footer"/>
      <w:jc w:val="center"/>
    </w:pPr>
  </w:p>
  <w:p w14:paraId="08C0ADF1" w14:textId="77777777" w:rsidR="00D21886" w:rsidRDefault="00D2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7B5CB" w14:textId="77777777" w:rsidR="00D21886" w:rsidRDefault="00D21886" w:rsidP="00351ADA">
      <w:pPr>
        <w:spacing w:after="0"/>
      </w:pPr>
      <w:r>
        <w:separator/>
      </w:r>
    </w:p>
  </w:footnote>
  <w:footnote w:type="continuationSeparator" w:id="0">
    <w:p w14:paraId="11F64118" w14:textId="77777777" w:rsidR="00D21886" w:rsidRDefault="00D21886" w:rsidP="00351ADA">
      <w:pPr>
        <w:spacing w:after="0"/>
      </w:pPr>
      <w:r>
        <w:continuationSeparator/>
      </w:r>
    </w:p>
  </w:footnote>
  <w:footnote w:type="continuationNotice" w:id="1">
    <w:p w14:paraId="447B1F5E" w14:textId="77777777" w:rsidR="00D21886" w:rsidRDefault="00D218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DB8"/>
    <w:multiLevelType w:val="hybridMultilevel"/>
    <w:tmpl w:val="0CECF76A"/>
    <w:lvl w:ilvl="0" w:tplc="A4B66D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40ED8"/>
    <w:multiLevelType w:val="hybridMultilevel"/>
    <w:tmpl w:val="EBA47C7A"/>
    <w:lvl w:ilvl="0" w:tplc="BB10E0B6">
      <w:start w:val="1"/>
      <w:numFmt w:val="bullet"/>
      <w:pStyle w:val="Style1"/>
      <w:lvlText w:val=""/>
      <w:lvlJc w:val="left"/>
      <w:pPr>
        <w:ind w:left="360" w:hanging="360"/>
      </w:pPr>
      <w:rPr>
        <w:rFonts w:ascii="Symbol" w:hAnsi="Symbol" w:hint="default"/>
      </w:rPr>
    </w:lvl>
    <w:lvl w:ilvl="1" w:tplc="28547436">
      <w:start w:val="1"/>
      <w:numFmt w:val="bullet"/>
      <w:lvlText w:val="o"/>
      <w:lvlJc w:val="left"/>
      <w:pPr>
        <w:ind w:left="1080" w:hanging="360"/>
      </w:pPr>
      <w:rPr>
        <w:rFonts w:ascii="Courier New" w:hAnsi="Courier New" w:cs="Courier New" w:hint="default"/>
      </w:rPr>
    </w:lvl>
    <w:lvl w:ilvl="2" w:tplc="AE964BBE">
      <w:start w:val="1"/>
      <w:numFmt w:val="bullet"/>
      <w:lvlText w:val=""/>
      <w:lvlJc w:val="left"/>
      <w:pPr>
        <w:ind w:left="1800" w:hanging="360"/>
      </w:pPr>
      <w:rPr>
        <w:rFonts w:ascii="Wingdings" w:hAnsi="Wingdings" w:hint="default"/>
      </w:rPr>
    </w:lvl>
    <w:lvl w:ilvl="3" w:tplc="265AB1A2" w:tentative="1">
      <w:start w:val="1"/>
      <w:numFmt w:val="bullet"/>
      <w:lvlText w:val=""/>
      <w:lvlJc w:val="left"/>
      <w:pPr>
        <w:ind w:left="2520" w:hanging="360"/>
      </w:pPr>
      <w:rPr>
        <w:rFonts w:ascii="Symbol" w:hAnsi="Symbol" w:hint="default"/>
      </w:rPr>
    </w:lvl>
    <w:lvl w:ilvl="4" w:tplc="0F12775A" w:tentative="1">
      <w:start w:val="1"/>
      <w:numFmt w:val="bullet"/>
      <w:lvlText w:val="o"/>
      <w:lvlJc w:val="left"/>
      <w:pPr>
        <w:ind w:left="3240" w:hanging="360"/>
      </w:pPr>
      <w:rPr>
        <w:rFonts w:ascii="Courier New" w:hAnsi="Courier New" w:cs="Courier New" w:hint="default"/>
      </w:rPr>
    </w:lvl>
    <w:lvl w:ilvl="5" w:tplc="4C74646C" w:tentative="1">
      <w:start w:val="1"/>
      <w:numFmt w:val="bullet"/>
      <w:lvlText w:val=""/>
      <w:lvlJc w:val="left"/>
      <w:pPr>
        <w:ind w:left="3960" w:hanging="360"/>
      </w:pPr>
      <w:rPr>
        <w:rFonts w:ascii="Wingdings" w:hAnsi="Wingdings" w:hint="default"/>
      </w:rPr>
    </w:lvl>
    <w:lvl w:ilvl="6" w:tplc="18D4C66A" w:tentative="1">
      <w:start w:val="1"/>
      <w:numFmt w:val="bullet"/>
      <w:lvlText w:val=""/>
      <w:lvlJc w:val="left"/>
      <w:pPr>
        <w:ind w:left="4680" w:hanging="360"/>
      </w:pPr>
      <w:rPr>
        <w:rFonts w:ascii="Symbol" w:hAnsi="Symbol" w:hint="default"/>
      </w:rPr>
    </w:lvl>
    <w:lvl w:ilvl="7" w:tplc="507C00F0" w:tentative="1">
      <w:start w:val="1"/>
      <w:numFmt w:val="bullet"/>
      <w:lvlText w:val="o"/>
      <w:lvlJc w:val="left"/>
      <w:pPr>
        <w:ind w:left="5400" w:hanging="360"/>
      </w:pPr>
      <w:rPr>
        <w:rFonts w:ascii="Courier New" w:hAnsi="Courier New" w:cs="Courier New" w:hint="default"/>
      </w:rPr>
    </w:lvl>
    <w:lvl w:ilvl="8" w:tplc="36F6C518" w:tentative="1">
      <w:start w:val="1"/>
      <w:numFmt w:val="bullet"/>
      <w:lvlText w:val=""/>
      <w:lvlJc w:val="left"/>
      <w:pPr>
        <w:ind w:left="6120" w:hanging="360"/>
      </w:pPr>
      <w:rPr>
        <w:rFonts w:ascii="Wingdings" w:hAnsi="Wingdings" w:hint="default"/>
      </w:rPr>
    </w:lvl>
  </w:abstractNum>
  <w:abstractNum w:abstractNumId="2" w15:restartNumberingAfterBreak="0">
    <w:nsid w:val="177A6877"/>
    <w:multiLevelType w:val="hybridMultilevel"/>
    <w:tmpl w:val="C0A4F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497FE2"/>
    <w:multiLevelType w:val="hybridMultilevel"/>
    <w:tmpl w:val="B49EC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5B3929"/>
    <w:multiLevelType w:val="hybridMultilevel"/>
    <w:tmpl w:val="58DA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1248D"/>
    <w:multiLevelType w:val="hybridMultilevel"/>
    <w:tmpl w:val="7506C8DC"/>
    <w:lvl w:ilvl="0" w:tplc="13E814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25600D"/>
    <w:multiLevelType w:val="multilevel"/>
    <w:tmpl w:val="36F6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B65AD"/>
    <w:multiLevelType w:val="hybridMultilevel"/>
    <w:tmpl w:val="41E4468A"/>
    <w:lvl w:ilvl="0" w:tplc="509271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45D43"/>
    <w:multiLevelType w:val="hybridMultilevel"/>
    <w:tmpl w:val="367E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EB3284"/>
    <w:multiLevelType w:val="hybridMultilevel"/>
    <w:tmpl w:val="4B48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F36BF"/>
    <w:multiLevelType w:val="hybridMultilevel"/>
    <w:tmpl w:val="1D0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8802AB"/>
    <w:multiLevelType w:val="hybridMultilevel"/>
    <w:tmpl w:val="363C2E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9911DA7"/>
    <w:multiLevelType w:val="hybridMultilevel"/>
    <w:tmpl w:val="7AE8B774"/>
    <w:lvl w:ilvl="0" w:tplc="3C4A682A">
      <w:start w:val="1"/>
      <w:numFmt w:val="bullet"/>
      <w:lvlText w:val=""/>
      <w:lvlJc w:val="left"/>
      <w:pPr>
        <w:ind w:left="360" w:hanging="360"/>
      </w:pPr>
      <w:rPr>
        <w:rFonts w:ascii="Symbol" w:hAnsi="Symbol" w:hint="default"/>
      </w:rPr>
    </w:lvl>
    <w:lvl w:ilvl="1" w:tplc="B0123F6C" w:tentative="1">
      <w:start w:val="1"/>
      <w:numFmt w:val="bullet"/>
      <w:lvlText w:val="o"/>
      <w:lvlJc w:val="left"/>
      <w:pPr>
        <w:ind w:left="1080" w:hanging="360"/>
      </w:pPr>
      <w:rPr>
        <w:rFonts w:ascii="Courier New" w:hAnsi="Courier New" w:cs="Courier New" w:hint="default"/>
      </w:rPr>
    </w:lvl>
    <w:lvl w:ilvl="2" w:tplc="5CB0388E" w:tentative="1">
      <w:start w:val="1"/>
      <w:numFmt w:val="bullet"/>
      <w:lvlText w:val=""/>
      <w:lvlJc w:val="left"/>
      <w:pPr>
        <w:ind w:left="1800" w:hanging="360"/>
      </w:pPr>
      <w:rPr>
        <w:rFonts w:ascii="Wingdings" w:hAnsi="Wingdings" w:hint="default"/>
      </w:rPr>
    </w:lvl>
    <w:lvl w:ilvl="3" w:tplc="FF642FE8" w:tentative="1">
      <w:start w:val="1"/>
      <w:numFmt w:val="bullet"/>
      <w:lvlText w:val=""/>
      <w:lvlJc w:val="left"/>
      <w:pPr>
        <w:ind w:left="2520" w:hanging="360"/>
      </w:pPr>
      <w:rPr>
        <w:rFonts w:ascii="Symbol" w:hAnsi="Symbol" w:hint="default"/>
      </w:rPr>
    </w:lvl>
    <w:lvl w:ilvl="4" w:tplc="276E055E" w:tentative="1">
      <w:start w:val="1"/>
      <w:numFmt w:val="bullet"/>
      <w:lvlText w:val="o"/>
      <w:lvlJc w:val="left"/>
      <w:pPr>
        <w:ind w:left="3240" w:hanging="360"/>
      </w:pPr>
      <w:rPr>
        <w:rFonts w:ascii="Courier New" w:hAnsi="Courier New" w:cs="Courier New" w:hint="default"/>
      </w:rPr>
    </w:lvl>
    <w:lvl w:ilvl="5" w:tplc="69068448" w:tentative="1">
      <w:start w:val="1"/>
      <w:numFmt w:val="bullet"/>
      <w:lvlText w:val=""/>
      <w:lvlJc w:val="left"/>
      <w:pPr>
        <w:ind w:left="3960" w:hanging="360"/>
      </w:pPr>
      <w:rPr>
        <w:rFonts w:ascii="Wingdings" w:hAnsi="Wingdings" w:hint="default"/>
      </w:rPr>
    </w:lvl>
    <w:lvl w:ilvl="6" w:tplc="4E8E065E" w:tentative="1">
      <w:start w:val="1"/>
      <w:numFmt w:val="bullet"/>
      <w:lvlText w:val=""/>
      <w:lvlJc w:val="left"/>
      <w:pPr>
        <w:ind w:left="4680" w:hanging="360"/>
      </w:pPr>
      <w:rPr>
        <w:rFonts w:ascii="Symbol" w:hAnsi="Symbol" w:hint="default"/>
      </w:rPr>
    </w:lvl>
    <w:lvl w:ilvl="7" w:tplc="90CC443E" w:tentative="1">
      <w:start w:val="1"/>
      <w:numFmt w:val="bullet"/>
      <w:lvlText w:val="o"/>
      <w:lvlJc w:val="left"/>
      <w:pPr>
        <w:ind w:left="5400" w:hanging="360"/>
      </w:pPr>
      <w:rPr>
        <w:rFonts w:ascii="Courier New" w:hAnsi="Courier New" w:cs="Courier New" w:hint="default"/>
      </w:rPr>
    </w:lvl>
    <w:lvl w:ilvl="8" w:tplc="833E6262" w:tentative="1">
      <w:start w:val="1"/>
      <w:numFmt w:val="bullet"/>
      <w:lvlText w:val=""/>
      <w:lvlJc w:val="left"/>
      <w:pPr>
        <w:ind w:left="6120" w:hanging="360"/>
      </w:pPr>
      <w:rPr>
        <w:rFonts w:ascii="Wingdings" w:hAnsi="Wingdings" w:hint="default"/>
      </w:rPr>
    </w:lvl>
  </w:abstractNum>
  <w:abstractNum w:abstractNumId="14" w15:restartNumberingAfterBreak="0">
    <w:nsid w:val="757A1C0D"/>
    <w:multiLevelType w:val="multilevel"/>
    <w:tmpl w:val="BC0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1"/>
  </w:num>
  <w:num w:numId="5">
    <w:abstractNumId w:val="8"/>
  </w:num>
  <w:num w:numId="6">
    <w:abstractNumId w:val="7"/>
  </w:num>
  <w:num w:numId="7">
    <w:abstractNumId w:val="14"/>
  </w:num>
  <w:num w:numId="8">
    <w:abstractNumId w:val="6"/>
  </w:num>
  <w:num w:numId="9">
    <w:abstractNumId w:val="10"/>
  </w:num>
  <w:num w:numId="10">
    <w:abstractNumId w:val="12"/>
  </w:num>
  <w:num w:numId="11">
    <w:abstractNumId w:val="3"/>
  </w:num>
  <w:num w:numId="12">
    <w:abstractNumId w:val="2"/>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A"/>
    <w:rsid w:val="0000187D"/>
    <w:rsid w:val="00002F79"/>
    <w:rsid w:val="00004610"/>
    <w:rsid w:val="00012F34"/>
    <w:rsid w:val="00014221"/>
    <w:rsid w:val="00014835"/>
    <w:rsid w:val="0002224F"/>
    <w:rsid w:val="00032F21"/>
    <w:rsid w:val="000348C3"/>
    <w:rsid w:val="0003600E"/>
    <w:rsid w:val="0003635E"/>
    <w:rsid w:val="00050429"/>
    <w:rsid w:val="00051F21"/>
    <w:rsid w:val="0005223D"/>
    <w:rsid w:val="00060D7C"/>
    <w:rsid w:val="00062439"/>
    <w:rsid w:val="000640D0"/>
    <w:rsid w:val="00067469"/>
    <w:rsid w:val="00072727"/>
    <w:rsid w:val="00075B0D"/>
    <w:rsid w:val="00076038"/>
    <w:rsid w:val="0008077E"/>
    <w:rsid w:val="00081020"/>
    <w:rsid w:val="0008251B"/>
    <w:rsid w:val="00084069"/>
    <w:rsid w:val="00087DF0"/>
    <w:rsid w:val="00091ECC"/>
    <w:rsid w:val="000932C6"/>
    <w:rsid w:val="000A789F"/>
    <w:rsid w:val="000B0C81"/>
    <w:rsid w:val="000B0E3E"/>
    <w:rsid w:val="000B3405"/>
    <w:rsid w:val="000B3E85"/>
    <w:rsid w:val="000B4AF7"/>
    <w:rsid w:val="000B7512"/>
    <w:rsid w:val="000C3403"/>
    <w:rsid w:val="000C4398"/>
    <w:rsid w:val="000C7631"/>
    <w:rsid w:val="000D02C8"/>
    <w:rsid w:val="000E679F"/>
    <w:rsid w:val="000F1AFE"/>
    <w:rsid w:val="000F58C0"/>
    <w:rsid w:val="000F707F"/>
    <w:rsid w:val="001056BF"/>
    <w:rsid w:val="001122F8"/>
    <w:rsid w:val="0011430E"/>
    <w:rsid w:val="00114FA3"/>
    <w:rsid w:val="0012482A"/>
    <w:rsid w:val="00124EF9"/>
    <w:rsid w:val="00130128"/>
    <w:rsid w:val="00130350"/>
    <w:rsid w:val="00132D11"/>
    <w:rsid w:val="00137E15"/>
    <w:rsid w:val="00146BAC"/>
    <w:rsid w:val="00155DCD"/>
    <w:rsid w:val="0015792D"/>
    <w:rsid w:val="00161E53"/>
    <w:rsid w:val="001733B3"/>
    <w:rsid w:val="0017362F"/>
    <w:rsid w:val="001827C1"/>
    <w:rsid w:val="001841B2"/>
    <w:rsid w:val="001857D3"/>
    <w:rsid w:val="00190147"/>
    <w:rsid w:val="00192434"/>
    <w:rsid w:val="00194B84"/>
    <w:rsid w:val="001A0693"/>
    <w:rsid w:val="001A56C0"/>
    <w:rsid w:val="001A6884"/>
    <w:rsid w:val="001B55CF"/>
    <w:rsid w:val="001B5BE7"/>
    <w:rsid w:val="001B5FE9"/>
    <w:rsid w:val="001C142B"/>
    <w:rsid w:val="001D3DE5"/>
    <w:rsid w:val="001D3FED"/>
    <w:rsid w:val="001D513D"/>
    <w:rsid w:val="001D6D8B"/>
    <w:rsid w:val="001E0E8B"/>
    <w:rsid w:val="001E1421"/>
    <w:rsid w:val="001F2556"/>
    <w:rsid w:val="00200588"/>
    <w:rsid w:val="002008E8"/>
    <w:rsid w:val="00205F4F"/>
    <w:rsid w:val="00210F0B"/>
    <w:rsid w:val="00211B1F"/>
    <w:rsid w:val="0021266E"/>
    <w:rsid w:val="002144B1"/>
    <w:rsid w:val="00220C73"/>
    <w:rsid w:val="0022420B"/>
    <w:rsid w:val="00226E34"/>
    <w:rsid w:val="00235B1C"/>
    <w:rsid w:val="00244E37"/>
    <w:rsid w:val="00244E42"/>
    <w:rsid w:val="002550DC"/>
    <w:rsid w:val="0025544F"/>
    <w:rsid w:val="0026269F"/>
    <w:rsid w:val="00263AB7"/>
    <w:rsid w:val="00264377"/>
    <w:rsid w:val="00272366"/>
    <w:rsid w:val="002734D1"/>
    <w:rsid w:val="0027405C"/>
    <w:rsid w:val="002754BC"/>
    <w:rsid w:val="0027718B"/>
    <w:rsid w:val="002821B5"/>
    <w:rsid w:val="00287C8E"/>
    <w:rsid w:val="00290FBF"/>
    <w:rsid w:val="00291280"/>
    <w:rsid w:val="00294205"/>
    <w:rsid w:val="002B1DE3"/>
    <w:rsid w:val="002B61A1"/>
    <w:rsid w:val="002C3187"/>
    <w:rsid w:val="002C4129"/>
    <w:rsid w:val="002C5303"/>
    <w:rsid w:val="002C60DC"/>
    <w:rsid w:val="002C7807"/>
    <w:rsid w:val="002D41FC"/>
    <w:rsid w:val="002E1652"/>
    <w:rsid w:val="002E1CE9"/>
    <w:rsid w:val="002E1F05"/>
    <w:rsid w:val="002E45BC"/>
    <w:rsid w:val="002E6D02"/>
    <w:rsid w:val="002E70DB"/>
    <w:rsid w:val="002F193D"/>
    <w:rsid w:val="002F46A6"/>
    <w:rsid w:val="00301F48"/>
    <w:rsid w:val="00303962"/>
    <w:rsid w:val="00305BDC"/>
    <w:rsid w:val="00312186"/>
    <w:rsid w:val="00312A6A"/>
    <w:rsid w:val="003137DF"/>
    <w:rsid w:val="00313D00"/>
    <w:rsid w:val="00317B22"/>
    <w:rsid w:val="00320A07"/>
    <w:rsid w:val="00321F6C"/>
    <w:rsid w:val="003259A6"/>
    <w:rsid w:val="00326CF5"/>
    <w:rsid w:val="0033716E"/>
    <w:rsid w:val="0034230C"/>
    <w:rsid w:val="00342D54"/>
    <w:rsid w:val="00345C6C"/>
    <w:rsid w:val="00351AD9"/>
    <w:rsid w:val="00351ADA"/>
    <w:rsid w:val="00361E81"/>
    <w:rsid w:val="0036262D"/>
    <w:rsid w:val="00364FD1"/>
    <w:rsid w:val="00367629"/>
    <w:rsid w:val="0037044D"/>
    <w:rsid w:val="0037318B"/>
    <w:rsid w:val="00374A5A"/>
    <w:rsid w:val="00383202"/>
    <w:rsid w:val="00384DAD"/>
    <w:rsid w:val="003853B3"/>
    <w:rsid w:val="00386E95"/>
    <w:rsid w:val="0039464C"/>
    <w:rsid w:val="003A36FF"/>
    <w:rsid w:val="003A5D83"/>
    <w:rsid w:val="003B14E9"/>
    <w:rsid w:val="003C15E9"/>
    <w:rsid w:val="003C1892"/>
    <w:rsid w:val="003C23E6"/>
    <w:rsid w:val="003C2DE2"/>
    <w:rsid w:val="003C4568"/>
    <w:rsid w:val="003C52D9"/>
    <w:rsid w:val="003D03B3"/>
    <w:rsid w:val="003D0E81"/>
    <w:rsid w:val="003E0D67"/>
    <w:rsid w:val="003E52C9"/>
    <w:rsid w:val="003E7659"/>
    <w:rsid w:val="003F35FA"/>
    <w:rsid w:val="003F6293"/>
    <w:rsid w:val="003F6E5C"/>
    <w:rsid w:val="004007C8"/>
    <w:rsid w:val="004008F6"/>
    <w:rsid w:val="004018BD"/>
    <w:rsid w:val="0040604A"/>
    <w:rsid w:val="00407977"/>
    <w:rsid w:val="00414B4B"/>
    <w:rsid w:val="00425AB5"/>
    <w:rsid w:val="00432EB9"/>
    <w:rsid w:val="00434A6F"/>
    <w:rsid w:val="00435E90"/>
    <w:rsid w:val="00444C2D"/>
    <w:rsid w:val="00446C0E"/>
    <w:rsid w:val="00450C9E"/>
    <w:rsid w:val="0045146C"/>
    <w:rsid w:val="004516AF"/>
    <w:rsid w:val="00452654"/>
    <w:rsid w:val="00456ACF"/>
    <w:rsid w:val="0046373E"/>
    <w:rsid w:val="0046386C"/>
    <w:rsid w:val="0046658B"/>
    <w:rsid w:val="00466A32"/>
    <w:rsid w:val="00467E0C"/>
    <w:rsid w:val="00477ECE"/>
    <w:rsid w:val="0048101C"/>
    <w:rsid w:val="00482DF8"/>
    <w:rsid w:val="004831BD"/>
    <w:rsid w:val="00486B00"/>
    <w:rsid w:val="004962E9"/>
    <w:rsid w:val="004965FB"/>
    <w:rsid w:val="004A2680"/>
    <w:rsid w:val="004A5D5C"/>
    <w:rsid w:val="004A7F25"/>
    <w:rsid w:val="004B0BC2"/>
    <w:rsid w:val="004B156C"/>
    <w:rsid w:val="004B21D5"/>
    <w:rsid w:val="004B2898"/>
    <w:rsid w:val="004B2C30"/>
    <w:rsid w:val="004C2F68"/>
    <w:rsid w:val="004D0511"/>
    <w:rsid w:val="004D05EC"/>
    <w:rsid w:val="004D0E56"/>
    <w:rsid w:val="004D2C26"/>
    <w:rsid w:val="004D3E57"/>
    <w:rsid w:val="004E2620"/>
    <w:rsid w:val="004E5DAE"/>
    <w:rsid w:val="004F53A9"/>
    <w:rsid w:val="004F72C9"/>
    <w:rsid w:val="004F7CF9"/>
    <w:rsid w:val="005007E3"/>
    <w:rsid w:val="00503387"/>
    <w:rsid w:val="0051103C"/>
    <w:rsid w:val="00512CE2"/>
    <w:rsid w:val="005143B8"/>
    <w:rsid w:val="0051594E"/>
    <w:rsid w:val="005209B9"/>
    <w:rsid w:val="00523208"/>
    <w:rsid w:val="00524AC6"/>
    <w:rsid w:val="00524D3B"/>
    <w:rsid w:val="005320B1"/>
    <w:rsid w:val="00532C58"/>
    <w:rsid w:val="00542BE3"/>
    <w:rsid w:val="005460C0"/>
    <w:rsid w:val="00546113"/>
    <w:rsid w:val="005464F2"/>
    <w:rsid w:val="00557EEF"/>
    <w:rsid w:val="00563B15"/>
    <w:rsid w:val="005640DB"/>
    <w:rsid w:val="005757A3"/>
    <w:rsid w:val="00585863"/>
    <w:rsid w:val="00587F54"/>
    <w:rsid w:val="00591D43"/>
    <w:rsid w:val="005A12CE"/>
    <w:rsid w:val="005A2977"/>
    <w:rsid w:val="005A3802"/>
    <w:rsid w:val="005A3BFF"/>
    <w:rsid w:val="005A3D22"/>
    <w:rsid w:val="005A565D"/>
    <w:rsid w:val="005A58ED"/>
    <w:rsid w:val="005B0C37"/>
    <w:rsid w:val="005B4D09"/>
    <w:rsid w:val="005B51FF"/>
    <w:rsid w:val="005C6C57"/>
    <w:rsid w:val="005D60F6"/>
    <w:rsid w:val="005D6BDF"/>
    <w:rsid w:val="005E060E"/>
    <w:rsid w:val="005E1C34"/>
    <w:rsid w:val="005E2628"/>
    <w:rsid w:val="005E6485"/>
    <w:rsid w:val="005E7DF9"/>
    <w:rsid w:val="005F1FCB"/>
    <w:rsid w:val="005F23B5"/>
    <w:rsid w:val="005F2F24"/>
    <w:rsid w:val="005F5C72"/>
    <w:rsid w:val="00602426"/>
    <w:rsid w:val="00602A4E"/>
    <w:rsid w:val="00604F7F"/>
    <w:rsid w:val="00610811"/>
    <w:rsid w:val="00614081"/>
    <w:rsid w:val="00620603"/>
    <w:rsid w:val="00626A8D"/>
    <w:rsid w:val="00632BFA"/>
    <w:rsid w:val="00634BB1"/>
    <w:rsid w:val="00642869"/>
    <w:rsid w:val="0064697D"/>
    <w:rsid w:val="00650DB5"/>
    <w:rsid w:val="00650E08"/>
    <w:rsid w:val="00664520"/>
    <w:rsid w:val="00666ECE"/>
    <w:rsid w:val="0067420C"/>
    <w:rsid w:val="00677D94"/>
    <w:rsid w:val="00684367"/>
    <w:rsid w:val="00684BB6"/>
    <w:rsid w:val="00686C34"/>
    <w:rsid w:val="006968E1"/>
    <w:rsid w:val="006A21E9"/>
    <w:rsid w:val="006A3417"/>
    <w:rsid w:val="006B1A40"/>
    <w:rsid w:val="006B3FB4"/>
    <w:rsid w:val="006B4390"/>
    <w:rsid w:val="006B4BC9"/>
    <w:rsid w:val="006B68A5"/>
    <w:rsid w:val="006B7D6F"/>
    <w:rsid w:val="006D1CD3"/>
    <w:rsid w:val="006D76D9"/>
    <w:rsid w:val="006F24B0"/>
    <w:rsid w:val="006F6525"/>
    <w:rsid w:val="007001AA"/>
    <w:rsid w:val="007010C5"/>
    <w:rsid w:val="007014E9"/>
    <w:rsid w:val="00703742"/>
    <w:rsid w:val="007042FD"/>
    <w:rsid w:val="00707561"/>
    <w:rsid w:val="00712B99"/>
    <w:rsid w:val="00713A65"/>
    <w:rsid w:val="00715516"/>
    <w:rsid w:val="00715575"/>
    <w:rsid w:val="00716D00"/>
    <w:rsid w:val="00751E29"/>
    <w:rsid w:val="0075445F"/>
    <w:rsid w:val="00756F68"/>
    <w:rsid w:val="00760A18"/>
    <w:rsid w:val="0076131F"/>
    <w:rsid w:val="00763115"/>
    <w:rsid w:val="00765CB8"/>
    <w:rsid w:val="00770648"/>
    <w:rsid w:val="0077421C"/>
    <w:rsid w:val="00777966"/>
    <w:rsid w:val="00777ECE"/>
    <w:rsid w:val="007826A5"/>
    <w:rsid w:val="00791AC3"/>
    <w:rsid w:val="00791DA5"/>
    <w:rsid w:val="007968E3"/>
    <w:rsid w:val="00796A6E"/>
    <w:rsid w:val="007A6C53"/>
    <w:rsid w:val="007C0780"/>
    <w:rsid w:val="007C1CC6"/>
    <w:rsid w:val="007C3F62"/>
    <w:rsid w:val="007C590B"/>
    <w:rsid w:val="007C7E4E"/>
    <w:rsid w:val="007D5CD2"/>
    <w:rsid w:val="007E29FB"/>
    <w:rsid w:val="007E6488"/>
    <w:rsid w:val="007E6BA8"/>
    <w:rsid w:val="007E75C3"/>
    <w:rsid w:val="007F1E90"/>
    <w:rsid w:val="00803200"/>
    <w:rsid w:val="008057EF"/>
    <w:rsid w:val="00806711"/>
    <w:rsid w:val="00830573"/>
    <w:rsid w:val="00830EA4"/>
    <w:rsid w:val="00847D23"/>
    <w:rsid w:val="008507CF"/>
    <w:rsid w:val="00850B3E"/>
    <w:rsid w:val="008512AC"/>
    <w:rsid w:val="0085289E"/>
    <w:rsid w:val="008533BB"/>
    <w:rsid w:val="00854521"/>
    <w:rsid w:val="00855424"/>
    <w:rsid w:val="008607EB"/>
    <w:rsid w:val="008651FC"/>
    <w:rsid w:val="00876F31"/>
    <w:rsid w:val="00880C76"/>
    <w:rsid w:val="00883C6F"/>
    <w:rsid w:val="00883EA9"/>
    <w:rsid w:val="0088441E"/>
    <w:rsid w:val="00886E65"/>
    <w:rsid w:val="00890909"/>
    <w:rsid w:val="00891A23"/>
    <w:rsid w:val="00895D22"/>
    <w:rsid w:val="008A0848"/>
    <w:rsid w:val="008A15BA"/>
    <w:rsid w:val="008A4F85"/>
    <w:rsid w:val="008B253F"/>
    <w:rsid w:val="008B3D72"/>
    <w:rsid w:val="008B3FC8"/>
    <w:rsid w:val="008B47AC"/>
    <w:rsid w:val="008B5B22"/>
    <w:rsid w:val="008C1C90"/>
    <w:rsid w:val="008C27E5"/>
    <w:rsid w:val="008C599C"/>
    <w:rsid w:val="008D5973"/>
    <w:rsid w:val="008E0B57"/>
    <w:rsid w:val="008E3E44"/>
    <w:rsid w:val="008E4AC7"/>
    <w:rsid w:val="008F0AE9"/>
    <w:rsid w:val="008F3248"/>
    <w:rsid w:val="008F516F"/>
    <w:rsid w:val="00901788"/>
    <w:rsid w:val="00906C6D"/>
    <w:rsid w:val="0090745D"/>
    <w:rsid w:val="009101EE"/>
    <w:rsid w:val="00911C5A"/>
    <w:rsid w:val="009243A2"/>
    <w:rsid w:val="00930144"/>
    <w:rsid w:val="0093059A"/>
    <w:rsid w:val="009306C4"/>
    <w:rsid w:val="009346F6"/>
    <w:rsid w:val="00950B10"/>
    <w:rsid w:val="00952948"/>
    <w:rsid w:val="009622F9"/>
    <w:rsid w:val="0096545C"/>
    <w:rsid w:val="009658AA"/>
    <w:rsid w:val="0096738D"/>
    <w:rsid w:val="00972066"/>
    <w:rsid w:val="00976700"/>
    <w:rsid w:val="009777AC"/>
    <w:rsid w:val="0098336C"/>
    <w:rsid w:val="00983501"/>
    <w:rsid w:val="00987D6E"/>
    <w:rsid w:val="00994B72"/>
    <w:rsid w:val="00995B52"/>
    <w:rsid w:val="00995EA0"/>
    <w:rsid w:val="009963B6"/>
    <w:rsid w:val="009A13CC"/>
    <w:rsid w:val="009A6B99"/>
    <w:rsid w:val="009B2821"/>
    <w:rsid w:val="009B3665"/>
    <w:rsid w:val="009C0AA3"/>
    <w:rsid w:val="009C41FE"/>
    <w:rsid w:val="009C683A"/>
    <w:rsid w:val="009D2A0F"/>
    <w:rsid w:val="009D3D4F"/>
    <w:rsid w:val="009D718A"/>
    <w:rsid w:val="009E0BD9"/>
    <w:rsid w:val="009E3CDD"/>
    <w:rsid w:val="009E775B"/>
    <w:rsid w:val="009F1162"/>
    <w:rsid w:val="009F3B88"/>
    <w:rsid w:val="009F3D28"/>
    <w:rsid w:val="009F42D4"/>
    <w:rsid w:val="009F4A07"/>
    <w:rsid w:val="009F508F"/>
    <w:rsid w:val="009F590E"/>
    <w:rsid w:val="009F6A4B"/>
    <w:rsid w:val="00A00982"/>
    <w:rsid w:val="00A04A6A"/>
    <w:rsid w:val="00A11E36"/>
    <w:rsid w:val="00A15BAA"/>
    <w:rsid w:val="00A2244A"/>
    <w:rsid w:val="00A22F33"/>
    <w:rsid w:val="00A24673"/>
    <w:rsid w:val="00A27103"/>
    <w:rsid w:val="00A30885"/>
    <w:rsid w:val="00A30D29"/>
    <w:rsid w:val="00A45CFF"/>
    <w:rsid w:val="00A46B63"/>
    <w:rsid w:val="00A53E71"/>
    <w:rsid w:val="00A542C3"/>
    <w:rsid w:val="00A55D93"/>
    <w:rsid w:val="00A56CF4"/>
    <w:rsid w:val="00A6009A"/>
    <w:rsid w:val="00A6086D"/>
    <w:rsid w:val="00A60FEA"/>
    <w:rsid w:val="00A644DB"/>
    <w:rsid w:val="00A70820"/>
    <w:rsid w:val="00A7113F"/>
    <w:rsid w:val="00A73AE7"/>
    <w:rsid w:val="00A82213"/>
    <w:rsid w:val="00A82AE4"/>
    <w:rsid w:val="00A83F74"/>
    <w:rsid w:val="00A84B52"/>
    <w:rsid w:val="00A8522B"/>
    <w:rsid w:val="00A873CE"/>
    <w:rsid w:val="00A904A2"/>
    <w:rsid w:val="00A91B3B"/>
    <w:rsid w:val="00A96446"/>
    <w:rsid w:val="00AA14EA"/>
    <w:rsid w:val="00AA5836"/>
    <w:rsid w:val="00AB5A32"/>
    <w:rsid w:val="00AB6B66"/>
    <w:rsid w:val="00AB6CF6"/>
    <w:rsid w:val="00AB6E67"/>
    <w:rsid w:val="00AC1065"/>
    <w:rsid w:val="00AC1B04"/>
    <w:rsid w:val="00AC3440"/>
    <w:rsid w:val="00AC4221"/>
    <w:rsid w:val="00AD1B70"/>
    <w:rsid w:val="00AD7290"/>
    <w:rsid w:val="00AE076A"/>
    <w:rsid w:val="00AE1BDD"/>
    <w:rsid w:val="00AE1F48"/>
    <w:rsid w:val="00AE4B31"/>
    <w:rsid w:val="00AF1394"/>
    <w:rsid w:val="00AF2515"/>
    <w:rsid w:val="00AF33EF"/>
    <w:rsid w:val="00AF3517"/>
    <w:rsid w:val="00AF3B80"/>
    <w:rsid w:val="00B00EF0"/>
    <w:rsid w:val="00B01E83"/>
    <w:rsid w:val="00B02FC3"/>
    <w:rsid w:val="00B04F21"/>
    <w:rsid w:val="00B04F68"/>
    <w:rsid w:val="00B12C60"/>
    <w:rsid w:val="00B14254"/>
    <w:rsid w:val="00B14B9F"/>
    <w:rsid w:val="00B20168"/>
    <w:rsid w:val="00B24DFA"/>
    <w:rsid w:val="00B25C4F"/>
    <w:rsid w:val="00B26DE3"/>
    <w:rsid w:val="00B402E4"/>
    <w:rsid w:val="00B41E16"/>
    <w:rsid w:val="00B4331F"/>
    <w:rsid w:val="00B476ED"/>
    <w:rsid w:val="00B47D65"/>
    <w:rsid w:val="00B506D9"/>
    <w:rsid w:val="00B5152D"/>
    <w:rsid w:val="00B5176E"/>
    <w:rsid w:val="00B520E8"/>
    <w:rsid w:val="00B5252A"/>
    <w:rsid w:val="00B634BB"/>
    <w:rsid w:val="00B63ACE"/>
    <w:rsid w:val="00B67710"/>
    <w:rsid w:val="00B84C67"/>
    <w:rsid w:val="00B91B76"/>
    <w:rsid w:val="00B97782"/>
    <w:rsid w:val="00B97FE4"/>
    <w:rsid w:val="00BA182A"/>
    <w:rsid w:val="00BA1E7D"/>
    <w:rsid w:val="00BA2C7A"/>
    <w:rsid w:val="00BA6825"/>
    <w:rsid w:val="00BB1D88"/>
    <w:rsid w:val="00BB5BF1"/>
    <w:rsid w:val="00BB6356"/>
    <w:rsid w:val="00BB6708"/>
    <w:rsid w:val="00BB7F53"/>
    <w:rsid w:val="00BC1C75"/>
    <w:rsid w:val="00BC1FDE"/>
    <w:rsid w:val="00BC4309"/>
    <w:rsid w:val="00BC5B42"/>
    <w:rsid w:val="00BD71AE"/>
    <w:rsid w:val="00BE1285"/>
    <w:rsid w:val="00BE2450"/>
    <w:rsid w:val="00BE3208"/>
    <w:rsid w:val="00BE7112"/>
    <w:rsid w:val="00BF023A"/>
    <w:rsid w:val="00BF0893"/>
    <w:rsid w:val="00BF0DFE"/>
    <w:rsid w:val="00BF0F45"/>
    <w:rsid w:val="00BF1E2B"/>
    <w:rsid w:val="00C11532"/>
    <w:rsid w:val="00C12D9C"/>
    <w:rsid w:val="00C2120B"/>
    <w:rsid w:val="00C21397"/>
    <w:rsid w:val="00C23B96"/>
    <w:rsid w:val="00C26266"/>
    <w:rsid w:val="00C301C1"/>
    <w:rsid w:val="00C3662E"/>
    <w:rsid w:val="00C44779"/>
    <w:rsid w:val="00C5545C"/>
    <w:rsid w:val="00C57F07"/>
    <w:rsid w:val="00C62F12"/>
    <w:rsid w:val="00C63F64"/>
    <w:rsid w:val="00C7068D"/>
    <w:rsid w:val="00C73D35"/>
    <w:rsid w:val="00C74BD6"/>
    <w:rsid w:val="00C75097"/>
    <w:rsid w:val="00C85258"/>
    <w:rsid w:val="00C901A0"/>
    <w:rsid w:val="00C97C1A"/>
    <w:rsid w:val="00CA57C9"/>
    <w:rsid w:val="00CB08D7"/>
    <w:rsid w:val="00CB3C59"/>
    <w:rsid w:val="00CB76F5"/>
    <w:rsid w:val="00CB78B7"/>
    <w:rsid w:val="00CC2F0D"/>
    <w:rsid w:val="00CC648F"/>
    <w:rsid w:val="00CE2652"/>
    <w:rsid w:val="00CE64A9"/>
    <w:rsid w:val="00CE747E"/>
    <w:rsid w:val="00CF0980"/>
    <w:rsid w:val="00CF2F54"/>
    <w:rsid w:val="00CF7C71"/>
    <w:rsid w:val="00D005F4"/>
    <w:rsid w:val="00D02368"/>
    <w:rsid w:val="00D03223"/>
    <w:rsid w:val="00D0465F"/>
    <w:rsid w:val="00D12ED7"/>
    <w:rsid w:val="00D21886"/>
    <w:rsid w:val="00D23676"/>
    <w:rsid w:val="00D24F1C"/>
    <w:rsid w:val="00D328C7"/>
    <w:rsid w:val="00D32B37"/>
    <w:rsid w:val="00D3745F"/>
    <w:rsid w:val="00D403B0"/>
    <w:rsid w:val="00D46CD7"/>
    <w:rsid w:val="00D50810"/>
    <w:rsid w:val="00D514FA"/>
    <w:rsid w:val="00D54108"/>
    <w:rsid w:val="00D544D9"/>
    <w:rsid w:val="00D554B5"/>
    <w:rsid w:val="00D56224"/>
    <w:rsid w:val="00D627BF"/>
    <w:rsid w:val="00D6334B"/>
    <w:rsid w:val="00D63510"/>
    <w:rsid w:val="00D6373B"/>
    <w:rsid w:val="00D63AF2"/>
    <w:rsid w:val="00D655CC"/>
    <w:rsid w:val="00D667B4"/>
    <w:rsid w:val="00D668BF"/>
    <w:rsid w:val="00D709D9"/>
    <w:rsid w:val="00D72300"/>
    <w:rsid w:val="00D7792E"/>
    <w:rsid w:val="00D82675"/>
    <w:rsid w:val="00D86CAD"/>
    <w:rsid w:val="00D962CB"/>
    <w:rsid w:val="00DA0FB5"/>
    <w:rsid w:val="00DA54AA"/>
    <w:rsid w:val="00DB2D64"/>
    <w:rsid w:val="00DB565B"/>
    <w:rsid w:val="00DB6834"/>
    <w:rsid w:val="00DC10F8"/>
    <w:rsid w:val="00DC12AE"/>
    <w:rsid w:val="00DC18BE"/>
    <w:rsid w:val="00DC2CE8"/>
    <w:rsid w:val="00DC5B35"/>
    <w:rsid w:val="00DD0B6D"/>
    <w:rsid w:val="00DD229A"/>
    <w:rsid w:val="00DD23A3"/>
    <w:rsid w:val="00DE1EE0"/>
    <w:rsid w:val="00DE2271"/>
    <w:rsid w:val="00DE2AF2"/>
    <w:rsid w:val="00DE31BE"/>
    <w:rsid w:val="00DE4533"/>
    <w:rsid w:val="00DE56B6"/>
    <w:rsid w:val="00DE7A0F"/>
    <w:rsid w:val="00DF432F"/>
    <w:rsid w:val="00DF45C9"/>
    <w:rsid w:val="00DF7BB4"/>
    <w:rsid w:val="00DF7C51"/>
    <w:rsid w:val="00E0032F"/>
    <w:rsid w:val="00E11FAD"/>
    <w:rsid w:val="00E12907"/>
    <w:rsid w:val="00E146C9"/>
    <w:rsid w:val="00E14CB8"/>
    <w:rsid w:val="00E1501A"/>
    <w:rsid w:val="00E1505A"/>
    <w:rsid w:val="00E16027"/>
    <w:rsid w:val="00E16ABD"/>
    <w:rsid w:val="00E21933"/>
    <w:rsid w:val="00E232A3"/>
    <w:rsid w:val="00E24786"/>
    <w:rsid w:val="00E2722B"/>
    <w:rsid w:val="00E31365"/>
    <w:rsid w:val="00E31684"/>
    <w:rsid w:val="00E350ED"/>
    <w:rsid w:val="00E35108"/>
    <w:rsid w:val="00E359E9"/>
    <w:rsid w:val="00E410C9"/>
    <w:rsid w:val="00E421D6"/>
    <w:rsid w:val="00E479CF"/>
    <w:rsid w:val="00E502FB"/>
    <w:rsid w:val="00E554F4"/>
    <w:rsid w:val="00E60A75"/>
    <w:rsid w:val="00E61B0D"/>
    <w:rsid w:val="00E65A1C"/>
    <w:rsid w:val="00E661BB"/>
    <w:rsid w:val="00E669E7"/>
    <w:rsid w:val="00E66E9E"/>
    <w:rsid w:val="00E740F6"/>
    <w:rsid w:val="00E7542D"/>
    <w:rsid w:val="00E75C80"/>
    <w:rsid w:val="00E8186D"/>
    <w:rsid w:val="00E870FA"/>
    <w:rsid w:val="00E87439"/>
    <w:rsid w:val="00E8789B"/>
    <w:rsid w:val="00EA09C6"/>
    <w:rsid w:val="00EA0BE9"/>
    <w:rsid w:val="00EA2476"/>
    <w:rsid w:val="00EA6AAE"/>
    <w:rsid w:val="00EB34C3"/>
    <w:rsid w:val="00EB3593"/>
    <w:rsid w:val="00EB7F71"/>
    <w:rsid w:val="00EC5E51"/>
    <w:rsid w:val="00EC6213"/>
    <w:rsid w:val="00EC75C6"/>
    <w:rsid w:val="00EC7BAD"/>
    <w:rsid w:val="00ED711E"/>
    <w:rsid w:val="00EE0D83"/>
    <w:rsid w:val="00EE545F"/>
    <w:rsid w:val="00EE55FF"/>
    <w:rsid w:val="00EF0D85"/>
    <w:rsid w:val="00EF13EA"/>
    <w:rsid w:val="00EF275C"/>
    <w:rsid w:val="00EF4737"/>
    <w:rsid w:val="00F05A91"/>
    <w:rsid w:val="00F1478F"/>
    <w:rsid w:val="00F16183"/>
    <w:rsid w:val="00F17E47"/>
    <w:rsid w:val="00F20A77"/>
    <w:rsid w:val="00F21C45"/>
    <w:rsid w:val="00F26991"/>
    <w:rsid w:val="00F33C6A"/>
    <w:rsid w:val="00F42AF2"/>
    <w:rsid w:val="00F4317F"/>
    <w:rsid w:val="00F51A62"/>
    <w:rsid w:val="00F63535"/>
    <w:rsid w:val="00F726D7"/>
    <w:rsid w:val="00F74927"/>
    <w:rsid w:val="00F75E88"/>
    <w:rsid w:val="00F91D28"/>
    <w:rsid w:val="00FA483E"/>
    <w:rsid w:val="00FB1C36"/>
    <w:rsid w:val="00FB2192"/>
    <w:rsid w:val="00FB3F8D"/>
    <w:rsid w:val="00FB5B07"/>
    <w:rsid w:val="00FB7687"/>
    <w:rsid w:val="00FC36FF"/>
    <w:rsid w:val="00FC42A0"/>
    <w:rsid w:val="00FC4B39"/>
    <w:rsid w:val="00FC5233"/>
    <w:rsid w:val="00FC539E"/>
    <w:rsid w:val="00FC7D94"/>
    <w:rsid w:val="00FD0574"/>
    <w:rsid w:val="00FD7461"/>
    <w:rsid w:val="00FD766D"/>
    <w:rsid w:val="00FE00AF"/>
    <w:rsid w:val="00FF1912"/>
    <w:rsid w:val="00FF5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C0ACE4"/>
  <w15:docId w15:val="{FC4BDB30-6BF1-4956-9120-A3FB4DF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F2"/>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E7542D"/>
    <w:pPr>
      <w:keepNext/>
      <w:keepLines/>
      <w:pageBreakBefore/>
      <w:outlineLvl w:val="0"/>
    </w:pPr>
    <w:rPr>
      <w:rFonts w:eastAsiaTheme="majorEastAsia" w:cstheme="majorBidi"/>
      <w:b/>
      <w:szCs w:val="32"/>
    </w:rPr>
  </w:style>
  <w:style w:type="paragraph" w:styleId="Heading2">
    <w:name w:val="heading 2"/>
    <w:basedOn w:val="Normal"/>
    <w:link w:val="Heading2Char"/>
    <w:uiPriority w:val="9"/>
    <w:qFormat/>
    <w:rsid w:val="00DE2AF2"/>
    <w:pPr>
      <w:outlineLvl w:val="1"/>
    </w:pPr>
    <w:rPr>
      <w:rFonts w:eastAsia="Times New Roman" w:cs="Times New Roman"/>
      <w:b/>
      <w:bCs/>
      <w:sz w:val="26"/>
      <w:szCs w:val="36"/>
      <w:lang w:eastAsia="en-AU"/>
    </w:rPr>
  </w:style>
  <w:style w:type="paragraph" w:styleId="Heading3">
    <w:name w:val="heading 3"/>
    <w:basedOn w:val="Normal"/>
    <w:next w:val="Normal"/>
    <w:link w:val="Heading3Char"/>
    <w:uiPriority w:val="9"/>
    <w:unhideWhenUsed/>
    <w:qFormat/>
    <w:rsid w:val="00E7542D"/>
    <w:pPr>
      <w:pBdr>
        <w:top w:val="single" w:sz="4" w:space="1" w:color="auto"/>
        <w:left w:val="single" w:sz="4" w:space="4" w:color="auto"/>
        <w:bottom w:val="single" w:sz="4" w:space="1" w:color="auto"/>
        <w:right w:val="single" w:sz="4" w:space="4" w:color="auto"/>
      </w:pBdr>
      <w:shd w:val="clear" w:color="auto" w:fill="F2F2F2" w:themeFill="background1" w:themeFillShade="F2"/>
      <w:outlineLvl w:val="2"/>
    </w:pPr>
    <w:rPr>
      <w:rFonts w:eastAsia="Times New Roman" w:cs="Times New Roman"/>
      <w:b/>
      <w:szCs w:val="24"/>
    </w:rPr>
  </w:style>
  <w:style w:type="paragraph" w:styleId="Heading4">
    <w:name w:val="heading 4"/>
    <w:next w:val="Normal"/>
    <w:link w:val="Heading4Char"/>
    <w:uiPriority w:val="9"/>
    <w:unhideWhenUsed/>
    <w:qFormat/>
    <w:rsid w:val="00E7542D"/>
    <w:pPr>
      <w:outlineLvl w:val="3"/>
    </w:pPr>
    <w:rPr>
      <w:rFonts w:ascii="Times New Roman" w:eastAsia="Times New Roman" w:hAnsi="Times New Roman" w:cs="Times New Roman"/>
      <w: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1ADA"/>
    <w:pPr>
      <w:tabs>
        <w:tab w:val="center" w:pos="4513"/>
        <w:tab w:val="right" w:pos="9026"/>
      </w:tabs>
      <w:spacing w:after="0"/>
    </w:pPr>
    <w:rPr>
      <w:rFonts w:eastAsia="Times New Roman" w:cs="Times New Roman"/>
      <w:szCs w:val="20"/>
      <w:lang w:eastAsia="en-AU"/>
    </w:rPr>
  </w:style>
  <w:style w:type="character" w:customStyle="1" w:styleId="FooterChar">
    <w:name w:val="Footer Char"/>
    <w:basedOn w:val="DefaultParagraphFont"/>
    <w:link w:val="Footer"/>
    <w:uiPriority w:val="99"/>
    <w:rsid w:val="00351ADA"/>
    <w:rPr>
      <w:rFonts w:ascii="Times New Roman" w:eastAsia="Times New Roman" w:hAnsi="Times New Roman" w:cs="Times New Roman"/>
      <w:sz w:val="24"/>
      <w:szCs w:val="20"/>
      <w:lang w:eastAsia="en-AU"/>
    </w:rPr>
  </w:style>
  <w:style w:type="character" w:styleId="Hyperlink">
    <w:name w:val="Hyperlink"/>
    <w:uiPriority w:val="99"/>
    <w:unhideWhenUsed/>
    <w:rsid w:val="00351ADA"/>
    <w:rPr>
      <w:color w:val="0000FF"/>
      <w:u w:val="single"/>
    </w:rPr>
  </w:style>
  <w:style w:type="paragraph" w:styleId="FootnoteText">
    <w:name w:val="footnote text"/>
    <w:basedOn w:val="Normal"/>
    <w:link w:val="FootnoteTextChar"/>
    <w:uiPriority w:val="99"/>
    <w:unhideWhenUsed/>
    <w:rsid w:val="00351ADA"/>
    <w:pPr>
      <w:spacing w:after="0"/>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351ADA"/>
    <w:rPr>
      <w:rFonts w:ascii="Calibri" w:eastAsia="Calibri" w:hAnsi="Calibri" w:cs="Times New Roman"/>
      <w:sz w:val="20"/>
      <w:szCs w:val="20"/>
      <w:lang w:val="en-GB"/>
    </w:rPr>
  </w:style>
  <w:style w:type="character" w:styleId="FootnoteReference">
    <w:name w:val="footnote reference"/>
    <w:uiPriority w:val="99"/>
    <w:unhideWhenUsed/>
    <w:rsid w:val="00351ADA"/>
    <w:rPr>
      <w:vertAlign w:val="superscript"/>
    </w:rPr>
  </w:style>
  <w:style w:type="paragraph" w:styleId="BalloonText">
    <w:name w:val="Balloon Text"/>
    <w:basedOn w:val="Normal"/>
    <w:link w:val="BalloonTextChar"/>
    <w:uiPriority w:val="99"/>
    <w:semiHidden/>
    <w:unhideWhenUsed/>
    <w:rsid w:val="00351A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DA"/>
    <w:rPr>
      <w:rFonts w:ascii="Tahoma" w:hAnsi="Tahoma" w:cs="Tahoma"/>
      <w:sz w:val="16"/>
      <w:szCs w:val="1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99"/>
    <w:qFormat/>
    <w:rsid w:val="005E7DF9"/>
    <w:pPr>
      <w:ind w:left="720"/>
      <w:contextualSpacing/>
    </w:pPr>
  </w:style>
  <w:style w:type="paragraph" w:styleId="Header">
    <w:name w:val="header"/>
    <w:basedOn w:val="Normal"/>
    <w:link w:val="HeaderChar"/>
    <w:uiPriority w:val="99"/>
    <w:unhideWhenUsed/>
    <w:rsid w:val="00466A32"/>
    <w:pPr>
      <w:tabs>
        <w:tab w:val="center" w:pos="4513"/>
        <w:tab w:val="right" w:pos="9026"/>
      </w:tabs>
      <w:spacing w:after="0"/>
    </w:pPr>
  </w:style>
  <w:style w:type="character" w:customStyle="1" w:styleId="HeaderChar">
    <w:name w:val="Header Char"/>
    <w:basedOn w:val="DefaultParagraphFont"/>
    <w:link w:val="Header"/>
    <w:uiPriority w:val="99"/>
    <w:rsid w:val="00466A32"/>
  </w:style>
  <w:style w:type="paragraph" w:customStyle="1" w:styleId="Default">
    <w:name w:val="Default"/>
    <w:rsid w:val="00D655C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locked/>
    <w:rsid w:val="001E0E8B"/>
  </w:style>
  <w:style w:type="character" w:customStyle="1" w:styleId="Heading2Char">
    <w:name w:val="Heading 2 Char"/>
    <w:basedOn w:val="DefaultParagraphFont"/>
    <w:link w:val="Heading2"/>
    <w:uiPriority w:val="9"/>
    <w:rsid w:val="00DE2AF2"/>
    <w:rPr>
      <w:rFonts w:ascii="Times New Roman" w:eastAsia="Times New Roman" w:hAnsi="Times New Roman" w:cs="Times New Roman"/>
      <w:b/>
      <w:bCs/>
      <w:sz w:val="26"/>
      <w:szCs w:val="36"/>
      <w:lang w:eastAsia="en-AU"/>
    </w:rPr>
  </w:style>
  <w:style w:type="paragraph" w:styleId="NormalWeb">
    <w:name w:val="Normal (Web)"/>
    <w:basedOn w:val="Normal"/>
    <w:uiPriority w:val="99"/>
    <w:unhideWhenUsed/>
    <w:rsid w:val="006A21E9"/>
    <w:pPr>
      <w:spacing w:before="100" w:beforeAutospacing="1" w:after="100" w:afterAutospacing="1"/>
    </w:pPr>
    <w:rPr>
      <w:rFonts w:eastAsia="Times New Roman" w:cs="Times New Roman"/>
      <w:szCs w:val="24"/>
      <w:lang w:eastAsia="en-AU"/>
    </w:rPr>
  </w:style>
  <w:style w:type="character" w:styleId="CommentReference">
    <w:name w:val="annotation reference"/>
    <w:basedOn w:val="DefaultParagraphFont"/>
    <w:unhideWhenUsed/>
    <w:rsid w:val="007E6488"/>
    <w:rPr>
      <w:sz w:val="16"/>
      <w:szCs w:val="16"/>
    </w:rPr>
  </w:style>
  <w:style w:type="paragraph" w:styleId="CommentText">
    <w:name w:val="annotation text"/>
    <w:basedOn w:val="Normal"/>
    <w:link w:val="CommentTextChar"/>
    <w:unhideWhenUsed/>
    <w:rsid w:val="007E6488"/>
    <w:rPr>
      <w:sz w:val="20"/>
      <w:szCs w:val="20"/>
    </w:rPr>
  </w:style>
  <w:style w:type="character" w:customStyle="1" w:styleId="CommentTextChar">
    <w:name w:val="Comment Text Char"/>
    <w:basedOn w:val="DefaultParagraphFont"/>
    <w:link w:val="CommentText"/>
    <w:rsid w:val="007E6488"/>
    <w:rPr>
      <w:sz w:val="20"/>
      <w:szCs w:val="20"/>
    </w:rPr>
  </w:style>
  <w:style w:type="paragraph" w:styleId="CommentSubject">
    <w:name w:val="annotation subject"/>
    <w:basedOn w:val="CommentText"/>
    <w:next w:val="CommentText"/>
    <w:link w:val="CommentSubjectChar"/>
    <w:uiPriority w:val="99"/>
    <w:semiHidden/>
    <w:unhideWhenUsed/>
    <w:rsid w:val="007E6488"/>
    <w:rPr>
      <w:b/>
      <w:bCs/>
    </w:rPr>
  </w:style>
  <w:style w:type="character" w:customStyle="1" w:styleId="CommentSubjectChar">
    <w:name w:val="Comment Subject Char"/>
    <w:basedOn w:val="CommentTextChar"/>
    <w:link w:val="CommentSubject"/>
    <w:uiPriority w:val="99"/>
    <w:semiHidden/>
    <w:rsid w:val="007E6488"/>
    <w:rPr>
      <w:b/>
      <w:bCs/>
      <w:sz w:val="20"/>
      <w:szCs w:val="20"/>
    </w:rPr>
  </w:style>
  <w:style w:type="character" w:styleId="FollowedHyperlink">
    <w:name w:val="FollowedHyperlink"/>
    <w:basedOn w:val="DefaultParagraphFont"/>
    <w:uiPriority w:val="99"/>
    <w:semiHidden/>
    <w:unhideWhenUsed/>
    <w:rsid w:val="002E1F05"/>
    <w:rPr>
      <w:color w:val="800080" w:themeColor="followedHyperlink"/>
      <w:u w:val="single"/>
    </w:rPr>
  </w:style>
  <w:style w:type="paragraph" w:styleId="Revision">
    <w:name w:val="Revision"/>
    <w:hidden/>
    <w:uiPriority w:val="99"/>
    <w:semiHidden/>
    <w:rsid w:val="00DF7C51"/>
    <w:pPr>
      <w:spacing w:after="0" w:line="240" w:lineRule="auto"/>
    </w:pPr>
  </w:style>
  <w:style w:type="paragraph" w:styleId="Title">
    <w:name w:val="Title"/>
    <w:basedOn w:val="Normal"/>
    <w:next w:val="Normal"/>
    <w:link w:val="TitleChar"/>
    <w:uiPriority w:val="10"/>
    <w:qFormat/>
    <w:rsid w:val="00E7542D"/>
    <w:pPr>
      <w:spacing w:before="360" w:after="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E7542D"/>
    <w:rPr>
      <w:rFonts w:ascii="Times New Roman" w:eastAsiaTheme="majorEastAsia" w:hAnsi="Times New Roman" w:cstheme="majorBidi"/>
      <w:b/>
      <w:spacing w:val="-10"/>
      <w:kern w:val="28"/>
      <w:sz w:val="36"/>
      <w:szCs w:val="56"/>
    </w:rPr>
  </w:style>
  <w:style w:type="character" w:customStyle="1" w:styleId="Heading1Char">
    <w:name w:val="Heading 1 Char"/>
    <w:basedOn w:val="DefaultParagraphFont"/>
    <w:link w:val="Heading1"/>
    <w:uiPriority w:val="9"/>
    <w:rsid w:val="00E7542D"/>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E7542D"/>
    <w:rPr>
      <w:rFonts w:ascii="Times New Roman" w:eastAsia="Times New Roman" w:hAnsi="Times New Roman" w:cs="Times New Roman"/>
      <w:b/>
      <w:sz w:val="24"/>
      <w:szCs w:val="24"/>
      <w:shd w:val="clear" w:color="auto" w:fill="F2F2F2" w:themeFill="background1" w:themeFillShade="F2"/>
    </w:rPr>
  </w:style>
  <w:style w:type="paragraph" w:customStyle="1" w:styleId="Style1">
    <w:name w:val="Style1"/>
    <w:basedOn w:val="Normal"/>
    <w:link w:val="Style1Char"/>
    <w:qFormat/>
    <w:rsid w:val="00303962"/>
    <w:pPr>
      <w:widowControl w:val="0"/>
      <w:numPr>
        <w:numId w:val="4"/>
      </w:numPr>
      <w:ind w:left="357" w:hanging="357"/>
    </w:pPr>
    <w:rPr>
      <w:rFonts w:cs="Times New Roman"/>
      <w:szCs w:val="24"/>
    </w:rPr>
  </w:style>
  <w:style w:type="character" w:customStyle="1" w:styleId="Style1Char">
    <w:name w:val="Style1 Char"/>
    <w:basedOn w:val="DefaultParagraphFont"/>
    <w:link w:val="Style1"/>
    <w:rsid w:val="00303962"/>
    <w:rPr>
      <w:rFonts w:ascii="Times New Roman" w:hAnsi="Times New Roman" w:cs="Times New Roman"/>
      <w:sz w:val="24"/>
      <w:szCs w:val="24"/>
    </w:rPr>
  </w:style>
  <w:style w:type="character" w:customStyle="1" w:styleId="Heading4Char">
    <w:name w:val="Heading 4 Char"/>
    <w:basedOn w:val="DefaultParagraphFont"/>
    <w:link w:val="Heading4"/>
    <w:uiPriority w:val="9"/>
    <w:rsid w:val="00E7542D"/>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3108">
      <w:bodyDiv w:val="1"/>
      <w:marLeft w:val="0"/>
      <w:marRight w:val="0"/>
      <w:marTop w:val="0"/>
      <w:marBottom w:val="0"/>
      <w:divBdr>
        <w:top w:val="none" w:sz="0" w:space="0" w:color="auto"/>
        <w:left w:val="none" w:sz="0" w:space="0" w:color="auto"/>
        <w:bottom w:val="none" w:sz="0" w:space="0" w:color="auto"/>
        <w:right w:val="none" w:sz="0" w:space="0" w:color="auto"/>
      </w:divBdr>
    </w:div>
    <w:div w:id="446970923">
      <w:bodyDiv w:val="1"/>
      <w:marLeft w:val="0"/>
      <w:marRight w:val="0"/>
      <w:marTop w:val="0"/>
      <w:marBottom w:val="0"/>
      <w:divBdr>
        <w:top w:val="none" w:sz="0" w:space="0" w:color="auto"/>
        <w:left w:val="none" w:sz="0" w:space="0" w:color="auto"/>
        <w:bottom w:val="none" w:sz="0" w:space="0" w:color="auto"/>
        <w:right w:val="none" w:sz="0" w:space="0" w:color="auto"/>
      </w:divBdr>
    </w:div>
    <w:div w:id="860973798">
      <w:bodyDiv w:val="1"/>
      <w:marLeft w:val="0"/>
      <w:marRight w:val="0"/>
      <w:marTop w:val="0"/>
      <w:marBottom w:val="0"/>
      <w:divBdr>
        <w:top w:val="none" w:sz="0" w:space="0" w:color="auto"/>
        <w:left w:val="none" w:sz="0" w:space="0" w:color="auto"/>
        <w:bottom w:val="none" w:sz="0" w:space="0" w:color="auto"/>
        <w:right w:val="none" w:sz="0" w:space="0" w:color="auto"/>
      </w:divBdr>
    </w:div>
    <w:div w:id="872764223">
      <w:bodyDiv w:val="1"/>
      <w:marLeft w:val="0"/>
      <w:marRight w:val="0"/>
      <w:marTop w:val="0"/>
      <w:marBottom w:val="0"/>
      <w:divBdr>
        <w:top w:val="none" w:sz="0" w:space="0" w:color="auto"/>
        <w:left w:val="none" w:sz="0" w:space="0" w:color="auto"/>
        <w:bottom w:val="none" w:sz="0" w:space="0" w:color="auto"/>
        <w:right w:val="none" w:sz="0" w:space="0" w:color="auto"/>
      </w:divBdr>
    </w:div>
    <w:div w:id="905801010">
      <w:bodyDiv w:val="1"/>
      <w:marLeft w:val="0"/>
      <w:marRight w:val="0"/>
      <w:marTop w:val="0"/>
      <w:marBottom w:val="0"/>
      <w:divBdr>
        <w:top w:val="none" w:sz="0" w:space="0" w:color="auto"/>
        <w:left w:val="none" w:sz="0" w:space="0" w:color="auto"/>
        <w:bottom w:val="none" w:sz="0" w:space="0" w:color="auto"/>
        <w:right w:val="none" w:sz="0" w:space="0" w:color="auto"/>
      </w:divBdr>
    </w:div>
    <w:div w:id="914900834">
      <w:bodyDiv w:val="1"/>
      <w:marLeft w:val="0"/>
      <w:marRight w:val="0"/>
      <w:marTop w:val="0"/>
      <w:marBottom w:val="0"/>
      <w:divBdr>
        <w:top w:val="none" w:sz="0" w:space="0" w:color="auto"/>
        <w:left w:val="none" w:sz="0" w:space="0" w:color="auto"/>
        <w:bottom w:val="none" w:sz="0" w:space="0" w:color="auto"/>
        <w:right w:val="none" w:sz="0" w:space="0" w:color="auto"/>
      </w:divBdr>
    </w:div>
    <w:div w:id="1060203458">
      <w:bodyDiv w:val="1"/>
      <w:marLeft w:val="0"/>
      <w:marRight w:val="0"/>
      <w:marTop w:val="0"/>
      <w:marBottom w:val="0"/>
      <w:divBdr>
        <w:top w:val="none" w:sz="0" w:space="0" w:color="auto"/>
        <w:left w:val="none" w:sz="0" w:space="0" w:color="auto"/>
        <w:bottom w:val="none" w:sz="0" w:space="0" w:color="auto"/>
        <w:right w:val="none" w:sz="0" w:space="0" w:color="auto"/>
      </w:divBdr>
    </w:div>
    <w:div w:id="1285118969">
      <w:bodyDiv w:val="1"/>
      <w:marLeft w:val="0"/>
      <w:marRight w:val="0"/>
      <w:marTop w:val="0"/>
      <w:marBottom w:val="0"/>
      <w:divBdr>
        <w:top w:val="none" w:sz="0" w:space="0" w:color="auto"/>
        <w:left w:val="none" w:sz="0" w:space="0" w:color="auto"/>
        <w:bottom w:val="none" w:sz="0" w:space="0" w:color="auto"/>
        <w:right w:val="none" w:sz="0" w:space="0" w:color="auto"/>
      </w:divBdr>
    </w:div>
    <w:div w:id="1819758413">
      <w:bodyDiv w:val="1"/>
      <w:marLeft w:val="0"/>
      <w:marRight w:val="0"/>
      <w:marTop w:val="0"/>
      <w:marBottom w:val="0"/>
      <w:divBdr>
        <w:top w:val="none" w:sz="0" w:space="0" w:color="auto"/>
        <w:left w:val="none" w:sz="0" w:space="0" w:color="auto"/>
        <w:bottom w:val="none" w:sz="0" w:space="0" w:color="auto"/>
        <w:right w:val="none" w:sz="0" w:space="0" w:color="auto"/>
      </w:divBdr>
    </w:div>
    <w:div w:id="1841503923">
      <w:bodyDiv w:val="1"/>
      <w:marLeft w:val="0"/>
      <w:marRight w:val="0"/>
      <w:marTop w:val="0"/>
      <w:marBottom w:val="0"/>
      <w:divBdr>
        <w:top w:val="none" w:sz="0" w:space="0" w:color="auto"/>
        <w:left w:val="none" w:sz="0" w:space="0" w:color="auto"/>
        <w:bottom w:val="none" w:sz="0" w:space="0" w:color="auto"/>
        <w:right w:val="none" w:sz="0" w:space="0" w:color="auto"/>
      </w:divBdr>
    </w:div>
    <w:div w:id="20960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c.gov.au/publications/comparator-websites-a-guide-for-comparator-website-operators-and-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7DC6-458F-4E8B-8944-824A3C3B90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608E09-6AAE-450C-BB17-B7332EF30ECB}">
  <ds:schemaRefs>
    <ds:schemaRef ds:uri="http://schemas.microsoft.com/sharepoint/v3/contenttype/forms"/>
  </ds:schemaRefs>
</ds:datastoreItem>
</file>

<file path=customXml/itemProps3.xml><?xml version="1.0" encoding="utf-8"?>
<ds:datastoreItem xmlns:ds="http://schemas.openxmlformats.org/officeDocument/2006/customXml" ds:itemID="{87E84C65-0CE1-4281-92AE-4E32D1EF9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B3603B-F9C3-4745-8A34-D682120C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19493</Characters>
  <Application>Microsoft Office Word</Application>
  <DocSecurity>0</DocSecurity>
  <Lines>360</Lines>
  <Paragraphs>143</Paragraphs>
  <ScaleCrop>false</ScaleCrop>
  <HeadingPairs>
    <vt:vector size="2" baseType="variant">
      <vt:variant>
        <vt:lpstr>Title</vt:lpstr>
      </vt:variant>
      <vt:variant>
        <vt:i4>1</vt:i4>
      </vt:variant>
    </vt:vector>
  </HeadingPairs>
  <TitlesOfParts>
    <vt:vector size="1" baseType="lpstr">
      <vt:lpstr>Australian Government response to the Select Committee on Red Tape: Value and affordability of private health insurance and out-of-pocket costs</vt:lpstr>
    </vt:vector>
  </TitlesOfParts>
  <Company>Department of Health</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Select Committee on Red Tape: Value and affordability of private health insurance and out-of-pocket costs</dc:title>
  <dc:subject>Government response</dc:subject>
  <dc:creator>Department of Health</dc:creator>
  <cp:keywords>Goverment response; Value and affordability of private health insurance and out-of-pocket costs</cp:keywords>
  <cp:lastModifiedBy>Maschke, Elvia</cp:lastModifiedBy>
  <cp:revision>2</cp:revision>
  <cp:lastPrinted>2018-11-13T01:15:00Z</cp:lastPrinted>
  <dcterms:created xsi:type="dcterms:W3CDTF">2019-06-12T07:34:00Z</dcterms:created>
  <dcterms:modified xsi:type="dcterms:W3CDTF">2019-06-12T07:34:00Z</dcterms:modified>
  <cp:category>Government response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