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3CBC8" w14:textId="77777777" w:rsidR="00927137" w:rsidRPr="00DD0EC2" w:rsidRDefault="00590929" w:rsidP="00C03E70">
      <w:pPr>
        <w:pStyle w:val="Heading1"/>
      </w:pPr>
      <w:r w:rsidRPr="00C03E70">
        <w:t xml:space="preserve">Tobacco </w:t>
      </w:r>
      <w:r w:rsidR="00893138">
        <w:t>c</w:t>
      </w:r>
      <w:r w:rsidRPr="00C03E70">
        <w:t>ontrol</w:t>
      </w:r>
      <w:r w:rsidR="00893138">
        <w:t xml:space="preserve"> — key facts and figures</w:t>
      </w:r>
    </w:p>
    <w:p w14:paraId="06DD7D1E" w14:textId="2740B165" w:rsidR="009414C2" w:rsidRDefault="009414C2" w:rsidP="00C03E70">
      <w:pPr>
        <w:rPr>
          <w:shd w:val="clear" w:color="auto" w:fill="FFFFFF"/>
        </w:rPr>
      </w:pPr>
      <w:r>
        <w:rPr>
          <w:shd w:val="clear" w:color="auto" w:fill="FFFFFF"/>
        </w:rPr>
        <w:t>Tobacco remains the leading cause of preventable death and disability in Australia, with smoking estimated to kill almost 19,000 Australians a year.</w:t>
      </w:r>
      <w:r w:rsidRPr="009414C2">
        <w:rPr>
          <w:rStyle w:val="EndnoteReference"/>
          <w:rFonts w:ascii="Arial" w:hAnsi="Arial" w:cs="Arial"/>
          <w:color w:val="222222"/>
          <w:szCs w:val="22"/>
          <w:shd w:val="clear" w:color="auto" w:fill="FAFAFA"/>
        </w:rPr>
        <w:endnoteReference w:id="1"/>
      </w:r>
      <w:r>
        <w:rPr>
          <w:shd w:val="clear" w:color="auto" w:fill="FFFFFF"/>
        </w:rPr>
        <w:t xml:space="preserve"> In 200</w:t>
      </w:r>
      <w:r w:rsidR="00AD74F7">
        <w:rPr>
          <w:shd w:val="clear" w:color="auto" w:fill="FFFFFF"/>
        </w:rPr>
        <w:t>4</w:t>
      </w:r>
      <w:r w:rsidR="008F26CC">
        <w:rPr>
          <w:shd w:val="clear" w:color="auto" w:fill="FFFFFF"/>
        </w:rPr>
        <w:t>–</w:t>
      </w:r>
      <w:r w:rsidR="00AD74F7">
        <w:rPr>
          <w:shd w:val="clear" w:color="auto" w:fill="FFFFFF"/>
        </w:rPr>
        <w:t>05</w:t>
      </w:r>
      <w:r>
        <w:rPr>
          <w:shd w:val="clear" w:color="auto" w:fill="FFFFFF"/>
        </w:rPr>
        <w:t>, the social and economic costs of smoking (including health costs) to Australian society were estimated to be approximately $31.5</w:t>
      </w:r>
      <w:r w:rsidR="001D64A9">
        <w:rPr>
          <w:shd w:val="clear" w:color="auto" w:fill="FFFFFF"/>
        </w:rPr>
        <w:t xml:space="preserve"> </w:t>
      </w:r>
      <w:r>
        <w:rPr>
          <w:shd w:val="clear" w:color="auto" w:fill="FFFFFF"/>
        </w:rPr>
        <w:t>billion each year.</w:t>
      </w:r>
      <w:r w:rsidRPr="0022107B">
        <w:rPr>
          <w:rStyle w:val="EndnoteReference"/>
          <w:rFonts w:ascii="Arial" w:hAnsi="Arial" w:cs="Arial"/>
          <w:color w:val="222222"/>
          <w:szCs w:val="22"/>
          <w:shd w:val="clear" w:color="auto" w:fill="FFFFFF"/>
        </w:rPr>
        <w:endnoteReference w:id="2"/>
      </w:r>
    </w:p>
    <w:p w14:paraId="7A15A9FB" w14:textId="77777777" w:rsidR="003D7750" w:rsidRDefault="006E337D" w:rsidP="00C03E70">
      <w:pPr>
        <w:rPr>
          <w:shd w:val="clear" w:color="auto" w:fill="FFFFFF"/>
        </w:rPr>
      </w:pPr>
      <w:r>
        <w:rPr>
          <w:shd w:val="clear" w:color="auto" w:fill="FFFFFF"/>
        </w:rPr>
        <w:t xml:space="preserve">Over the last </w:t>
      </w:r>
      <w:r w:rsidR="003D7750">
        <w:rPr>
          <w:shd w:val="clear" w:color="auto" w:fill="FFFFFF"/>
        </w:rPr>
        <w:t>twenty years</w:t>
      </w:r>
      <w:r>
        <w:rPr>
          <w:shd w:val="clear" w:color="auto" w:fill="FFFFFF"/>
        </w:rPr>
        <w:t xml:space="preserve"> Australian </w:t>
      </w:r>
      <w:r w:rsidR="005F5C10" w:rsidRPr="0022107B">
        <w:rPr>
          <w:shd w:val="clear" w:color="auto" w:fill="FFFFFF"/>
        </w:rPr>
        <w:t>Governments</w:t>
      </w:r>
      <w:r w:rsidR="00D917F2" w:rsidRPr="0022107B">
        <w:rPr>
          <w:shd w:val="clear" w:color="auto" w:fill="FFFFFF"/>
        </w:rPr>
        <w:t xml:space="preserve"> </w:t>
      </w:r>
      <w:r w:rsidR="005F5C10">
        <w:rPr>
          <w:shd w:val="clear" w:color="auto" w:fill="FFFFFF"/>
        </w:rPr>
        <w:t xml:space="preserve">have implemented a </w:t>
      </w:r>
      <w:r w:rsidR="00D917F2" w:rsidRPr="0022107B">
        <w:rPr>
          <w:shd w:val="clear" w:color="auto" w:fill="FFFFFF"/>
        </w:rPr>
        <w:t>broad range of tobacco control measures includ</w:t>
      </w:r>
      <w:r w:rsidR="005F5C10">
        <w:rPr>
          <w:shd w:val="clear" w:color="auto" w:fill="FFFFFF"/>
        </w:rPr>
        <w:t>ing</w:t>
      </w:r>
      <w:r w:rsidR="001D64A9">
        <w:rPr>
          <w:shd w:val="clear" w:color="auto" w:fill="FFFFFF"/>
        </w:rPr>
        <w:t>:</w:t>
      </w:r>
    </w:p>
    <w:p w14:paraId="2C270A54" w14:textId="77777777" w:rsidR="003D7750" w:rsidRPr="00C03E70" w:rsidRDefault="00D917F2" w:rsidP="00C03E70">
      <w:pPr>
        <w:pStyle w:val="ListParagraph"/>
        <w:numPr>
          <w:ilvl w:val="0"/>
          <w:numId w:val="31"/>
        </w:numPr>
        <w:rPr>
          <w:shd w:val="clear" w:color="auto" w:fill="FFFFFF"/>
        </w:rPr>
      </w:pPr>
      <w:r w:rsidRPr="00C03E70">
        <w:rPr>
          <w:shd w:val="clear" w:color="auto" w:fill="FFFFFF"/>
        </w:rPr>
        <w:t>staged excise</w:t>
      </w:r>
      <w:r w:rsidR="001D64A9">
        <w:rPr>
          <w:shd w:val="clear" w:color="auto" w:fill="FFFFFF"/>
        </w:rPr>
        <w:t xml:space="preserve"> increases on tobacco products</w:t>
      </w:r>
    </w:p>
    <w:p w14:paraId="70C41400" w14:textId="77777777" w:rsidR="009279F5" w:rsidRPr="00C03E70" w:rsidRDefault="00D917F2" w:rsidP="00C03E70">
      <w:pPr>
        <w:pStyle w:val="ListParagraph"/>
        <w:numPr>
          <w:ilvl w:val="0"/>
          <w:numId w:val="31"/>
        </w:numPr>
        <w:rPr>
          <w:shd w:val="clear" w:color="auto" w:fill="FFFFFF"/>
        </w:rPr>
      </w:pPr>
      <w:r w:rsidRPr="00C03E70">
        <w:rPr>
          <w:shd w:val="clear" w:color="auto" w:fill="FFFFFF"/>
        </w:rPr>
        <w:t>education programs</w:t>
      </w:r>
    </w:p>
    <w:p w14:paraId="2D403BE3" w14:textId="77777777" w:rsidR="003D7750" w:rsidRPr="00C03E70" w:rsidRDefault="009279F5" w:rsidP="00C03E70">
      <w:pPr>
        <w:pStyle w:val="ListParagraph"/>
        <w:numPr>
          <w:ilvl w:val="0"/>
          <w:numId w:val="31"/>
        </w:numPr>
        <w:rPr>
          <w:shd w:val="clear" w:color="auto" w:fill="FFFFFF"/>
        </w:rPr>
      </w:pPr>
      <w:r w:rsidRPr="00C03E70">
        <w:rPr>
          <w:shd w:val="clear" w:color="auto" w:fill="FFFFFF"/>
        </w:rPr>
        <w:t>n</w:t>
      </w:r>
      <w:r w:rsidR="005F5C10" w:rsidRPr="00C03E70">
        <w:rPr>
          <w:shd w:val="clear" w:color="auto" w:fill="FFFFFF"/>
        </w:rPr>
        <w:t xml:space="preserve">ational </w:t>
      </w:r>
      <w:r w:rsidRPr="00C03E70">
        <w:rPr>
          <w:shd w:val="clear" w:color="auto" w:fill="FFFFFF"/>
        </w:rPr>
        <w:t xml:space="preserve">tobacco </w:t>
      </w:r>
      <w:r w:rsidR="001D64A9">
        <w:rPr>
          <w:shd w:val="clear" w:color="auto" w:fill="FFFFFF"/>
        </w:rPr>
        <w:t>campaigns</w:t>
      </w:r>
    </w:p>
    <w:p w14:paraId="14463EEC" w14:textId="77777777" w:rsidR="003D7750" w:rsidRPr="00C03E70" w:rsidRDefault="00D917F2" w:rsidP="00C03E70">
      <w:pPr>
        <w:pStyle w:val="ListParagraph"/>
        <w:numPr>
          <w:ilvl w:val="0"/>
          <w:numId w:val="31"/>
        </w:numPr>
        <w:rPr>
          <w:shd w:val="clear" w:color="auto" w:fill="FFFFFF"/>
        </w:rPr>
      </w:pPr>
      <w:r w:rsidRPr="00C03E70">
        <w:rPr>
          <w:shd w:val="clear" w:color="auto" w:fill="FFFFFF"/>
        </w:rPr>
        <w:t>plain</w:t>
      </w:r>
      <w:r w:rsidR="001D64A9">
        <w:rPr>
          <w:shd w:val="clear" w:color="auto" w:fill="FFFFFF"/>
        </w:rPr>
        <w:t xml:space="preserve"> packaging of tobacco products</w:t>
      </w:r>
    </w:p>
    <w:p w14:paraId="65E893D6" w14:textId="77777777" w:rsidR="003D7750" w:rsidRPr="00C03E70" w:rsidRDefault="00D917F2" w:rsidP="00C03E70">
      <w:pPr>
        <w:pStyle w:val="ListParagraph"/>
        <w:numPr>
          <w:ilvl w:val="0"/>
          <w:numId w:val="31"/>
        </w:numPr>
        <w:rPr>
          <w:shd w:val="clear" w:color="auto" w:fill="FFFFFF"/>
        </w:rPr>
      </w:pPr>
      <w:r w:rsidRPr="00C03E70">
        <w:rPr>
          <w:shd w:val="clear" w:color="auto" w:fill="FFFFFF"/>
        </w:rPr>
        <w:t xml:space="preserve">labelling tobacco products with updated and </w:t>
      </w:r>
      <w:r w:rsidR="001D64A9">
        <w:rPr>
          <w:shd w:val="clear" w:color="auto" w:fill="FFFFFF"/>
        </w:rPr>
        <w:t>larger graphic health warnings</w:t>
      </w:r>
    </w:p>
    <w:p w14:paraId="267C6A1C" w14:textId="77777777" w:rsidR="003D7750" w:rsidRPr="00C03E70" w:rsidRDefault="00D917F2" w:rsidP="00C03E70">
      <w:pPr>
        <w:pStyle w:val="ListParagraph"/>
        <w:numPr>
          <w:ilvl w:val="0"/>
          <w:numId w:val="31"/>
        </w:numPr>
        <w:rPr>
          <w:shd w:val="clear" w:color="auto" w:fill="FFFFFF"/>
        </w:rPr>
      </w:pPr>
      <w:r w:rsidRPr="00C03E70">
        <w:rPr>
          <w:shd w:val="clear" w:color="auto" w:fill="FFFFFF"/>
        </w:rPr>
        <w:t>prohibiting tobacco advertising, promotion and</w:t>
      </w:r>
      <w:r w:rsidR="001D64A9">
        <w:rPr>
          <w:shd w:val="clear" w:color="auto" w:fill="FFFFFF"/>
        </w:rPr>
        <w:t xml:space="preserve"> sponsorship</w:t>
      </w:r>
    </w:p>
    <w:p w14:paraId="0DFF8732" w14:textId="77777777" w:rsidR="005F5C10" w:rsidRPr="00C03E70" w:rsidRDefault="00D917F2" w:rsidP="00C03E70">
      <w:pPr>
        <w:pStyle w:val="ListParagraph"/>
        <w:numPr>
          <w:ilvl w:val="0"/>
          <w:numId w:val="31"/>
        </w:numPr>
        <w:rPr>
          <w:rFonts w:eastAsia="Calibri"/>
          <w:color w:val="000000" w:themeColor="text1"/>
        </w:rPr>
      </w:pPr>
      <w:r w:rsidRPr="00C03E70">
        <w:rPr>
          <w:shd w:val="clear" w:color="auto" w:fill="FFFFFF"/>
        </w:rPr>
        <w:t>providing support for smokers to quit</w:t>
      </w:r>
      <w:r w:rsidR="007578B4" w:rsidRPr="00C03E70">
        <w:rPr>
          <w:shd w:val="clear" w:color="auto" w:fill="FFFFFF"/>
        </w:rPr>
        <w:t>,</w:t>
      </w:r>
      <w:r w:rsidR="009279F5" w:rsidRPr="00C03E70">
        <w:rPr>
          <w:shd w:val="clear" w:color="auto" w:fill="FFFFFF"/>
        </w:rPr>
        <w:t xml:space="preserve"> including through nicotine replacement therapies on the Pharmaceutical Benefits Scheme</w:t>
      </w:r>
      <w:r w:rsidRPr="00C03E70">
        <w:rPr>
          <w:rFonts w:eastAsia="Calibri"/>
          <w:color w:val="000000" w:themeColor="text1"/>
        </w:rPr>
        <w:t>.</w:t>
      </w:r>
    </w:p>
    <w:p w14:paraId="1EF24688" w14:textId="77777777" w:rsidR="005F5C10" w:rsidRPr="00E70DF4" w:rsidRDefault="00A810E6" w:rsidP="00893138">
      <w:pPr>
        <w:pStyle w:val="Heading2"/>
      </w:pPr>
      <w:r w:rsidRPr="00E70DF4">
        <w:t>Council of Australian Governments (COAG) tobacco performance benchmark</w:t>
      </w:r>
    </w:p>
    <w:p w14:paraId="4F88A02E" w14:textId="77777777" w:rsidR="005F5C10" w:rsidRPr="00393D8C" w:rsidRDefault="00A810E6" w:rsidP="00C03E70">
      <w:r w:rsidRPr="00393D8C">
        <w:t xml:space="preserve">The COAG performance benchmark for tobacco uses the results from the </w:t>
      </w:r>
      <w:r w:rsidRPr="00393D8C">
        <w:rPr>
          <w:i/>
        </w:rPr>
        <w:t>National Health Survey</w:t>
      </w:r>
      <w:r w:rsidRPr="00393D8C">
        <w:t xml:space="preserve"> (NHS)</w:t>
      </w:r>
      <w:r w:rsidR="00FD7AEB" w:rsidRPr="00393D8C">
        <w:t xml:space="preserve"> </w:t>
      </w:r>
      <w:r w:rsidRPr="00393D8C">
        <w:t xml:space="preserve">to monitor changes in smoking prevalence in the general population using age standardised rates. </w:t>
      </w:r>
    </w:p>
    <w:p w14:paraId="4775D735" w14:textId="77777777" w:rsidR="00A810E6" w:rsidRPr="00393D8C" w:rsidRDefault="00A810E6" w:rsidP="00C03E70">
      <w:r w:rsidRPr="00393D8C">
        <w:t>Under the COAG National Healthcare Agreement (NHA)</w:t>
      </w:r>
      <w:r w:rsidR="009F163A" w:rsidRPr="00393D8C">
        <w:rPr>
          <w:rStyle w:val="EndnoteReference"/>
          <w:rFonts w:ascii="Arial" w:hAnsi="Arial" w:cs="Arial"/>
          <w:szCs w:val="22"/>
        </w:rPr>
        <w:endnoteReference w:id="3"/>
      </w:r>
      <w:r w:rsidR="008557FE" w:rsidRPr="00393D8C" w:rsidDel="002C6D68">
        <w:rPr>
          <w:vertAlign w:val="superscript"/>
        </w:rPr>
        <w:t xml:space="preserve"> </w:t>
      </w:r>
      <w:r w:rsidRPr="00393D8C">
        <w:t>by 2018, Australian governments have committed to:</w:t>
      </w:r>
    </w:p>
    <w:p w14:paraId="0ECDE592" w14:textId="3C153BA5" w:rsidR="00A810E6" w:rsidRPr="00393D8C" w:rsidRDefault="00A810E6" w:rsidP="00C03E70">
      <w:pPr>
        <w:pStyle w:val="ListParagraph"/>
        <w:numPr>
          <w:ilvl w:val="0"/>
          <w:numId w:val="32"/>
        </w:numPr>
      </w:pPr>
      <w:r w:rsidRPr="00393D8C">
        <w:t>reducing the daily national smoking rate among Australian adults (aged 18 years or older) from 19.1% (age-stand</w:t>
      </w:r>
      <w:r w:rsidR="001D64A9">
        <w:t>ardised) in 2007</w:t>
      </w:r>
      <w:r w:rsidR="008F26CC">
        <w:t>–</w:t>
      </w:r>
      <w:r w:rsidR="001D64A9">
        <w:t>08 to 10%</w:t>
      </w:r>
    </w:p>
    <w:p w14:paraId="0BECD94D" w14:textId="77777777" w:rsidR="00A810E6" w:rsidRPr="00393D8C" w:rsidRDefault="00A810E6" w:rsidP="00C03E70">
      <w:pPr>
        <w:pStyle w:val="ListParagraph"/>
        <w:numPr>
          <w:ilvl w:val="0"/>
          <w:numId w:val="32"/>
        </w:numPr>
      </w:pPr>
      <w:r w:rsidRPr="00393D8C">
        <w:t>halving the daily national smoking rate among Aboriginal and Torres Strait Islander adults (aged 18 years or older) from 47.7%</w:t>
      </w:r>
      <w:r w:rsidR="009F163A" w:rsidRPr="00393D8C">
        <w:rPr>
          <w:rStyle w:val="EndnoteReference"/>
          <w:rFonts w:ascii="Arial" w:hAnsi="Arial" w:cs="Arial"/>
          <w:szCs w:val="22"/>
        </w:rPr>
        <w:endnoteReference w:id="4"/>
      </w:r>
      <w:r w:rsidRPr="00393D8C">
        <w:t xml:space="preserve"> (44.8% age-st</w:t>
      </w:r>
      <w:r w:rsidR="001D64A9">
        <w:t>andardised) in the same period.</w:t>
      </w:r>
    </w:p>
    <w:p w14:paraId="1859087C" w14:textId="77777777" w:rsidR="00EC1C18" w:rsidRPr="00EC1C18" w:rsidRDefault="00927137" w:rsidP="00EC1C18">
      <w:pPr>
        <w:pStyle w:val="Heading2"/>
      </w:pPr>
      <w:r w:rsidRPr="009279F5">
        <w:t>Tobacco sales</w:t>
      </w:r>
    </w:p>
    <w:p w14:paraId="2AA748A7" w14:textId="77777777" w:rsidR="001A139F" w:rsidRPr="00393D8C" w:rsidRDefault="003D7750" w:rsidP="00EC1C18">
      <w:r w:rsidRPr="00393D8C">
        <w:t>I</w:t>
      </w:r>
      <w:r w:rsidR="008F6ACE" w:rsidRPr="00393D8C">
        <w:t>n March 2017,</w:t>
      </w:r>
      <w:r w:rsidR="00927137" w:rsidRPr="00393D8C">
        <w:t xml:space="preserve"> the Australian Bureau of Statistics (ABS) </w:t>
      </w:r>
      <w:r w:rsidRPr="00393D8C">
        <w:t xml:space="preserve">released figures that </w:t>
      </w:r>
      <w:r w:rsidR="00927137" w:rsidRPr="00393D8C">
        <w:t>show the total consumption of tobacco and cigarettes, as measured by estimated expenditure on tobacco products</w:t>
      </w:r>
      <w:r w:rsidRPr="00393D8C">
        <w:t xml:space="preserve"> to be</w:t>
      </w:r>
      <w:r w:rsidR="00927137" w:rsidRPr="00393D8C">
        <w:t>:</w:t>
      </w:r>
    </w:p>
    <w:p w14:paraId="6E9AECB5" w14:textId="77777777" w:rsidR="00927137" w:rsidRPr="00393D8C" w:rsidRDefault="00927137" w:rsidP="00C03E70">
      <w:pPr>
        <w:pStyle w:val="ListParagraph"/>
        <w:numPr>
          <w:ilvl w:val="0"/>
          <w:numId w:val="33"/>
        </w:numPr>
      </w:pPr>
      <w:r w:rsidRPr="00393D8C">
        <w:t>$</w:t>
      </w:r>
      <w:r w:rsidR="008F6ACE" w:rsidRPr="00393D8C">
        <w:t xml:space="preserve">7.174 </w:t>
      </w:r>
      <w:r w:rsidR="001D64A9">
        <w:t>billion in September 1959</w:t>
      </w:r>
    </w:p>
    <w:p w14:paraId="4877C4E1" w14:textId="77777777" w:rsidR="00927137" w:rsidRPr="00393D8C" w:rsidRDefault="00927137" w:rsidP="00C03E70">
      <w:pPr>
        <w:pStyle w:val="ListParagraph"/>
        <w:numPr>
          <w:ilvl w:val="0"/>
          <w:numId w:val="33"/>
        </w:numPr>
      </w:pPr>
      <w:r w:rsidRPr="00393D8C">
        <w:t>$</w:t>
      </w:r>
      <w:r w:rsidR="008F6ACE" w:rsidRPr="00393D8C">
        <w:t>4.712</w:t>
      </w:r>
      <w:r w:rsidR="001D64A9">
        <w:t xml:space="preserve"> billion in December 2012</w:t>
      </w:r>
    </w:p>
    <w:p w14:paraId="35C8BF96" w14:textId="77777777" w:rsidR="00927137" w:rsidRPr="00393D8C" w:rsidRDefault="00927137" w:rsidP="00C03E70">
      <w:pPr>
        <w:pStyle w:val="ListParagraph"/>
        <w:numPr>
          <w:ilvl w:val="0"/>
          <w:numId w:val="33"/>
        </w:numPr>
      </w:pPr>
      <w:r w:rsidRPr="00393D8C">
        <w:t>$</w:t>
      </w:r>
      <w:r w:rsidR="008F6ACE" w:rsidRPr="00393D8C">
        <w:t>3.4</w:t>
      </w:r>
      <w:r w:rsidR="00060D5F" w:rsidRPr="00393D8C">
        <w:t>15</w:t>
      </w:r>
      <w:r w:rsidR="008F6ACE" w:rsidRPr="00393D8C">
        <w:t xml:space="preserve"> </w:t>
      </w:r>
      <w:r w:rsidRPr="00393D8C">
        <w:t xml:space="preserve">billion in </w:t>
      </w:r>
      <w:r w:rsidR="00060D5F" w:rsidRPr="00393D8C">
        <w:t xml:space="preserve">March </w:t>
      </w:r>
      <w:r w:rsidRPr="00393D8C">
        <w:t>201</w:t>
      </w:r>
      <w:r w:rsidR="00060D5F" w:rsidRPr="00393D8C">
        <w:t>7</w:t>
      </w:r>
      <w:r w:rsidR="00124D4E" w:rsidRPr="00393D8C">
        <w:t>.</w:t>
      </w:r>
      <w:r w:rsidR="00124D4E" w:rsidRPr="00393D8C">
        <w:rPr>
          <w:rStyle w:val="EndnoteReference"/>
          <w:rFonts w:ascii="Arial" w:hAnsi="Arial" w:cs="Arial"/>
          <w:szCs w:val="22"/>
        </w:rPr>
        <w:endnoteReference w:id="5"/>
      </w:r>
    </w:p>
    <w:p w14:paraId="716A9AC8" w14:textId="77777777" w:rsidR="00393A75" w:rsidRPr="00393D8C" w:rsidRDefault="00927137" w:rsidP="00C03E70">
      <w:r w:rsidRPr="00393D8C">
        <w:t>Tobacco clearances data (including excise and customs duty) are an indicator of tobacco volumes in the Australian market, and provide a useful approximation of</w:t>
      </w:r>
      <w:r w:rsidR="001D64A9">
        <w:t xml:space="preserve"> tobacco consumption over time.</w:t>
      </w:r>
    </w:p>
    <w:p w14:paraId="21C0DAD3" w14:textId="77777777" w:rsidR="005F5C10" w:rsidRPr="00393D8C" w:rsidRDefault="008863A1" w:rsidP="00C03E70">
      <w:r w:rsidRPr="00393D8C">
        <w:lastRenderedPageBreak/>
        <w:t>Treasury has advised that tobacco clearances fell by 3.4% in the 2013 calendar year relative to the 2012 calendar year, and fell by a further 7.9% in 2014, 3.5% in 2015 and 2.8% in 2016. As at the end of 2016, tobacco clearances had fallen a total of 16.5% since 2012.</w:t>
      </w:r>
    </w:p>
    <w:p w14:paraId="7E97A757" w14:textId="77777777" w:rsidR="00393A75" w:rsidRPr="00393D8C" w:rsidRDefault="00927137" w:rsidP="00C03E70">
      <w:r w:rsidRPr="00393D8C">
        <w:t>These tobacco clearance rates do not take into account refunds of excise equivalent customs duty made under Customs’ plain packaging related Tobacco Refund Scheme between December 2012 and May 2013. These refunds cannot be related to annual net clearances on a comparable basis to other data used to derive tobacco clearance rates.</w:t>
      </w:r>
    </w:p>
    <w:p w14:paraId="1AFBBAE1" w14:textId="77777777" w:rsidR="00677E39" w:rsidRPr="009279F5" w:rsidRDefault="00677E39" w:rsidP="00C03E70">
      <w:pPr>
        <w:pStyle w:val="Heading2"/>
        <w:rPr>
          <w:color w:val="222222"/>
          <w:shd w:val="clear" w:color="auto" w:fill="FFFFFF"/>
        </w:rPr>
      </w:pPr>
      <w:r w:rsidRPr="009279F5">
        <w:t>Tobacco excise</w:t>
      </w:r>
    </w:p>
    <w:p w14:paraId="463D1065" w14:textId="77777777" w:rsidR="00677E39" w:rsidRPr="00393D8C" w:rsidRDefault="00677E39" w:rsidP="00C03E70">
      <w:r w:rsidRPr="00393D8C">
        <w:t>Increasing tobacco prices, through taxation, is one of the most effective measures to reduce smoking.</w:t>
      </w:r>
      <w:r w:rsidR="001A139F" w:rsidRPr="00393D8C">
        <w:t xml:space="preserve"> </w:t>
      </w:r>
      <w:r w:rsidRPr="00393D8C">
        <w:t>In April 2010, Australia introduced a 25</w:t>
      </w:r>
      <w:r w:rsidR="000E7FD6" w:rsidRPr="00393D8C">
        <w:t>%</w:t>
      </w:r>
      <w:r w:rsidRPr="00393D8C">
        <w:t xml:space="preserve"> increase in the tobacco excise and excise equivalent customs duty.</w:t>
      </w:r>
    </w:p>
    <w:p w14:paraId="2FAAD78C" w14:textId="77777777" w:rsidR="00D42CD4" w:rsidRPr="00393D8C" w:rsidRDefault="00677E39" w:rsidP="00C03E70">
      <w:pPr>
        <w:rPr>
          <w:color w:val="000000"/>
        </w:rPr>
      </w:pPr>
      <w:r w:rsidRPr="00393D8C">
        <w:rPr>
          <w:color w:val="000000"/>
        </w:rPr>
        <w:t xml:space="preserve">The Government began implementing staged annual 12.5% tobacco excise increases and </w:t>
      </w:r>
      <w:r w:rsidR="009279F5">
        <w:rPr>
          <w:color w:val="000000"/>
        </w:rPr>
        <w:br/>
      </w:r>
      <w:r w:rsidRPr="00393D8C">
        <w:rPr>
          <w:color w:val="000000"/>
        </w:rPr>
        <w:t>excise-equivalent customs duty on tobacco and tobacco-related products on 1</w:t>
      </w:r>
      <w:r w:rsidR="001D64A9">
        <w:rPr>
          <w:color w:val="000000"/>
        </w:rPr>
        <w:t xml:space="preserve"> </w:t>
      </w:r>
      <w:r w:rsidRPr="00393D8C">
        <w:rPr>
          <w:color w:val="000000"/>
        </w:rPr>
        <w:t>December 2013, followed by increases on 1</w:t>
      </w:r>
      <w:r w:rsidR="001D64A9">
        <w:rPr>
          <w:color w:val="000000"/>
        </w:rPr>
        <w:t xml:space="preserve"> </w:t>
      </w:r>
      <w:r w:rsidRPr="00393D8C">
        <w:rPr>
          <w:color w:val="000000"/>
        </w:rPr>
        <w:t>September 2014, 2015 and 2016</w:t>
      </w:r>
      <w:r w:rsidR="003D7750" w:rsidRPr="00393D8C">
        <w:rPr>
          <w:color w:val="000000"/>
        </w:rPr>
        <w:t>, respectively</w:t>
      </w:r>
      <w:r w:rsidRPr="00393D8C">
        <w:rPr>
          <w:color w:val="000000"/>
        </w:rPr>
        <w:t>.</w:t>
      </w:r>
    </w:p>
    <w:p w14:paraId="481BDC11" w14:textId="77777777" w:rsidR="00D42CD4" w:rsidRPr="00393D8C" w:rsidRDefault="00D42CD4" w:rsidP="00C03E70">
      <w:pPr>
        <w:rPr>
          <w:color w:val="000000"/>
        </w:rPr>
      </w:pPr>
      <w:r w:rsidRPr="00393D8C">
        <w:rPr>
          <w:color w:val="000000"/>
        </w:rPr>
        <w:t>In addition, Australia is the only country in the world to index tobacco excise to wage inflation (average weekly ordinary time earnings, AWOTE) to ensure that tobacco products do not become relati</w:t>
      </w:r>
      <w:r w:rsidR="001D64A9">
        <w:rPr>
          <w:color w:val="000000"/>
        </w:rPr>
        <w:t>vely more affordable over time.</w:t>
      </w:r>
    </w:p>
    <w:p w14:paraId="6FD65994" w14:textId="77777777" w:rsidR="00D42CD4" w:rsidRPr="00393D8C" w:rsidRDefault="00D42CD4" w:rsidP="00C03E70">
      <w:r w:rsidRPr="00393D8C">
        <w:t xml:space="preserve">These increases </w:t>
      </w:r>
      <w:r w:rsidR="009279F5">
        <w:t xml:space="preserve">are expected to </w:t>
      </w:r>
      <w:r w:rsidRPr="00393D8C">
        <w:t>bring the percentage of excise tax in the retail price of cigarettes in Australia much closer to the W</w:t>
      </w:r>
      <w:r w:rsidR="007578B4">
        <w:t>orld Health Organization (W</w:t>
      </w:r>
      <w:r w:rsidRPr="00393D8C">
        <w:t>HO</w:t>
      </w:r>
      <w:r w:rsidR="007578B4">
        <w:t>)</w:t>
      </w:r>
      <w:r w:rsidRPr="00393D8C">
        <w:t xml:space="preserve"> recommended benchmark of 70%</w:t>
      </w:r>
      <w:r w:rsidR="00E70DF4">
        <w:t>.</w:t>
      </w:r>
      <w:r w:rsidR="007578B4">
        <w:t xml:space="preserve"> </w:t>
      </w:r>
      <w:r w:rsidR="007578B4" w:rsidRPr="00EA13FD">
        <w:rPr>
          <w:color w:val="000000"/>
        </w:rPr>
        <w:t>Whilst the Government has been active in raising the excise on tobacco products, the tobacco industry routinely increases its prices, which affects the Government’s ability to maintain this ratio.</w:t>
      </w:r>
    </w:p>
    <w:p w14:paraId="0D378811" w14:textId="77777777" w:rsidR="00EA13FD" w:rsidRPr="00EA13FD" w:rsidRDefault="00177A37" w:rsidP="00C03E70">
      <w:r>
        <w:t>A</w:t>
      </w:r>
      <w:r w:rsidR="00EA13FD" w:rsidRPr="00EA13FD">
        <w:t>s of 1 March 2017</w:t>
      </w:r>
      <w:r w:rsidR="00EA13FD" w:rsidRPr="00EA13FD">
        <w:rPr>
          <w:rStyle w:val="EndnoteReference"/>
          <w:rFonts w:ascii="Arial" w:hAnsi="Arial" w:cs="Arial"/>
          <w:color w:val="000000"/>
          <w:szCs w:val="22"/>
        </w:rPr>
        <w:endnoteReference w:id="6"/>
      </w:r>
      <w:r w:rsidR="00EA13FD" w:rsidRPr="00EA13FD">
        <w:rPr>
          <w:vertAlign w:val="superscript"/>
        </w:rPr>
        <w:t>,</w:t>
      </w:r>
      <w:r w:rsidR="00EA13FD" w:rsidRPr="00EA13FD">
        <w:rPr>
          <w:rStyle w:val="EndnoteReference"/>
          <w:rFonts w:ascii="Arial" w:hAnsi="Arial" w:cs="Arial"/>
          <w:color w:val="000000"/>
          <w:szCs w:val="22"/>
        </w:rPr>
        <w:endnoteReference w:id="7"/>
      </w:r>
      <w:r w:rsidR="00EA13FD" w:rsidRPr="00EA13FD">
        <w:t>, the tobacco excise applied to five leading brands of manufactured cigarettes ranged from 52</w:t>
      </w:r>
      <w:r w:rsidR="00E70DF4">
        <w:t>%</w:t>
      </w:r>
      <w:r w:rsidR="00EA13FD" w:rsidRPr="00EA13FD">
        <w:t xml:space="preserve"> to 60</w:t>
      </w:r>
      <w:r w:rsidR="00E70DF4">
        <w:t>%</w:t>
      </w:r>
      <w:r w:rsidR="00EA13FD" w:rsidRPr="00EA13FD">
        <w:t xml:space="preserve"> of the total recommended retail price of these products, with total taxes (tobacco excise plus GST) ranging from 61</w:t>
      </w:r>
      <w:r w:rsidR="00E70DF4">
        <w:t>%</w:t>
      </w:r>
      <w:r w:rsidR="00EA13FD" w:rsidRPr="00EA13FD">
        <w:t xml:space="preserve"> to 69</w:t>
      </w:r>
      <w:r w:rsidR="00E70DF4">
        <w:t>%</w:t>
      </w:r>
      <w:r w:rsidR="00EA13FD" w:rsidRPr="00EA13FD">
        <w:t xml:space="preserve"> of the recommended total retail price.</w:t>
      </w:r>
      <w:r w:rsidR="00EA13FD" w:rsidRPr="00EA13FD">
        <w:rPr>
          <w:rStyle w:val="EndnoteReference"/>
          <w:rFonts w:ascii="Arial" w:hAnsi="Arial" w:cs="Arial"/>
          <w:color w:val="000000"/>
          <w:szCs w:val="22"/>
        </w:rPr>
        <w:endnoteReference w:id="8"/>
      </w:r>
    </w:p>
    <w:p w14:paraId="266BAD0C" w14:textId="77777777" w:rsidR="00E70DF4" w:rsidRDefault="00EA13FD" w:rsidP="00C03E70">
      <w:r w:rsidRPr="00EA13FD">
        <w:t>The tobacco excise applied to four leading brands of roll-your-own tobacco ranged from 60</w:t>
      </w:r>
      <w:r w:rsidR="00E70DF4">
        <w:t>%</w:t>
      </w:r>
      <w:r w:rsidRPr="00EA13FD">
        <w:t xml:space="preserve"> to 62</w:t>
      </w:r>
      <w:r w:rsidR="00E70DF4">
        <w:t>%</w:t>
      </w:r>
      <w:r w:rsidRPr="00EA13FD">
        <w:t xml:space="preserve"> of the total recommended retail price of these products, with total taxes ranging from 70</w:t>
      </w:r>
      <w:r w:rsidR="00E70DF4">
        <w:t>%</w:t>
      </w:r>
      <w:r w:rsidRPr="00EA13FD">
        <w:t xml:space="preserve"> to 72</w:t>
      </w:r>
      <w:r w:rsidR="00E70DF4">
        <w:t>%</w:t>
      </w:r>
      <w:r w:rsidRPr="00EA13FD">
        <w:t xml:space="preserve"> of the total recommended retail price.</w:t>
      </w:r>
      <w:r w:rsidRPr="00EA13FD">
        <w:rPr>
          <w:rStyle w:val="EndnoteReference"/>
          <w:rFonts w:ascii="Arial" w:hAnsi="Arial" w:cs="Arial"/>
          <w:color w:val="000000"/>
          <w:szCs w:val="22"/>
        </w:rPr>
        <w:endnoteReference w:id="9"/>
      </w:r>
    </w:p>
    <w:p w14:paraId="0BDA7A08" w14:textId="672BA35D" w:rsidR="00E70DF4" w:rsidRDefault="00E70DF4" w:rsidP="00C03E70">
      <w:r w:rsidRPr="00393D8C">
        <w:t>As part of the 2017</w:t>
      </w:r>
      <w:r w:rsidR="008F26CC">
        <w:t>–</w:t>
      </w:r>
      <w:r w:rsidRPr="00393D8C">
        <w:t xml:space="preserve">18 Federal Budget, ‘roll-your-own’ and other tobacco products such as cigars will be subject to </w:t>
      </w:r>
      <w:r>
        <w:t xml:space="preserve">the same </w:t>
      </w:r>
      <w:r w:rsidRPr="00393D8C">
        <w:t xml:space="preserve">tax treatment </w:t>
      </w:r>
      <w:r>
        <w:t xml:space="preserve">as </w:t>
      </w:r>
      <w:r w:rsidRPr="00393D8C">
        <w:t>manufactured cigarettes. It is intended that th</w:t>
      </w:r>
      <w:r>
        <w:t>is</w:t>
      </w:r>
      <w:r w:rsidRPr="00393D8C">
        <w:t xml:space="preserve"> measure will ensure fairness and efficiency in tobacco taxes by </w:t>
      </w:r>
      <w:r>
        <w:t xml:space="preserve">bringing </w:t>
      </w:r>
      <w:r w:rsidRPr="00393D8C">
        <w:t xml:space="preserve">the taxation of roll-your-own tobacco products </w:t>
      </w:r>
      <w:r>
        <w:t xml:space="preserve">in line </w:t>
      </w:r>
      <w:r w:rsidR="001D64A9">
        <w:t>with manufactured cigarettes.</w:t>
      </w:r>
    </w:p>
    <w:p w14:paraId="5788421F" w14:textId="77777777" w:rsidR="00832BB3" w:rsidRPr="00393D8C" w:rsidRDefault="00393D8C" w:rsidP="00C03E70">
      <w:pPr>
        <w:pStyle w:val="Heading2"/>
      </w:pPr>
      <w:r>
        <w:t>D</w:t>
      </w:r>
      <w:r w:rsidR="00832BB3" w:rsidRPr="00393D8C">
        <w:t>uty free tobacco allowance</w:t>
      </w:r>
    </w:p>
    <w:p w14:paraId="215D8877" w14:textId="47BC58D8" w:rsidR="00393D8C" w:rsidRPr="00393D8C" w:rsidRDefault="00832BB3" w:rsidP="00C03E70">
      <w:pPr>
        <w:rPr>
          <w:shd w:val="clear" w:color="auto" w:fill="FFFFFF"/>
        </w:rPr>
      </w:pPr>
      <w:r w:rsidRPr="00393D8C">
        <w:rPr>
          <w:shd w:val="clear" w:color="auto" w:fill="FFFFFF"/>
        </w:rPr>
        <w:t>As part of Health initiatives announced in the 2016</w:t>
      </w:r>
      <w:r w:rsidR="008F26CC">
        <w:rPr>
          <w:shd w:val="clear" w:color="auto" w:fill="FFFFFF"/>
        </w:rPr>
        <w:t>–</w:t>
      </w:r>
      <w:r w:rsidR="00590929">
        <w:rPr>
          <w:shd w:val="clear" w:color="auto" w:fill="FFFFFF"/>
        </w:rPr>
        <w:t>17</w:t>
      </w:r>
      <w:r w:rsidRPr="00393D8C">
        <w:rPr>
          <w:shd w:val="clear" w:color="auto" w:fill="FFFFFF"/>
        </w:rPr>
        <w:t xml:space="preserve"> </w:t>
      </w:r>
      <w:r w:rsidR="00590929">
        <w:rPr>
          <w:shd w:val="clear" w:color="auto" w:fill="FFFFFF"/>
        </w:rPr>
        <w:t xml:space="preserve">Federal </w:t>
      </w:r>
      <w:r w:rsidRPr="00393D8C">
        <w:rPr>
          <w:shd w:val="clear" w:color="auto" w:fill="FFFFFF"/>
        </w:rPr>
        <w:t>Budget, the Australian Government is reducing the allowable amount of duty free tobacco for travellers arriving in Australia.</w:t>
      </w:r>
    </w:p>
    <w:p w14:paraId="1C48F19C" w14:textId="77777777" w:rsidR="00393D8C" w:rsidRPr="00393D8C" w:rsidRDefault="00832BB3" w:rsidP="00C03E70">
      <w:pPr>
        <w:rPr>
          <w:rFonts w:ascii="Arial" w:hAnsi="Arial" w:cs="Arial"/>
          <w:color w:val="222222"/>
          <w:szCs w:val="22"/>
          <w:shd w:val="clear" w:color="auto" w:fill="FFFFFF"/>
        </w:rPr>
      </w:pPr>
      <w:r w:rsidRPr="00393D8C">
        <w:rPr>
          <w:shd w:val="clear" w:color="auto" w:fill="FFFFFF"/>
        </w:rPr>
        <w:t xml:space="preserve">From 1 July 2017, travellers aged 18 years and over </w:t>
      </w:r>
      <w:r w:rsidR="00590929">
        <w:rPr>
          <w:shd w:val="clear" w:color="auto" w:fill="FFFFFF"/>
        </w:rPr>
        <w:t xml:space="preserve">entering Australia </w:t>
      </w:r>
      <w:r w:rsidRPr="00393D8C">
        <w:rPr>
          <w:shd w:val="clear" w:color="auto" w:fill="FFFFFF"/>
        </w:rPr>
        <w:t>can only bring 25 grams of duty free tobacco, plus one open packet</w:t>
      </w:r>
      <w:r w:rsidR="00590929">
        <w:rPr>
          <w:shd w:val="clear" w:color="auto" w:fill="FFFFFF"/>
        </w:rPr>
        <w:t>.</w:t>
      </w:r>
      <w:r w:rsidRPr="00393D8C">
        <w:rPr>
          <w:shd w:val="clear" w:color="auto" w:fill="FFFFFF"/>
        </w:rPr>
        <w:t xml:space="preserve"> The tobacco can be in any form (cigarette, loose leaf and so on) and is equivalent to approximately 25 cigarettes.</w:t>
      </w:r>
    </w:p>
    <w:p w14:paraId="35699FE0" w14:textId="77777777" w:rsidR="00393D8C" w:rsidRPr="00393D8C" w:rsidRDefault="00832BB3" w:rsidP="00C03E70">
      <w:pPr>
        <w:rPr>
          <w:shd w:val="clear" w:color="auto" w:fill="FFFFFF"/>
        </w:rPr>
      </w:pPr>
      <w:r w:rsidRPr="00393D8C">
        <w:rPr>
          <w:shd w:val="clear" w:color="auto" w:fill="FFFFFF"/>
        </w:rPr>
        <w:t>If you have more than this amount, you will be required to pay duty on all tobacco in your possession, unless you agree to dispose of the excess.</w:t>
      </w:r>
    </w:p>
    <w:p w14:paraId="302722AD" w14:textId="77777777" w:rsidR="00393D8C" w:rsidRPr="00393D8C" w:rsidRDefault="00832BB3" w:rsidP="00C03E70">
      <w:pPr>
        <w:rPr>
          <w:rFonts w:ascii="Arial" w:hAnsi="Arial" w:cs="Arial"/>
          <w:color w:val="222222"/>
          <w:szCs w:val="22"/>
          <w:shd w:val="clear" w:color="auto" w:fill="FFFFFF"/>
        </w:rPr>
      </w:pPr>
      <w:r w:rsidRPr="00393D8C">
        <w:rPr>
          <w:shd w:val="clear" w:color="auto" w:fill="FFFFFF"/>
        </w:rPr>
        <w:t>Please ensure you are famili</w:t>
      </w:r>
      <w:bookmarkStart w:id="0" w:name="_GoBack"/>
      <w:bookmarkEnd w:id="0"/>
      <w:r w:rsidRPr="00393D8C">
        <w:rPr>
          <w:shd w:val="clear" w:color="auto" w:fill="FFFFFF"/>
        </w:rPr>
        <w:t>ar with duty free limits when travelling to Australia.</w:t>
      </w:r>
    </w:p>
    <w:p w14:paraId="686A1991" w14:textId="77777777" w:rsidR="00CA27BC" w:rsidRPr="006E70D4" w:rsidRDefault="00832BB3" w:rsidP="006E70D4">
      <w:r w:rsidRPr="006E70D4">
        <w:lastRenderedPageBreak/>
        <w:t>For more information on duty free limits, as well as what you can and cannot bring to Australia visit the</w:t>
      </w:r>
      <w:r w:rsidR="001D64A9" w:rsidRPr="006E70D4">
        <w:t xml:space="preserve"> </w:t>
      </w:r>
      <w:hyperlink r:id="rId11" w:tooltip="External website link: Duty free concession" w:history="1">
        <w:r w:rsidRPr="006E70D4">
          <w:rPr>
            <w:rStyle w:val="Hyperlink"/>
          </w:rPr>
          <w:t>Duty free concession</w:t>
        </w:r>
      </w:hyperlink>
      <w:r w:rsidR="001D64A9" w:rsidRPr="006E70D4">
        <w:t xml:space="preserve"> </w:t>
      </w:r>
      <w:r w:rsidRPr="006E70D4">
        <w:t xml:space="preserve">page on the </w:t>
      </w:r>
      <w:r w:rsidR="008F5FD2" w:rsidRPr="006E70D4">
        <w:t>Australian Border Force</w:t>
      </w:r>
      <w:r w:rsidRPr="006E70D4">
        <w:t xml:space="preserve"> website.</w:t>
      </w:r>
    </w:p>
    <w:p w14:paraId="4963BDE5" w14:textId="77777777" w:rsidR="00927137" w:rsidRPr="00590929" w:rsidRDefault="00927137" w:rsidP="00C03E70">
      <w:pPr>
        <w:pStyle w:val="Heading2"/>
      </w:pPr>
      <w:r w:rsidRPr="00590929">
        <w:t>Smoking prevalence rates</w:t>
      </w:r>
    </w:p>
    <w:p w14:paraId="1278DB74" w14:textId="77777777" w:rsidR="005C2C53" w:rsidRPr="00590929" w:rsidRDefault="009279F5" w:rsidP="00C03E70">
      <w:pPr>
        <w:rPr>
          <w:shd w:val="clear" w:color="auto" w:fill="FFFFFF"/>
        </w:rPr>
      </w:pPr>
      <w:r>
        <w:rPr>
          <w:shd w:val="clear" w:color="auto" w:fill="FFFFFF"/>
        </w:rPr>
        <w:t>T</w:t>
      </w:r>
      <w:r w:rsidR="00927137" w:rsidRPr="00590929">
        <w:rPr>
          <w:shd w:val="clear" w:color="auto" w:fill="FFFFFF"/>
        </w:rPr>
        <w:t xml:space="preserve">he Government relies on </w:t>
      </w:r>
      <w:r>
        <w:rPr>
          <w:shd w:val="clear" w:color="auto" w:fill="FFFFFF"/>
        </w:rPr>
        <w:t xml:space="preserve">a number of sources </w:t>
      </w:r>
      <w:r w:rsidR="00927137" w:rsidRPr="00590929">
        <w:rPr>
          <w:shd w:val="clear" w:color="auto" w:fill="FFFFFF"/>
        </w:rPr>
        <w:t xml:space="preserve">to monitor smoking </w:t>
      </w:r>
      <w:r w:rsidR="00590929">
        <w:rPr>
          <w:shd w:val="clear" w:color="auto" w:fill="FFFFFF"/>
        </w:rPr>
        <w:t xml:space="preserve">prevalence </w:t>
      </w:r>
      <w:r w:rsidR="00927137" w:rsidRPr="00590929">
        <w:rPr>
          <w:shd w:val="clear" w:color="auto" w:fill="FFFFFF"/>
        </w:rPr>
        <w:t>rates, including data from national surveys conducted by the Australian Bureau of Statistics (ABS)</w:t>
      </w:r>
      <w:r w:rsidR="0094594D" w:rsidRPr="00590929">
        <w:rPr>
          <w:shd w:val="clear" w:color="auto" w:fill="FFFFFF"/>
        </w:rPr>
        <w:t>,</w:t>
      </w:r>
      <w:r w:rsidR="00927137" w:rsidRPr="00590929">
        <w:rPr>
          <w:shd w:val="clear" w:color="auto" w:fill="FFFFFF"/>
        </w:rPr>
        <w:t xml:space="preserve"> the Australian Institute of Health and Welfare (AIHW), and </w:t>
      </w:r>
      <w:r w:rsidR="00677E39" w:rsidRPr="00590929">
        <w:rPr>
          <w:shd w:val="clear" w:color="auto" w:fill="FFFFFF"/>
        </w:rPr>
        <w:t xml:space="preserve">tobacco </w:t>
      </w:r>
      <w:r w:rsidR="00927137" w:rsidRPr="00590929">
        <w:rPr>
          <w:shd w:val="clear" w:color="auto" w:fill="FFFFFF"/>
        </w:rPr>
        <w:t>information collected nationally from secondary school students by the Cancer Council Victoria</w:t>
      </w:r>
      <w:r w:rsidR="00590929">
        <w:rPr>
          <w:shd w:val="clear" w:color="auto" w:fill="FFFFFF"/>
        </w:rPr>
        <w:t xml:space="preserve"> (CCV)</w:t>
      </w:r>
      <w:r w:rsidR="00927137" w:rsidRPr="00590929">
        <w:rPr>
          <w:shd w:val="clear" w:color="auto" w:fill="FFFFFF"/>
        </w:rPr>
        <w:t>.</w:t>
      </w:r>
    </w:p>
    <w:p w14:paraId="41879BC6" w14:textId="77777777" w:rsidR="00677E39" w:rsidRPr="00590929" w:rsidRDefault="00677E39" w:rsidP="00C03E70">
      <w:pPr>
        <w:pStyle w:val="Heading3"/>
      </w:pPr>
      <w:r w:rsidRPr="00590929">
        <w:t>National Health Survey: First Results, 2014</w:t>
      </w:r>
      <w:r w:rsidR="006E70D4">
        <w:t>–</w:t>
      </w:r>
      <w:r w:rsidRPr="00590929">
        <w:t>15</w:t>
      </w:r>
    </w:p>
    <w:p w14:paraId="0A6FE256" w14:textId="36C0AE9E" w:rsidR="00D23799" w:rsidRPr="00590929" w:rsidRDefault="00677E39" w:rsidP="00C03E70">
      <w:r w:rsidRPr="00590929">
        <w:rPr>
          <w:shd w:val="clear" w:color="auto" w:fill="FFFFFF"/>
        </w:rPr>
        <w:t xml:space="preserve">On 8 December 2015, the ABS released the </w:t>
      </w:r>
      <w:r w:rsidRPr="00590929">
        <w:rPr>
          <w:i/>
          <w:shd w:val="clear" w:color="auto" w:fill="FFFFFF"/>
        </w:rPr>
        <w:t>National Health Survey: First Results 2014</w:t>
      </w:r>
      <w:r w:rsidR="008F26CC">
        <w:rPr>
          <w:i/>
          <w:shd w:val="clear" w:color="auto" w:fill="FFFFFF"/>
        </w:rPr>
        <w:t>–</w:t>
      </w:r>
      <w:r w:rsidRPr="00590929">
        <w:rPr>
          <w:i/>
          <w:shd w:val="clear" w:color="auto" w:fill="FFFFFF"/>
        </w:rPr>
        <w:t>15</w:t>
      </w:r>
      <w:r w:rsidR="00124D4E" w:rsidRPr="00590929">
        <w:rPr>
          <w:i/>
          <w:shd w:val="clear" w:color="auto" w:fill="FFFFFF"/>
        </w:rPr>
        <w:t>.</w:t>
      </w:r>
      <w:bookmarkStart w:id="1" w:name="_Ref487027466"/>
      <w:r w:rsidR="00124D4E" w:rsidRPr="00590929">
        <w:rPr>
          <w:rStyle w:val="EndnoteReference"/>
          <w:rFonts w:ascii="Arial" w:hAnsi="Arial" w:cs="Arial"/>
          <w:color w:val="222222"/>
          <w:szCs w:val="22"/>
          <w:shd w:val="clear" w:color="auto" w:fill="FFFFFF"/>
        </w:rPr>
        <w:endnoteReference w:id="10"/>
      </w:r>
      <w:bookmarkEnd w:id="1"/>
      <w:r w:rsidR="0094594D" w:rsidRPr="00590929">
        <w:rPr>
          <w:shd w:val="clear" w:color="auto" w:fill="FFFFFF"/>
        </w:rPr>
        <w:t xml:space="preserve"> </w:t>
      </w:r>
      <w:r w:rsidRPr="00590929">
        <w:rPr>
          <w:shd w:val="clear" w:color="auto" w:fill="FFFFFF"/>
        </w:rPr>
        <w:t xml:space="preserve">The survey was conducted </w:t>
      </w:r>
      <w:r w:rsidR="00590929" w:rsidRPr="00590929">
        <w:rPr>
          <w:shd w:val="clear" w:color="auto" w:fill="FFFFFF"/>
        </w:rPr>
        <w:t>nationally</w:t>
      </w:r>
      <w:r w:rsidR="0094594D" w:rsidRPr="00590929">
        <w:rPr>
          <w:shd w:val="clear" w:color="auto" w:fill="FFFFFF"/>
        </w:rPr>
        <w:t>,</w:t>
      </w:r>
      <w:r w:rsidRPr="00590929">
        <w:rPr>
          <w:shd w:val="clear" w:color="auto" w:fill="FFFFFF"/>
        </w:rPr>
        <w:t xml:space="preserve"> across urban, rural and remote areas (other than very remote areas) from July 2014 to June 2015</w:t>
      </w:r>
      <w:r w:rsidR="0094594D" w:rsidRPr="00590929">
        <w:rPr>
          <w:shd w:val="clear" w:color="auto" w:fill="FFFFFF"/>
        </w:rPr>
        <w:t>. A</w:t>
      </w:r>
      <w:r w:rsidRPr="00590929">
        <w:rPr>
          <w:shd w:val="clear" w:color="auto" w:fill="FFFFFF"/>
        </w:rPr>
        <w:t>round 19,000 people in nearly 15,000 private dwellings</w:t>
      </w:r>
      <w:r w:rsidR="0094594D" w:rsidRPr="00590929">
        <w:rPr>
          <w:shd w:val="clear" w:color="auto" w:fill="FFFFFF"/>
        </w:rPr>
        <w:t xml:space="preserve"> undertook the survey</w:t>
      </w:r>
      <w:r w:rsidRPr="00590929">
        <w:rPr>
          <w:shd w:val="clear" w:color="auto" w:fill="FFFFFF"/>
        </w:rPr>
        <w:t>. The report shows that in 2014</w:t>
      </w:r>
      <w:r w:rsidR="008F26CC">
        <w:rPr>
          <w:shd w:val="clear" w:color="auto" w:fill="FFFFFF"/>
        </w:rPr>
        <w:t>–</w:t>
      </w:r>
      <w:r w:rsidRPr="00590929">
        <w:rPr>
          <w:shd w:val="clear" w:color="auto" w:fill="FFFFFF"/>
        </w:rPr>
        <w:t>15:</w:t>
      </w:r>
    </w:p>
    <w:p w14:paraId="014AA3D6" w14:textId="4165749F" w:rsidR="00AE6038" w:rsidRPr="00C03E70" w:rsidRDefault="00D23799" w:rsidP="00C03E70">
      <w:pPr>
        <w:pStyle w:val="ListParagraph"/>
        <w:numPr>
          <w:ilvl w:val="0"/>
          <w:numId w:val="34"/>
        </w:numPr>
        <w:rPr>
          <w:bCs/>
          <w:color w:val="000000"/>
        </w:rPr>
      </w:pPr>
      <w:r w:rsidRPr="00590929">
        <w:t>14.5% (</w:t>
      </w:r>
      <w:r w:rsidR="00677E39" w:rsidRPr="00590929">
        <w:t>14.7% (age-standardised)</w:t>
      </w:r>
      <w:r w:rsidRPr="00590929">
        <w:t>)</w:t>
      </w:r>
      <w:r w:rsidR="00677E39" w:rsidRPr="00590929">
        <w:t xml:space="preserve"> of adults aged 18 years and over smoked daily (approximately 2.6 million smokers), decreasing from 16.1%</w:t>
      </w:r>
      <w:r w:rsidRPr="00590929">
        <w:t xml:space="preserve"> </w:t>
      </w:r>
      <w:r w:rsidRPr="00C03E70">
        <w:rPr>
          <w:bCs/>
          <w:color w:val="000000"/>
        </w:rPr>
        <w:t xml:space="preserve">(16.3% age-standardised) </w:t>
      </w:r>
      <w:r w:rsidR="00677E39" w:rsidRPr="00590929">
        <w:t>in 2011</w:t>
      </w:r>
      <w:r w:rsidR="008F26CC">
        <w:t>–</w:t>
      </w:r>
      <w:r w:rsidR="00677E39" w:rsidRPr="00590929">
        <w:t>2012</w:t>
      </w:r>
      <w:r w:rsidRPr="00590929">
        <w:t xml:space="preserve"> </w:t>
      </w:r>
      <w:r w:rsidRPr="00C03E70">
        <w:rPr>
          <w:bCs/>
          <w:color w:val="000000"/>
        </w:rPr>
        <w:t xml:space="preserve">and 22.4% (22.3% </w:t>
      </w:r>
      <w:r w:rsidRPr="00590929">
        <w:t>age-standardised)</w:t>
      </w:r>
      <w:r w:rsidRPr="00C03E70">
        <w:rPr>
          <w:bCs/>
          <w:color w:val="000000"/>
        </w:rPr>
        <w:t xml:space="preserve"> in 2001</w:t>
      </w:r>
      <w:r w:rsidR="00124D4E" w:rsidRPr="00590929">
        <w:rPr>
          <w:rStyle w:val="EndnoteReference"/>
          <w:rFonts w:ascii="Arial" w:hAnsi="Arial" w:cs="Arial"/>
          <w:bCs/>
          <w:color w:val="000000"/>
          <w:szCs w:val="22"/>
        </w:rPr>
        <w:endnoteReference w:id="11"/>
      </w:r>
      <w:r w:rsidR="00124D4E" w:rsidRPr="00C03E70">
        <w:rPr>
          <w:bCs/>
          <w:color w:val="000000"/>
          <w:vertAlign w:val="superscript"/>
        </w:rPr>
        <w:t>,</w:t>
      </w:r>
      <w:r w:rsidR="00124D4E" w:rsidRPr="00590929">
        <w:rPr>
          <w:rStyle w:val="EndnoteReference"/>
          <w:rFonts w:ascii="Arial" w:hAnsi="Arial" w:cs="Arial"/>
          <w:bCs/>
          <w:color w:val="000000"/>
          <w:szCs w:val="22"/>
        </w:rPr>
        <w:endnoteReference w:id="12"/>
      </w:r>
      <w:r w:rsidR="00124D4E" w:rsidRPr="00C03E70">
        <w:rPr>
          <w:bCs/>
          <w:color w:val="000000"/>
          <w:vertAlign w:val="superscript"/>
        </w:rPr>
        <w:t>,</w:t>
      </w:r>
      <w:r w:rsidR="00124D4E" w:rsidRPr="00590929">
        <w:rPr>
          <w:rStyle w:val="EndnoteReference"/>
          <w:rFonts w:ascii="Arial" w:hAnsi="Arial" w:cs="Arial"/>
          <w:bCs/>
          <w:color w:val="000000"/>
          <w:szCs w:val="22"/>
        </w:rPr>
        <w:endnoteReference w:id="13"/>
      </w:r>
      <w:r w:rsidR="00950FC5" w:rsidRPr="00C03E70">
        <w:rPr>
          <w:bCs/>
          <w:color w:val="000000"/>
          <w:vertAlign w:val="superscript"/>
        </w:rPr>
        <w:t xml:space="preserve"> </w:t>
      </w:r>
    </w:p>
    <w:p w14:paraId="277BEAC3" w14:textId="35D54295" w:rsidR="00EE1465" w:rsidRPr="00590929" w:rsidRDefault="00950FC5" w:rsidP="00C03E70">
      <w:pPr>
        <w:pStyle w:val="ListParagraph"/>
        <w:numPr>
          <w:ilvl w:val="0"/>
          <w:numId w:val="34"/>
        </w:numPr>
      </w:pPr>
      <w:r w:rsidRPr="00590929">
        <w:t>16.9% of males and 12.1% of women smoked daily, decreasing from 18.3% and 14.1% respectively in 2014</w:t>
      </w:r>
      <w:r w:rsidR="008F26CC">
        <w:t>–</w:t>
      </w:r>
      <w:r w:rsidRPr="00590929">
        <w:t>15.</w:t>
      </w:r>
    </w:p>
    <w:p w14:paraId="57EA0026" w14:textId="77777777" w:rsidR="00590929" w:rsidRPr="009A76AC" w:rsidRDefault="00C03E70" w:rsidP="001E7580">
      <w:pPr>
        <w:pStyle w:val="StyleCaptionArialBlack"/>
        <w:rPr>
          <w:b/>
          <w:vertAlign w:val="superscript"/>
        </w:rPr>
      </w:pPr>
      <w:r>
        <w:t xml:space="preserve">Table </w:t>
      </w:r>
      <w:r w:rsidR="004A286F">
        <w:rPr>
          <w:noProof/>
        </w:rPr>
        <w:fldChar w:fldCharType="begin"/>
      </w:r>
      <w:r w:rsidR="004A286F">
        <w:rPr>
          <w:noProof/>
        </w:rPr>
        <w:instrText xml:space="preserve"> SEQ Table \* ARABIC </w:instrText>
      </w:r>
      <w:r w:rsidR="004A286F">
        <w:rPr>
          <w:noProof/>
        </w:rPr>
        <w:fldChar w:fldCharType="separate"/>
      </w:r>
      <w:r w:rsidR="003B4506">
        <w:rPr>
          <w:noProof/>
        </w:rPr>
        <w:t>1</w:t>
      </w:r>
      <w:r w:rsidR="004A286F">
        <w:rPr>
          <w:noProof/>
        </w:rPr>
        <w:fldChar w:fldCharType="end"/>
      </w:r>
      <w:r w:rsidR="005F4787" w:rsidRPr="00590929">
        <w:t xml:space="preserve">: </w:t>
      </w:r>
      <w:r w:rsidR="005F4787" w:rsidRPr="00C03E70">
        <w:t xml:space="preserve">Decrease </w:t>
      </w:r>
      <w:r w:rsidR="001B6E48" w:rsidRPr="00C03E70">
        <w:t>in the daily smoking rate for 18 years and over</w:t>
      </w:r>
      <w:r w:rsidR="009A76AC" w:rsidRPr="009A76AC">
        <w:rPr>
          <w:vertAlign w:val="superscript"/>
        </w:rPr>
        <w:fldChar w:fldCharType="begin"/>
      </w:r>
      <w:r w:rsidR="009A76AC" w:rsidRPr="009A76AC">
        <w:rPr>
          <w:vertAlign w:val="superscript"/>
        </w:rPr>
        <w:instrText xml:space="preserve"> NOTEREF _Ref487027466 \h  \* MERGEFORMAT </w:instrText>
      </w:r>
      <w:r w:rsidR="009A76AC" w:rsidRPr="009A76AC">
        <w:rPr>
          <w:vertAlign w:val="superscript"/>
        </w:rPr>
      </w:r>
      <w:r w:rsidR="009A76AC" w:rsidRPr="009A76AC">
        <w:rPr>
          <w:vertAlign w:val="superscript"/>
        </w:rPr>
        <w:fldChar w:fldCharType="separate"/>
      </w:r>
      <w:r w:rsidR="003B4506">
        <w:rPr>
          <w:vertAlign w:val="superscript"/>
        </w:rPr>
        <w:t>10</w:t>
      </w:r>
      <w:r w:rsidR="009A76AC" w:rsidRPr="009A76AC">
        <w:rPr>
          <w:vertAlign w:val="superscript"/>
        </w:rPr>
        <w:fldChar w:fldCharType="end"/>
      </w:r>
    </w:p>
    <w:tbl>
      <w:tblPr>
        <w:tblStyle w:val="TableGrid"/>
        <w:tblW w:w="0" w:type="auto"/>
        <w:tblInd w:w="444" w:type="dxa"/>
        <w:tblCellMar>
          <w:top w:w="57" w:type="dxa"/>
          <w:left w:w="57" w:type="dxa"/>
          <w:bottom w:w="57" w:type="dxa"/>
          <w:right w:w="57" w:type="dxa"/>
        </w:tblCellMar>
        <w:tblLook w:val="04A0" w:firstRow="1" w:lastRow="0" w:firstColumn="1" w:lastColumn="0" w:noHBand="0" w:noVBand="1"/>
        <w:tblDescription w:val="Table 1 shows the decrease in daily smoking rates for adults aged 18 years and over from 22.3% in 2001 to 14.7% for the 2014 to 2015 financial year."/>
      </w:tblPr>
      <w:tblGrid>
        <w:gridCol w:w="1507"/>
        <w:gridCol w:w="1461"/>
        <w:gridCol w:w="1638"/>
        <w:gridCol w:w="1469"/>
        <w:gridCol w:w="1708"/>
      </w:tblGrid>
      <w:tr w:rsidR="001B6E48" w:rsidRPr="00E14FBE" w14:paraId="70F3DF42" w14:textId="77777777" w:rsidTr="00373A1A">
        <w:trPr>
          <w:trHeight w:val="209"/>
          <w:tblHeader/>
        </w:trPr>
        <w:tc>
          <w:tcPr>
            <w:tcW w:w="1507" w:type="dxa"/>
            <w:shd w:val="clear" w:color="auto" w:fill="DBE5F1" w:themeFill="accent1" w:themeFillTint="33"/>
            <w:vAlign w:val="center"/>
          </w:tcPr>
          <w:p w14:paraId="471497D2" w14:textId="77777777" w:rsidR="001B6E48" w:rsidRPr="00590929" w:rsidRDefault="001B6E48" w:rsidP="00D04AB3">
            <w:pPr>
              <w:pStyle w:val="ListParagraph"/>
              <w:tabs>
                <w:tab w:val="left" w:pos="1276"/>
                <w:tab w:val="left" w:pos="1492"/>
              </w:tabs>
              <w:autoSpaceDE w:val="0"/>
              <w:autoSpaceDN w:val="0"/>
              <w:adjustRightInd w:val="0"/>
              <w:spacing w:after="0"/>
              <w:ind w:left="0"/>
              <w:jc w:val="center"/>
              <w:rPr>
                <w:rFonts w:ascii="Arial" w:hAnsi="Arial" w:cs="Arial"/>
                <w:b/>
                <w:color w:val="000000" w:themeColor="text1"/>
                <w:szCs w:val="22"/>
              </w:rPr>
            </w:pPr>
            <w:r w:rsidRPr="00590929">
              <w:rPr>
                <w:rFonts w:ascii="Arial" w:hAnsi="Arial" w:cs="Arial"/>
                <w:b/>
                <w:color w:val="000000" w:themeColor="text1"/>
                <w:szCs w:val="22"/>
              </w:rPr>
              <w:t>2001</w:t>
            </w:r>
          </w:p>
        </w:tc>
        <w:tc>
          <w:tcPr>
            <w:tcW w:w="1461" w:type="dxa"/>
            <w:shd w:val="clear" w:color="auto" w:fill="DBE5F1" w:themeFill="accent1" w:themeFillTint="33"/>
            <w:vAlign w:val="center"/>
          </w:tcPr>
          <w:p w14:paraId="7C11258F" w14:textId="396054B9" w:rsidR="001B6E48" w:rsidRPr="00590929" w:rsidRDefault="001B6E48" w:rsidP="00D04AB3">
            <w:pPr>
              <w:pStyle w:val="ListParagraph"/>
              <w:tabs>
                <w:tab w:val="left" w:pos="1276"/>
                <w:tab w:val="left" w:pos="1492"/>
              </w:tabs>
              <w:autoSpaceDE w:val="0"/>
              <w:autoSpaceDN w:val="0"/>
              <w:adjustRightInd w:val="0"/>
              <w:spacing w:after="0"/>
              <w:ind w:left="0"/>
              <w:jc w:val="center"/>
              <w:rPr>
                <w:rFonts w:ascii="Arial" w:hAnsi="Arial" w:cs="Arial"/>
                <w:b/>
                <w:color w:val="000000" w:themeColor="text1"/>
                <w:szCs w:val="22"/>
              </w:rPr>
            </w:pPr>
            <w:r w:rsidRPr="00590929">
              <w:rPr>
                <w:rFonts w:ascii="Arial" w:hAnsi="Arial" w:cs="Arial"/>
                <w:b/>
                <w:color w:val="000000" w:themeColor="text1"/>
                <w:szCs w:val="22"/>
              </w:rPr>
              <w:t>2004</w:t>
            </w:r>
            <w:r w:rsidR="001E6888">
              <w:rPr>
                <w:rFonts w:ascii="Arial" w:hAnsi="Arial" w:cs="Arial"/>
                <w:b/>
                <w:color w:val="000000" w:themeColor="text1"/>
                <w:szCs w:val="22"/>
              </w:rPr>
              <w:t>–</w:t>
            </w:r>
            <w:r w:rsidRPr="00590929">
              <w:rPr>
                <w:rFonts w:ascii="Arial" w:hAnsi="Arial" w:cs="Arial"/>
                <w:b/>
                <w:color w:val="000000" w:themeColor="text1"/>
                <w:szCs w:val="22"/>
              </w:rPr>
              <w:t>05</w:t>
            </w:r>
          </w:p>
        </w:tc>
        <w:tc>
          <w:tcPr>
            <w:tcW w:w="1638" w:type="dxa"/>
            <w:shd w:val="clear" w:color="auto" w:fill="DBE5F1" w:themeFill="accent1" w:themeFillTint="33"/>
            <w:vAlign w:val="center"/>
          </w:tcPr>
          <w:p w14:paraId="38DAC9B9" w14:textId="538C2CD1" w:rsidR="001B6E48" w:rsidRPr="00590929" w:rsidRDefault="001B6E48" w:rsidP="00D04AB3">
            <w:pPr>
              <w:pStyle w:val="ListParagraph"/>
              <w:tabs>
                <w:tab w:val="left" w:pos="1276"/>
                <w:tab w:val="left" w:pos="1492"/>
              </w:tabs>
              <w:autoSpaceDE w:val="0"/>
              <w:autoSpaceDN w:val="0"/>
              <w:adjustRightInd w:val="0"/>
              <w:spacing w:after="0"/>
              <w:ind w:left="0"/>
              <w:jc w:val="center"/>
              <w:rPr>
                <w:rFonts w:ascii="Arial" w:hAnsi="Arial" w:cs="Arial"/>
                <w:b/>
                <w:color w:val="000000" w:themeColor="text1"/>
                <w:szCs w:val="22"/>
              </w:rPr>
            </w:pPr>
            <w:r w:rsidRPr="00590929">
              <w:rPr>
                <w:rFonts w:ascii="Arial" w:hAnsi="Arial" w:cs="Arial"/>
                <w:b/>
                <w:color w:val="000000" w:themeColor="text1"/>
                <w:szCs w:val="22"/>
              </w:rPr>
              <w:t>2007</w:t>
            </w:r>
            <w:r w:rsidR="001E6888">
              <w:rPr>
                <w:rFonts w:ascii="Arial" w:hAnsi="Arial" w:cs="Arial"/>
                <w:b/>
                <w:color w:val="000000" w:themeColor="text1"/>
                <w:szCs w:val="22"/>
              </w:rPr>
              <w:t>–</w:t>
            </w:r>
            <w:r w:rsidRPr="00590929">
              <w:rPr>
                <w:rFonts w:ascii="Arial" w:hAnsi="Arial" w:cs="Arial"/>
                <w:b/>
                <w:color w:val="000000" w:themeColor="text1"/>
                <w:szCs w:val="22"/>
              </w:rPr>
              <w:t>08</w:t>
            </w:r>
          </w:p>
        </w:tc>
        <w:tc>
          <w:tcPr>
            <w:tcW w:w="1469" w:type="dxa"/>
            <w:shd w:val="clear" w:color="auto" w:fill="DBE5F1" w:themeFill="accent1" w:themeFillTint="33"/>
            <w:vAlign w:val="center"/>
          </w:tcPr>
          <w:p w14:paraId="3C7991E7" w14:textId="74921FCF" w:rsidR="001B6E48" w:rsidRPr="00590929" w:rsidRDefault="001B6E48" w:rsidP="00D04AB3">
            <w:pPr>
              <w:pStyle w:val="ListParagraph"/>
              <w:tabs>
                <w:tab w:val="left" w:pos="1276"/>
                <w:tab w:val="left" w:pos="1492"/>
              </w:tabs>
              <w:autoSpaceDE w:val="0"/>
              <w:autoSpaceDN w:val="0"/>
              <w:adjustRightInd w:val="0"/>
              <w:spacing w:after="0"/>
              <w:ind w:left="0"/>
              <w:jc w:val="center"/>
              <w:rPr>
                <w:rFonts w:ascii="Arial" w:hAnsi="Arial" w:cs="Arial"/>
                <w:b/>
                <w:color w:val="000000" w:themeColor="text1"/>
                <w:szCs w:val="22"/>
              </w:rPr>
            </w:pPr>
            <w:r w:rsidRPr="00590929">
              <w:rPr>
                <w:rFonts w:ascii="Arial" w:hAnsi="Arial" w:cs="Arial"/>
                <w:b/>
                <w:color w:val="000000" w:themeColor="text1"/>
                <w:szCs w:val="22"/>
              </w:rPr>
              <w:t>2011</w:t>
            </w:r>
            <w:r w:rsidR="001E6888">
              <w:rPr>
                <w:rFonts w:ascii="Arial" w:hAnsi="Arial" w:cs="Arial"/>
                <w:b/>
                <w:color w:val="000000" w:themeColor="text1"/>
                <w:szCs w:val="22"/>
              </w:rPr>
              <w:t>–</w:t>
            </w:r>
            <w:r w:rsidRPr="00590929">
              <w:rPr>
                <w:rFonts w:ascii="Arial" w:hAnsi="Arial" w:cs="Arial"/>
                <w:b/>
                <w:color w:val="000000" w:themeColor="text1"/>
                <w:szCs w:val="22"/>
              </w:rPr>
              <w:t>12</w:t>
            </w:r>
          </w:p>
        </w:tc>
        <w:tc>
          <w:tcPr>
            <w:tcW w:w="1708" w:type="dxa"/>
            <w:shd w:val="clear" w:color="auto" w:fill="DBE5F1" w:themeFill="accent1" w:themeFillTint="33"/>
            <w:vAlign w:val="center"/>
          </w:tcPr>
          <w:p w14:paraId="1EDF20A3" w14:textId="5DE52F45" w:rsidR="001B6E48" w:rsidRPr="00590929" w:rsidRDefault="001B6E48" w:rsidP="00D04AB3">
            <w:pPr>
              <w:pStyle w:val="ListParagraph"/>
              <w:tabs>
                <w:tab w:val="left" w:pos="1276"/>
                <w:tab w:val="left" w:pos="1492"/>
              </w:tabs>
              <w:autoSpaceDE w:val="0"/>
              <w:autoSpaceDN w:val="0"/>
              <w:adjustRightInd w:val="0"/>
              <w:spacing w:after="0"/>
              <w:ind w:left="0"/>
              <w:jc w:val="center"/>
              <w:rPr>
                <w:rFonts w:ascii="Arial" w:hAnsi="Arial" w:cs="Arial"/>
                <w:b/>
                <w:color w:val="000000" w:themeColor="text1"/>
                <w:szCs w:val="22"/>
              </w:rPr>
            </w:pPr>
            <w:r w:rsidRPr="00590929">
              <w:rPr>
                <w:rFonts w:ascii="Arial" w:hAnsi="Arial" w:cs="Arial"/>
                <w:b/>
                <w:color w:val="000000" w:themeColor="text1"/>
                <w:szCs w:val="22"/>
              </w:rPr>
              <w:t>2014</w:t>
            </w:r>
            <w:r w:rsidR="00D04AB3">
              <w:rPr>
                <w:rFonts w:ascii="Arial" w:hAnsi="Arial" w:cs="Arial"/>
                <w:b/>
                <w:color w:val="000000" w:themeColor="text1"/>
                <w:szCs w:val="22"/>
              </w:rPr>
              <w:t>–</w:t>
            </w:r>
            <w:r w:rsidRPr="00590929">
              <w:rPr>
                <w:rFonts w:ascii="Arial" w:hAnsi="Arial" w:cs="Arial"/>
                <w:b/>
                <w:color w:val="000000" w:themeColor="text1"/>
                <w:szCs w:val="22"/>
              </w:rPr>
              <w:t>15</w:t>
            </w:r>
          </w:p>
        </w:tc>
      </w:tr>
      <w:tr w:rsidR="001B6E48" w14:paraId="7B066B11" w14:textId="77777777" w:rsidTr="00D04AB3">
        <w:trPr>
          <w:trHeight w:val="352"/>
        </w:trPr>
        <w:tc>
          <w:tcPr>
            <w:tcW w:w="1507" w:type="dxa"/>
            <w:vAlign w:val="center"/>
          </w:tcPr>
          <w:p w14:paraId="56C8E335" w14:textId="77777777" w:rsidR="001B6E48" w:rsidRPr="00590929" w:rsidRDefault="001B6E48" w:rsidP="00D04AB3">
            <w:pPr>
              <w:pStyle w:val="ListParagraph"/>
              <w:tabs>
                <w:tab w:val="left" w:pos="1276"/>
                <w:tab w:val="left" w:pos="1492"/>
              </w:tabs>
              <w:autoSpaceDE w:val="0"/>
              <w:autoSpaceDN w:val="0"/>
              <w:adjustRightInd w:val="0"/>
              <w:spacing w:after="0"/>
              <w:ind w:left="0"/>
              <w:contextualSpacing w:val="0"/>
              <w:jc w:val="center"/>
              <w:rPr>
                <w:rFonts w:ascii="Arial" w:hAnsi="Arial" w:cs="Arial"/>
                <w:color w:val="000000" w:themeColor="text1"/>
                <w:szCs w:val="22"/>
              </w:rPr>
            </w:pPr>
            <w:r w:rsidRPr="00590929">
              <w:rPr>
                <w:rFonts w:ascii="Arial" w:hAnsi="Arial" w:cs="Arial"/>
                <w:color w:val="000000" w:themeColor="text1"/>
                <w:szCs w:val="22"/>
              </w:rPr>
              <w:t>22.3%</w:t>
            </w:r>
          </w:p>
        </w:tc>
        <w:tc>
          <w:tcPr>
            <w:tcW w:w="1461" w:type="dxa"/>
            <w:vAlign w:val="center"/>
          </w:tcPr>
          <w:p w14:paraId="73C14862" w14:textId="77777777" w:rsidR="001B6E48" w:rsidRPr="00590929" w:rsidRDefault="001B6E48" w:rsidP="00D04AB3">
            <w:pPr>
              <w:pStyle w:val="ListParagraph"/>
              <w:tabs>
                <w:tab w:val="left" w:pos="1276"/>
                <w:tab w:val="left" w:pos="1492"/>
              </w:tabs>
              <w:autoSpaceDE w:val="0"/>
              <w:autoSpaceDN w:val="0"/>
              <w:adjustRightInd w:val="0"/>
              <w:spacing w:after="0"/>
              <w:ind w:left="0"/>
              <w:contextualSpacing w:val="0"/>
              <w:jc w:val="center"/>
              <w:rPr>
                <w:rFonts w:ascii="Arial" w:hAnsi="Arial" w:cs="Arial"/>
                <w:color w:val="000000" w:themeColor="text1"/>
                <w:szCs w:val="22"/>
              </w:rPr>
            </w:pPr>
            <w:r w:rsidRPr="00590929">
              <w:rPr>
                <w:rFonts w:ascii="Arial" w:hAnsi="Arial" w:cs="Arial"/>
                <w:color w:val="000000" w:themeColor="text1"/>
                <w:szCs w:val="22"/>
              </w:rPr>
              <w:t>21.3%</w:t>
            </w:r>
          </w:p>
        </w:tc>
        <w:tc>
          <w:tcPr>
            <w:tcW w:w="1638" w:type="dxa"/>
            <w:vAlign w:val="center"/>
          </w:tcPr>
          <w:p w14:paraId="5902D987" w14:textId="77777777" w:rsidR="001B6E48" w:rsidRPr="00590929" w:rsidRDefault="001B6E48" w:rsidP="00D04AB3">
            <w:pPr>
              <w:pStyle w:val="ListParagraph"/>
              <w:tabs>
                <w:tab w:val="left" w:pos="1276"/>
                <w:tab w:val="left" w:pos="1492"/>
              </w:tabs>
              <w:autoSpaceDE w:val="0"/>
              <w:autoSpaceDN w:val="0"/>
              <w:adjustRightInd w:val="0"/>
              <w:spacing w:after="0"/>
              <w:ind w:left="0"/>
              <w:contextualSpacing w:val="0"/>
              <w:jc w:val="center"/>
              <w:rPr>
                <w:rFonts w:ascii="Arial" w:hAnsi="Arial" w:cs="Arial"/>
                <w:color w:val="000000" w:themeColor="text1"/>
                <w:szCs w:val="22"/>
              </w:rPr>
            </w:pPr>
            <w:r w:rsidRPr="00590929">
              <w:rPr>
                <w:rFonts w:ascii="Arial" w:hAnsi="Arial" w:cs="Arial"/>
                <w:color w:val="000000" w:themeColor="text1"/>
                <w:szCs w:val="22"/>
              </w:rPr>
              <w:t>19.1%</w:t>
            </w:r>
          </w:p>
        </w:tc>
        <w:tc>
          <w:tcPr>
            <w:tcW w:w="1469" w:type="dxa"/>
            <w:vAlign w:val="center"/>
          </w:tcPr>
          <w:p w14:paraId="5D5FE8AF" w14:textId="77777777" w:rsidR="001B6E48" w:rsidRPr="00590929" w:rsidRDefault="001B6E48" w:rsidP="00D04AB3">
            <w:pPr>
              <w:pStyle w:val="ListParagraph"/>
              <w:tabs>
                <w:tab w:val="left" w:pos="1276"/>
                <w:tab w:val="left" w:pos="1492"/>
              </w:tabs>
              <w:autoSpaceDE w:val="0"/>
              <w:autoSpaceDN w:val="0"/>
              <w:adjustRightInd w:val="0"/>
              <w:spacing w:after="0"/>
              <w:ind w:left="0"/>
              <w:contextualSpacing w:val="0"/>
              <w:jc w:val="center"/>
              <w:rPr>
                <w:rFonts w:ascii="Arial" w:hAnsi="Arial" w:cs="Arial"/>
                <w:color w:val="000000" w:themeColor="text1"/>
                <w:szCs w:val="22"/>
              </w:rPr>
            </w:pPr>
            <w:r w:rsidRPr="00590929">
              <w:rPr>
                <w:rFonts w:ascii="Arial" w:hAnsi="Arial" w:cs="Arial"/>
                <w:color w:val="000000" w:themeColor="text1"/>
                <w:szCs w:val="22"/>
              </w:rPr>
              <w:t>16.3%</w:t>
            </w:r>
          </w:p>
        </w:tc>
        <w:tc>
          <w:tcPr>
            <w:tcW w:w="1708" w:type="dxa"/>
            <w:vAlign w:val="center"/>
          </w:tcPr>
          <w:p w14:paraId="436E56D8" w14:textId="77777777" w:rsidR="001B6E48" w:rsidRPr="00590929" w:rsidRDefault="001B6E48" w:rsidP="00D04AB3">
            <w:pPr>
              <w:pStyle w:val="ListParagraph"/>
              <w:tabs>
                <w:tab w:val="left" w:pos="1276"/>
                <w:tab w:val="left" w:pos="1492"/>
              </w:tabs>
              <w:autoSpaceDE w:val="0"/>
              <w:autoSpaceDN w:val="0"/>
              <w:adjustRightInd w:val="0"/>
              <w:spacing w:after="0"/>
              <w:ind w:left="0"/>
              <w:contextualSpacing w:val="0"/>
              <w:jc w:val="center"/>
              <w:rPr>
                <w:rFonts w:ascii="Arial" w:hAnsi="Arial" w:cs="Arial"/>
                <w:color w:val="000000" w:themeColor="text1"/>
                <w:szCs w:val="22"/>
              </w:rPr>
            </w:pPr>
            <w:r w:rsidRPr="00590929">
              <w:rPr>
                <w:rFonts w:ascii="Arial" w:hAnsi="Arial" w:cs="Arial"/>
                <w:color w:val="000000" w:themeColor="text1"/>
                <w:szCs w:val="22"/>
              </w:rPr>
              <w:t>14.7%</w:t>
            </w:r>
          </w:p>
        </w:tc>
      </w:tr>
    </w:tbl>
    <w:p w14:paraId="404659C5" w14:textId="21EF3C7F" w:rsidR="00590929" w:rsidRPr="007A41FB" w:rsidRDefault="001B6E48" w:rsidP="002F51E1">
      <w:pPr>
        <w:shd w:val="clear" w:color="auto" w:fill="FFFFFF"/>
        <w:spacing w:before="120"/>
        <w:outlineLvl w:val="2"/>
        <w:rPr>
          <w:rFonts w:ascii="Arial" w:hAnsi="Arial" w:cs="Arial"/>
          <w:i/>
          <w:color w:val="000000" w:themeColor="text1"/>
          <w:sz w:val="16"/>
          <w:szCs w:val="16"/>
        </w:rPr>
      </w:pPr>
      <w:r w:rsidRPr="007A41FB">
        <w:rPr>
          <w:rFonts w:ascii="Arial" w:hAnsi="Arial" w:cs="Arial"/>
          <w:color w:val="000000" w:themeColor="text1"/>
          <w:sz w:val="16"/>
          <w:szCs w:val="16"/>
        </w:rPr>
        <w:t xml:space="preserve">Source: ABS </w:t>
      </w:r>
      <w:r w:rsidRPr="007A41FB">
        <w:rPr>
          <w:rFonts w:ascii="Arial" w:hAnsi="Arial" w:cs="Arial"/>
          <w:i/>
          <w:color w:val="000000" w:themeColor="text1"/>
          <w:sz w:val="16"/>
          <w:szCs w:val="16"/>
        </w:rPr>
        <w:t>NHS: First Results 2014</w:t>
      </w:r>
      <w:r w:rsidR="008F26CC">
        <w:rPr>
          <w:rFonts w:ascii="Arial" w:hAnsi="Arial" w:cs="Arial"/>
          <w:i/>
          <w:color w:val="000000" w:themeColor="text1"/>
          <w:sz w:val="16"/>
          <w:szCs w:val="16"/>
        </w:rPr>
        <w:t>–</w:t>
      </w:r>
      <w:r w:rsidRPr="007A41FB">
        <w:rPr>
          <w:rFonts w:ascii="Arial" w:hAnsi="Arial" w:cs="Arial"/>
          <w:i/>
          <w:color w:val="000000" w:themeColor="text1"/>
          <w:sz w:val="16"/>
          <w:szCs w:val="16"/>
        </w:rPr>
        <w:t>15</w:t>
      </w:r>
      <w:r w:rsidR="002F51E1">
        <w:rPr>
          <w:rFonts w:ascii="Arial" w:hAnsi="Arial" w:cs="Arial"/>
          <w:i/>
          <w:color w:val="000000" w:themeColor="text1"/>
          <w:sz w:val="16"/>
          <w:szCs w:val="16"/>
        </w:rPr>
        <w:t xml:space="preserve"> </w:t>
      </w:r>
      <w:r w:rsidR="00590929" w:rsidRPr="007A41FB">
        <w:rPr>
          <w:rFonts w:ascii="Arial" w:hAnsi="Arial" w:cs="Arial"/>
          <w:color w:val="000000"/>
          <w:sz w:val="16"/>
          <w:szCs w:val="16"/>
        </w:rPr>
        <w:t>(age-standardised to the 2001 Australian population)</w:t>
      </w:r>
    </w:p>
    <w:p w14:paraId="65EEB84D" w14:textId="77777777" w:rsidR="004F3FF1" w:rsidRPr="007A41FB" w:rsidRDefault="00C03E70" w:rsidP="001E7580">
      <w:pPr>
        <w:pStyle w:val="StyleCaptionArialBlack"/>
        <w:rPr>
          <w:b/>
        </w:rPr>
      </w:pPr>
      <w:r>
        <w:t xml:space="preserve">Graph </w:t>
      </w:r>
      <w:r w:rsidR="004A286F">
        <w:rPr>
          <w:noProof/>
        </w:rPr>
        <w:fldChar w:fldCharType="begin"/>
      </w:r>
      <w:r w:rsidR="004A286F">
        <w:rPr>
          <w:noProof/>
        </w:rPr>
        <w:instrText xml:space="preserve"> SEQ Graph \* ARABIC </w:instrText>
      </w:r>
      <w:r w:rsidR="004A286F">
        <w:rPr>
          <w:noProof/>
        </w:rPr>
        <w:fldChar w:fldCharType="separate"/>
      </w:r>
      <w:r w:rsidR="003B4506">
        <w:rPr>
          <w:noProof/>
        </w:rPr>
        <w:t>1</w:t>
      </w:r>
      <w:r w:rsidR="004A286F">
        <w:rPr>
          <w:noProof/>
        </w:rPr>
        <w:fldChar w:fldCharType="end"/>
      </w:r>
      <w:r w:rsidR="004F3FF1" w:rsidRPr="007A41FB">
        <w:t xml:space="preserve">: Smoking prevalence </w:t>
      </w:r>
      <w:r w:rsidR="00AC32E2">
        <w:t xml:space="preserve">rates </w:t>
      </w:r>
      <w:r w:rsidR="004F3FF1" w:rsidRPr="007A41FB">
        <w:t xml:space="preserve">and key tobacco control measures </w:t>
      </w:r>
    </w:p>
    <w:p w14:paraId="122144BB" w14:textId="77777777" w:rsidR="007276FA" w:rsidRPr="007A41FB" w:rsidRDefault="004F3FF1" w:rsidP="00C03E70">
      <w:r w:rsidRPr="007A41FB">
        <w:rPr>
          <w:noProof/>
        </w:rPr>
        <w:t>The following</w:t>
      </w:r>
      <w:r w:rsidR="008557FE" w:rsidRPr="007A41FB">
        <w:rPr>
          <w:noProof/>
        </w:rPr>
        <w:t xml:space="preserve"> graph</w:t>
      </w:r>
      <w:r w:rsidRPr="007A41FB">
        <w:rPr>
          <w:noProof/>
        </w:rPr>
        <w:t xml:space="preserve"> shows the smoking prevalence for daily smokers aged 18 years or older against key tobacco control measures implemented in Australia since 1990.</w:t>
      </w:r>
    </w:p>
    <w:p w14:paraId="21567CD9" w14:textId="77777777" w:rsidR="004F3FF1" w:rsidRPr="002A7566" w:rsidRDefault="00E95135" w:rsidP="004F3FF1">
      <w:r>
        <w:rPr>
          <w:noProof/>
        </w:rPr>
        <w:drawing>
          <wp:inline distT="0" distB="0" distL="0" distR="0" wp14:anchorId="77812235" wp14:editId="300A3401">
            <wp:extent cx="5084445" cy="3180080"/>
            <wp:effectExtent l="0" t="0" r="1905" b="1270"/>
            <wp:docPr id="4" name="Picture 4" descr="Smoking prevalence rates for 14 years or older and key tobacco control measures implemented in Australia since 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4445" cy="3180080"/>
                    </a:xfrm>
                    <a:prstGeom prst="rect">
                      <a:avLst/>
                    </a:prstGeom>
                    <a:noFill/>
                    <a:ln>
                      <a:noFill/>
                    </a:ln>
                  </pic:spPr>
                </pic:pic>
              </a:graphicData>
            </a:graphic>
          </wp:inline>
        </w:drawing>
      </w:r>
    </w:p>
    <w:p w14:paraId="0E004C2E" w14:textId="7BBE5F0D" w:rsidR="004F3FF1" w:rsidRPr="00DB6D5B" w:rsidRDefault="004F3FF1" w:rsidP="00DB6D5B">
      <w:pPr>
        <w:shd w:val="clear" w:color="auto" w:fill="FFFFFF"/>
        <w:spacing w:before="120"/>
        <w:rPr>
          <w:rFonts w:ascii="Arial" w:hAnsi="Arial"/>
          <w:sz w:val="16"/>
        </w:rPr>
      </w:pPr>
      <w:r w:rsidRPr="00DB6D5B">
        <w:rPr>
          <w:rFonts w:ascii="Arial" w:hAnsi="Arial"/>
          <w:sz w:val="16"/>
        </w:rPr>
        <w:lastRenderedPageBreak/>
        <w:t xml:space="preserve">Source: ABS </w:t>
      </w:r>
      <w:r w:rsidR="007276FA" w:rsidRPr="00DB6D5B">
        <w:rPr>
          <w:rFonts w:ascii="Arial" w:hAnsi="Arial"/>
          <w:sz w:val="16"/>
        </w:rPr>
        <w:t>NHS</w:t>
      </w:r>
      <w:r w:rsidRPr="00DB6D5B">
        <w:rPr>
          <w:rFonts w:ascii="Arial" w:hAnsi="Arial"/>
          <w:sz w:val="16"/>
        </w:rPr>
        <w:t xml:space="preserve"> 1990, 1995, 2011, 2004</w:t>
      </w:r>
      <w:r w:rsidR="008F26CC">
        <w:rPr>
          <w:rFonts w:ascii="Arial" w:hAnsi="Arial"/>
          <w:sz w:val="16"/>
        </w:rPr>
        <w:t>–</w:t>
      </w:r>
      <w:r w:rsidRPr="00DB6D5B">
        <w:rPr>
          <w:rFonts w:ascii="Arial" w:hAnsi="Arial"/>
          <w:sz w:val="16"/>
        </w:rPr>
        <w:t>05, 2007</w:t>
      </w:r>
      <w:r w:rsidR="008F26CC">
        <w:rPr>
          <w:rFonts w:ascii="Arial" w:hAnsi="Arial"/>
          <w:sz w:val="16"/>
        </w:rPr>
        <w:t>–</w:t>
      </w:r>
      <w:r w:rsidRPr="00DB6D5B">
        <w:rPr>
          <w:rFonts w:ascii="Arial" w:hAnsi="Arial"/>
          <w:sz w:val="16"/>
        </w:rPr>
        <w:t>08, 2014</w:t>
      </w:r>
      <w:r w:rsidR="008F26CC">
        <w:rPr>
          <w:rFonts w:ascii="Arial" w:hAnsi="Arial"/>
          <w:sz w:val="16"/>
        </w:rPr>
        <w:t>–</w:t>
      </w:r>
      <w:r w:rsidRPr="00DB6D5B">
        <w:rPr>
          <w:rFonts w:ascii="Arial" w:hAnsi="Arial"/>
          <w:sz w:val="16"/>
        </w:rPr>
        <w:t>15 and ABS Australian Health Survey 2011</w:t>
      </w:r>
      <w:r w:rsidR="008F26CC">
        <w:rPr>
          <w:rFonts w:ascii="Arial" w:hAnsi="Arial"/>
          <w:sz w:val="16"/>
        </w:rPr>
        <w:t>–</w:t>
      </w:r>
      <w:r w:rsidRPr="00DB6D5B">
        <w:rPr>
          <w:rFonts w:ascii="Arial" w:hAnsi="Arial"/>
          <w:sz w:val="16"/>
        </w:rPr>
        <w:t>12</w:t>
      </w:r>
    </w:p>
    <w:p w14:paraId="3C772ECB" w14:textId="77777777" w:rsidR="00C03E70" w:rsidRPr="00C03E70" w:rsidRDefault="00DF5C4C" w:rsidP="008F26C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Style w:val="Strong"/>
        </w:rPr>
      </w:pPr>
      <w:hyperlink r:id="rId13" w:history="1">
        <w:r w:rsidR="004F3FF1" w:rsidRPr="00C03E70">
          <w:rPr>
            <w:rStyle w:val="Strong"/>
          </w:rPr>
          <w:t>Text version of graph</w:t>
        </w:r>
      </w:hyperlink>
    </w:p>
    <w:p w14:paraId="434AF06C" w14:textId="250EE4A3" w:rsidR="00E3384E" w:rsidRPr="00AC32E2" w:rsidRDefault="005F4787" w:rsidP="00027D69">
      <w:pPr>
        <w:ind w:left="720"/>
      </w:pPr>
      <w:r w:rsidRPr="00AC32E2">
        <w:t>Graph</w:t>
      </w:r>
      <w:r w:rsidR="00E3384E" w:rsidRPr="00AC32E2">
        <w:t xml:space="preserve"> 1: Smoking prevalence rates and key tobacco control measures. The graph shows the decline in smoking prevalence for daily smokers aged 18 years or older in Australia since 1991 to 2014</w:t>
      </w:r>
      <w:r w:rsidR="008F26CC">
        <w:t>–</w:t>
      </w:r>
      <w:r w:rsidR="00E3384E" w:rsidRPr="00AC32E2">
        <w:t>15, against a number of key tobacco control measures implemented during this period.</w:t>
      </w:r>
    </w:p>
    <w:p w14:paraId="2CF62E6F" w14:textId="2F6E455A" w:rsidR="00E3384E" w:rsidRPr="00AC32E2" w:rsidRDefault="00E3384E" w:rsidP="00C03E70">
      <w:r w:rsidRPr="00AC32E2">
        <w:t>The daily smoking prevalence rates for smokers aged</w:t>
      </w:r>
      <w:r w:rsidR="008557FE" w:rsidRPr="00AC32E2">
        <w:t xml:space="preserve"> </w:t>
      </w:r>
      <w:r w:rsidRPr="00AC32E2">
        <w:t>18 years or older plotted along the trend line are from the Australian Bureau of Statistics National Health Surveys of 1990</w:t>
      </w:r>
      <w:r w:rsidR="008557FE" w:rsidRPr="00AC32E2">
        <w:t xml:space="preserve">, </w:t>
      </w:r>
      <w:r w:rsidRPr="00AC32E2">
        <w:t>1995, 2011, 2004</w:t>
      </w:r>
      <w:r w:rsidR="008F26CC">
        <w:t>–</w:t>
      </w:r>
      <w:r w:rsidRPr="00AC32E2">
        <w:t>05, 2007</w:t>
      </w:r>
      <w:r w:rsidR="008F26CC">
        <w:t>–</w:t>
      </w:r>
      <w:r w:rsidRPr="00AC32E2">
        <w:t>08 and 2014</w:t>
      </w:r>
      <w:r w:rsidR="008F26CC">
        <w:t>–</w:t>
      </w:r>
      <w:r w:rsidRPr="00AC32E2">
        <w:t>15 and the Australian Bureau of Statistics Australian Health Survey 2011</w:t>
      </w:r>
      <w:r w:rsidR="008F26CC">
        <w:t>–</w:t>
      </w:r>
      <w:r w:rsidRPr="00AC32E2">
        <w:t>12. The graph shows the steady decline in smoking prevalence rates from the surveys, from 27.7% in 1990 to 23.7% in 1995 to 22.3% in 2001 to 21.3% in 2004</w:t>
      </w:r>
      <w:r w:rsidR="008F26CC">
        <w:t>–</w:t>
      </w:r>
      <w:r w:rsidRPr="00AC32E2">
        <w:t>05 to 19.1% in 2007</w:t>
      </w:r>
      <w:r w:rsidR="008F26CC">
        <w:t>–</w:t>
      </w:r>
      <w:r w:rsidRPr="00AC32E2">
        <w:t>08 to 16.3% in 2011</w:t>
      </w:r>
      <w:r w:rsidR="008F26CC">
        <w:t>–</w:t>
      </w:r>
      <w:r w:rsidRPr="00AC32E2">
        <w:t>12 to 14.7% in 2014</w:t>
      </w:r>
      <w:r w:rsidR="008F26CC">
        <w:t>–</w:t>
      </w:r>
      <w:r w:rsidRPr="00AC32E2">
        <w:t>15.</w:t>
      </w:r>
    </w:p>
    <w:p w14:paraId="7B6031EF" w14:textId="77777777" w:rsidR="00E3384E" w:rsidRPr="00AC32E2" w:rsidRDefault="00E3384E" w:rsidP="00C03E70">
      <w:r w:rsidRPr="00AC32E2">
        <w:t>Key tobacco control measures are listed along the trend line, to give an indication of when each measure was implemented, as follows:</w:t>
      </w:r>
    </w:p>
    <w:p w14:paraId="3468A752" w14:textId="26463120" w:rsidR="00E3384E" w:rsidRPr="00AC32E2" w:rsidRDefault="00E3384E" w:rsidP="00C03E70">
      <w:r w:rsidRPr="00AC32E2">
        <w:t xml:space="preserve">1990 </w:t>
      </w:r>
      <w:r w:rsidR="00027D69">
        <w:t>—</w:t>
      </w:r>
      <w:r w:rsidRPr="00AC32E2">
        <w:t xml:space="preserve"> advertising ban in print media</w:t>
      </w:r>
      <w:r w:rsidR="007578B4">
        <w:t>.</w:t>
      </w:r>
    </w:p>
    <w:p w14:paraId="2DE7B441" w14:textId="79EAF7F5" w:rsidR="00E3384E" w:rsidRPr="00AC32E2" w:rsidRDefault="00E3384E" w:rsidP="00C03E70">
      <w:r w:rsidRPr="00AC32E2">
        <w:t xml:space="preserve">1992 </w:t>
      </w:r>
      <w:r w:rsidR="00027D69">
        <w:t>—</w:t>
      </w:r>
      <w:r w:rsidRPr="00AC32E2">
        <w:t xml:space="preserve"> increase in the tobacco excise</w:t>
      </w:r>
      <w:r w:rsidR="007578B4">
        <w:t>.</w:t>
      </w:r>
    </w:p>
    <w:p w14:paraId="2CFAF5AF" w14:textId="5CEB7148" w:rsidR="00E3384E" w:rsidRPr="00AC32E2" w:rsidRDefault="00E3384E" w:rsidP="00C03E70">
      <w:r w:rsidRPr="00AC32E2">
        <w:t xml:space="preserve">1993 </w:t>
      </w:r>
      <w:r w:rsidR="00027D69">
        <w:t>—</w:t>
      </w:r>
      <w:r w:rsidRPr="00AC32E2">
        <w:t xml:space="preserve"> </w:t>
      </w:r>
      <w:r w:rsidRPr="00AC32E2">
        <w:rPr>
          <w:i/>
        </w:rPr>
        <w:t>Tobacco Advertising Prohibition Act 1992</w:t>
      </w:r>
      <w:r w:rsidRPr="00AC32E2">
        <w:t xml:space="preserve"> prohibited broadcasting and publication of</w:t>
      </w:r>
      <w:r w:rsidR="00AC32E2" w:rsidRPr="00AC32E2">
        <w:br/>
      </w:r>
      <w:r w:rsidRPr="00AC32E2">
        <w:t>tobacco</w:t>
      </w:r>
      <w:r w:rsidR="00B720E9" w:rsidRPr="00AC32E2">
        <w:t xml:space="preserve"> </w:t>
      </w:r>
      <w:r w:rsidRPr="00AC32E2">
        <w:t>advertisements</w:t>
      </w:r>
      <w:r w:rsidR="007578B4">
        <w:t>.</w:t>
      </w:r>
    </w:p>
    <w:p w14:paraId="32B00CC6" w14:textId="0F82876D" w:rsidR="00AC32E2" w:rsidRDefault="00E3384E" w:rsidP="00C03E70">
      <w:r w:rsidRPr="00AC32E2">
        <w:t xml:space="preserve">1995 </w:t>
      </w:r>
      <w:r w:rsidR="00027D69">
        <w:t>—</w:t>
      </w:r>
      <w:r w:rsidRPr="00AC32E2">
        <w:t xml:space="preserve"> nationally consistent text-only health warnings </w:t>
      </w:r>
      <w:r w:rsidR="00AC32E2">
        <w:t>required</w:t>
      </w:r>
      <w:r w:rsidR="007578B4">
        <w:t>.</w:t>
      </w:r>
    </w:p>
    <w:p w14:paraId="26E6C55F" w14:textId="0A4C553B" w:rsidR="00E3384E" w:rsidRPr="00AC32E2" w:rsidRDefault="00E3384E" w:rsidP="00C03E70">
      <w:r w:rsidRPr="00AC32E2">
        <w:t xml:space="preserve">1997 </w:t>
      </w:r>
      <w:r w:rsidR="00027D69">
        <w:t>—</w:t>
      </w:r>
      <w:r w:rsidRPr="00AC32E2">
        <w:t xml:space="preserve"> National Tobacco Campaign commenced</w:t>
      </w:r>
      <w:r w:rsidR="007578B4">
        <w:t>.</w:t>
      </w:r>
    </w:p>
    <w:p w14:paraId="7E2EA540" w14:textId="7FCCDFB6" w:rsidR="00E3384E" w:rsidRPr="00AC32E2" w:rsidRDefault="00E3384E" w:rsidP="00C03E70">
      <w:r w:rsidRPr="00AC32E2">
        <w:t xml:space="preserve">2003 </w:t>
      </w:r>
      <w:r w:rsidR="00027D69">
        <w:t>—</w:t>
      </w:r>
      <w:r w:rsidRPr="00AC32E2">
        <w:t xml:space="preserve"> </w:t>
      </w:r>
      <w:r w:rsidR="00AC32E2">
        <w:t>s</w:t>
      </w:r>
      <w:r w:rsidRPr="00AC32E2">
        <w:t>moke-free dining</w:t>
      </w:r>
      <w:r w:rsidR="009279F5">
        <w:t xml:space="preserve"> introduced</w:t>
      </w:r>
      <w:r w:rsidR="007578B4">
        <w:t>.</w:t>
      </w:r>
    </w:p>
    <w:p w14:paraId="5E867CFD" w14:textId="6A8BB854" w:rsidR="00E3384E" w:rsidRPr="00AC32E2" w:rsidRDefault="00E3384E" w:rsidP="00C03E70">
      <w:r w:rsidRPr="00AC32E2">
        <w:t xml:space="preserve">1998 to 2006 </w:t>
      </w:r>
      <w:r w:rsidR="00027D69">
        <w:t>—</w:t>
      </w:r>
      <w:r w:rsidRPr="00AC32E2">
        <w:t xml:space="preserve"> point-of-sale advertising bans</w:t>
      </w:r>
      <w:r w:rsidR="00AC32E2">
        <w:t xml:space="preserve"> were implemented at various times across states and territories</w:t>
      </w:r>
      <w:r w:rsidR="007578B4">
        <w:t>.</w:t>
      </w:r>
    </w:p>
    <w:p w14:paraId="6875CFBF" w14:textId="55E75EA7" w:rsidR="00E3384E" w:rsidRPr="00AC32E2" w:rsidRDefault="00E3384E" w:rsidP="00C03E70">
      <w:r w:rsidRPr="00AC32E2">
        <w:t xml:space="preserve">2006 </w:t>
      </w:r>
      <w:r w:rsidR="00027D69">
        <w:t>—</w:t>
      </w:r>
      <w:r w:rsidRPr="00AC32E2">
        <w:t xml:space="preserve"> graphic health warnings required on packaging of most tobacco products</w:t>
      </w:r>
      <w:r w:rsidR="007578B4">
        <w:t>.</w:t>
      </w:r>
    </w:p>
    <w:p w14:paraId="0AAFCA6D" w14:textId="7EA41EB4" w:rsidR="00E3384E" w:rsidRPr="00AC32E2" w:rsidRDefault="00E3384E" w:rsidP="00C03E70">
      <w:r w:rsidRPr="00AC32E2">
        <w:t xml:space="preserve">2008 </w:t>
      </w:r>
      <w:r w:rsidR="00027D69">
        <w:t>—</w:t>
      </w:r>
      <w:r w:rsidRPr="00AC32E2">
        <w:t xml:space="preserve"> Tackling Indigenous Smoking initiative commenced</w:t>
      </w:r>
      <w:r w:rsidR="007578B4">
        <w:t>.</w:t>
      </w:r>
    </w:p>
    <w:p w14:paraId="14F56AA0" w14:textId="6028386A" w:rsidR="00E3384E" w:rsidRPr="00AC32E2" w:rsidRDefault="00E3384E" w:rsidP="00C03E70">
      <w:r w:rsidRPr="00AC32E2">
        <w:t xml:space="preserve">2010 </w:t>
      </w:r>
      <w:r w:rsidR="00027D69">
        <w:t>—</w:t>
      </w:r>
      <w:r w:rsidRPr="00AC32E2">
        <w:t xml:space="preserve"> 25% increase in the tobacco excise</w:t>
      </w:r>
      <w:r w:rsidR="007578B4">
        <w:t>.</w:t>
      </w:r>
    </w:p>
    <w:p w14:paraId="26084A5A" w14:textId="35FEB6B9" w:rsidR="00E3384E" w:rsidRPr="00AC32E2" w:rsidRDefault="00E3384E" w:rsidP="00C03E70">
      <w:r w:rsidRPr="00AC32E2">
        <w:t xml:space="preserve">2011 </w:t>
      </w:r>
      <w:r w:rsidR="00027D69">
        <w:t>—</w:t>
      </w:r>
      <w:r w:rsidRPr="00AC32E2">
        <w:t xml:space="preserve"> point-of-sale display bans</w:t>
      </w:r>
      <w:r w:rsidR="007578B4">
        <w:t>.</w:t>
      </w:r>
    </w:p>
    <w:p w14:paraId="27192A73" w14:textId="386C53E2" w:rsidR="00E3384E" w:rsidRDefault="00E3384E" w:rsidP="00C03E70">
      <w:r w:rsidRPr="00AC32E2">
        <w:t xml:space="preserve">2012 </w:t>
      </w:r>
      <w:r w:rsidR="00027D69">
        <w:t>—</w:t>
      </w:r>
      <w:r w:rsidRPr="00AC32E2">
        <w:t xml:space="preserve"> introduction of tobacco plain packaging, and updated and expanded graphic health warnings</w:t>
      </w:r>
    </w:p>
    <w:p w14:paraId="0B7E49C2" w14:textId="2EEFEEAE" w:rsidR="00E07A47" w:rsidRPr="00E07A47" w:rsidRDefault="00E07A47" w:rsidP="00C03E70">
      <w:r>
        <w:t xml:space="preserve">2012 </w:t>
      </w:r>
      <w:r w:rsidR="00027D69">
        <w:t>—</w:t>
      </w:r>
      <w:r>
        <w:t xml:space="preserve"> </w:t>
      </w:r>
      <w:r w:rsidRPr="00E07A47">
        <w:t>reduction in the duty free allowance from 250 cigarettes or 250g of cigars or tobacco products to 50</w:t>
      </w:r>
      <w:r w:rsidR="001D64A9">
        <w:t xml:space="preserve"> </w:t>
      </w:r>
      <w:r w:rsidRPr="00E07A47">
        <w:t>cigarettes or 50g of cigars or tobacco products, from 1</w:t>
      </w:r>
      <w:r w:rsidR="001D64A9">
        <w:t xml:space="preserve"> </w:t>
      </w:r>
      <w:r w:rsidRPr="00E07A47">
        <w:t>September</w:t>
      </w:r>
      <w:r w:rsidR="001D64A9">
        <w:t xml:space="preserve"> </w:t>
      </w:r>
      <w:r w:rsidRPr="00E07A47">
        <w:t>2012</w:t>
      </w:r>
      <w:r w:rsidR="007578B4">
        <w:t>.</w:t>
      </w:r>
    </w:p>
    <w:p w14:paraId="06E05200" w14:textId="4D33EA02" w:rsidR="00E07A47" w:rsidRDefault="00E3384E" w:rsidP="00C03E70">
      <w:r w:rsidRPr="00E07A47">
        <w:t xml:space="preserve">2013 </w:t>
      </w:r>
      <w:r w:rsidR="00027D69">
        <w:t>—</w:t>
      </w:r>
      <w:r w:rsidR="00AC32E2" w:rsidRPr="00E07A47">
        <w:t xml:space="preserve"> annual </w:t>
      </w:r>
      <w:r w:rsidRPr="00E07A47">
        <w:t xml:space="preserve">12.5% tobacco excise increases </w:t>
      </w:r>
      <w:r w:rsidR="00AC32E2" w:rsidRPr="00E07A47">
        <w:t xml:space="preserve">were </w:t>
      </w:r>
      <w:r w:rsidRPr="00E07A47">
        <w:t>implemented</w:t>
      </w:r>
      <w:r w:rsidRPr="00AC32E2">
        <w:t xml:space="preserve"> on 1 December 2013,</w:t>
      </w:r>
      <w:r w:rsidR="00AC32E2">
        <w:t xml:space="preserve"> and continued to be implemented </w:t>
      </w:r>
      <w:r w:rsidRPr="00AC32E2">
        <w:t>on 1</w:t>
      </w:r>
      <w:r w:rsidR="00DB6D5B">
        <w:t xml:space="preserve"> September 2014, 2015 and 2016.</w:t>
      </w:r>
    </w:p>
    <w:p w14:paraId="66B67827" w14:textId="53D49F92" w:rsidR="00E3384E" w:rsidRDefault="00E07A47" w:rsidP="00C03E70">
      <w:r>
        <w:t xml:space="preserve">2016 </w:t>
      </w:r>
      <w:r w:rsidR="00027D69">
        <w:t>—</w:t>
      </w:r>
      <w:r>
        <w:t xml:space="preserve"> additional </w:t>
      </w:r>
      <w:r w:rsidR="00E3384E" w:rsidRPr="00AC32E2">
        <w:t>12.5% annual tobacco excise increases</w:t>
      </w:r>
      <w:r>
        <w:t xml:space="preserve"> to continue on 1 September </w:t>
      </w:r>
      <w:r w:rsidR="00E3384E" w:rsidRPr="00AC32E2">
        <w:t>2017 to 2020 inclusive.</w:t>
      </w:r>
    </w:p>
    <w:p w14:paraId="012C6C2E" w14:textId="6ACCEBF0" w:rsidR="00E07A47" w:rsidRPr="00DA1173" w:rsidRDefault="009279F5" w:rsidP="00C03E70">
      <w:pPr>
        <w:rPr>
          <w:rFonts w:ascii="Arial" w:hAnsi="Arial" w:cs="Arial"/>
          <w:color w:val="222222"/>
          <w:szCs w:val="20"/>
          <w:shd w:val="clear" w:color="auto" w:fill="FFFFFF"/>
        </w:rPr>
      </w:pPr>
      <w:r>
        <w:t xml:space="preserve">2017 </w:t>
      </w:r>
      <w:r w:rsidR="00027D69">
        <w:t>—</w:t>
      </w:r>
      <w:r>
        <w:t xml:space="preserve"> </w:t>
      </w:r>
      <w:r w:rsidR="00E07A47">
        <w:t xml:space="preserve">reduction in duty free tobacco </w:t>
      </w:r>
      <w:r w:rsidR="00E07A47" w:rsidRPr="00E07A47">
        <w:t xml:space="preserve">allowance to </w:t>
      </w:r>
      <w:r w:rsidR="00E07A47" w:rsidRPr="00E07A47">
        <w:rPr>
          <w:shd w:val="clear" w:color="auto" w:fill="FFFFFF"/>
        </w:rPr>
        <w:t>25 grams of duty free tobacco</w:t>
      </w:r>
      <w:r w:rsidR="004C103E">
        <w:rPr>
          <w:shd w:val="clear" w:color="auto" w:fill="FFFFFF"/>
        </w:rPr>
        <w:t xml:space="preserve"> </w:t>
      </w:r>
      <w:r w:rsidR="004C103E" w:rsidRPr="00E07A47">
        <w:rPr>
          <w:shd w:val="clear" w:color="auto" w:fill="FFFFFF"/>
        </w:rPr>
        <w:t xml:space="preserve">(cigarette, loose leaf </w:t>
      </w:r>
      <w:r w:rsidR="004C103E">
        <w:rPr>
          <w:shd w:val="clear" w:color="auto" w:fill="FFFFFF"/>
        </w:rPr>
        <w:t>etc</w:t>
      </w:r>
      <w:r w:rsidR="004C103E" w:rsidRPr="00E07A47">
        <w:rPr>
          <w:shd w:val="clear" w:color="auto" w:fill="FFFFFF"/>
        </w:rPr>
        <w:t>)</w:t>
      </w:r>
      <w:r w:rsidR="00E07A47" w:rsidRPr="00E07A47">
        <w:rPr>
          <w:shd w:val="clear" w:color="auto" w:fill="FFFFFF"/>
        </w:rPr>
        <w:t>, plus one open packet</w:t>
      </w:r>
      <w:r w:rsidR="004C103E">
        <w:rPr>
          <w:shd w:val="clear" w:color="auto" w:fill="FFFFFF"/>
        </w:rPr>
        <w:t xml:space="preserve">; </w:t>
      </w:r>
      <w:r w:rsidR="00E07A47" w:rsidRPr="00E07A47">
        <w:rPr>
          <w:shd w:val="clear" w:color="auto" w:fill="FFFFFF"/>
        </w:rPr>
        <w:t xml:space="preserve">equivalent to </w:t>
      </w:r>
      <w:r w:rsidR="00E07A47" w:rsidRPr="00DA1173">
        <w:rPr>
          <w:shd w:val="clear" w:color="auto" w:fill="FFFFFF"/>
        </w:rPr>
        <w:t xml:space="preserve">approximately </w:t>
      </w:r>
      <w:r w:rsidR="00E07A47" w:rsidRPr="00DA1173">
        <w:t>25</w:t>
      </w:r>
      <w:r w:rsidR="001D64A9">
        <w:t xml:space="preserve"> </w:t>
      </w:r>
      <w:r w:rsidR="00DA1173" w:rsidRPr="00DA1173">
        <w:t>c</w:t>
      </w:r>
      <w:r w:rsidR="00E07A47" w:rsidRPr="00DA1173">
        <w:t>igarettes</w:t>
      </w:r>
      <w:r w:rsidR="00E07A47" w:rsidRPr="00DA1173">
        <w:rPr>
          <w:shd w:val="clear" w:color="auto" w:fill="FFFFFF"/>
        </w:rPr>
        <w:t>.</w:t>
      </w:r>
    </w:p>
    <w:p w14:paraId="203EC56E" w14:textId="1D68A3EE" w:rsidR="00E07A47" w:rsidRPr="001F5886" w:rsidRDefault="00E07A47" w:rsidP="001F5886">
      <w:pPr>
        <w:rPr>
          <w:shd w:val="clear" w:color="auto" w:fill="FFFFFF"/>
        </w:rPr>
      </w:pPr>
      <w:r w:rsidRPr="001F5886">
        <w:lastRenderedPageBreak/>
        <w:t xml:space="preserve">2017 </w:t>
      </w:r>
      <w:r w:rsidR="00027D69">
        <w:t>—</w:t>
      </w:r>
      <w:r w:rsidRPr="001F5886">
        <w:rPr>
          <w:shd w:val="clear" w:color="auto" w:fill="FFFFFF"/>
        </w:rPr>
        <w:t xml:space="preserve"> </w:t>
      </w:r>
      <w:r w:rsidR="007578B4" w:rsidRPr="001F5886">
        <w:rPr>
          <w:shd w:val="clear" w:color="auto" w:fill="FFFFFF"/>
        </w:rPr>
        <w:t xml:space="preserve">harmonisation of </w:t>
      </w:r>
      <w:r w:rsidR="00DA1173" w:rsidRPr="001F5886">
        <w:rPr>
          <w:shd w:val="clear" w:color="auto" w:fill="FFFFFF"/>
        </w:rPr>
        <w:t xml:space="preserve">the taxation of roll-your-own tobacco and other products such as cigars, </w:t>
      </w:r>
      <w:r w:rsidR="007578B4" w:rsidRPr="001F5886">
        <w:rPr>
          <w:shd w:val="clear" w:color="auto" w:fill="FFFFFF"/>
        </w:rPr>
        <w:t>with m</w:t>
      </w:r>
      <w:r w:rsidR="00DA1173" w:rsidRPr="001F5886">
        <w:rPr>
          <w:shd w:val="clear" w:color="auto" w:fill="FFFFFF"/>
        </w:rPr>
        <w:t>anufactured cigarettes</w:t>
      </w:r>
      <w:r w:rsidR="004C103E" w:rsidRPr="001F5886">
        <w:rPr>
          <w:shd w:val="clear" w:color="auto" w:fill="FFFFFF"/>
        </w:rPr>
        <w:t>.</w:t>
      </w:r>
    </w:p>
    <w:p w14:paraId="2328C097" w14:textId="77777777" w:rsidR="00C22138" w:rsidRPr="00D36748" w:rsidRDefault="00C22138" w:rsidP="00C03E70">
      <w:pPr>
        <w:pStyle w:val="Heading2"/>
      </w:pPr>
      <w:r w:rsidRPr="00D36748">
        <w:t>National Drug Strategy Household Survey 2016 key findings</w:t>
      </w:r>
    </w:p>
    <w:p w14:paraId="6D71259A" w14:textId="77777777" w:rsidR="00C22138" w:rsidRPr="0035020E" w:rsidRDefault="00C22138" w:rsidP="00C03E70">
      <w:r w:rsidRPr="0035020E">
        <w:t>On 1 June 2017, the AIHW</w:t>
      </w:r>
      <w:r w:rsidR="00BA292B" w:rsidRPr="0035020E">
        <w:t xml:space="preserve"> </w:t>
      </w:r>
      <w:r w:rsidRPr="0035020E">
        <w:t xml:space="preserve">released the </w:t>
      </w:r>
      <w:r w:rsidRPr="0035020E">
        <w:rPr>
          <w:i/>
        </w:rPr>
        <w:t>2016 National</w:t>
      </w:r>
      <w:r w:rsidR="00C82E62" w:rsidRPr="0035020E">
        <w:rPr>
          <w:i/>
        </w:rPr>
        <w:t xml:space="preserve"> Drug Strategy Household Survey</w:t>
      </w:r>
      <w:r w:rsidR="0035020E">
        <w:rPr>
          <w:i/>
        </w:rPr>
        <w:t xml:space="preserve"> key findings.</w:t>
      </w:r>
      <w:r w:rsidR="00BA292B" w:rsidRPr="0035020E">
        <w:rPr>
          <w:rStyle w:val="EndnoteReference"/>
          <w:rFonts w:ascii="Arial" w:hAnsi="Arial" w:cs="Arial"/>
          <w:color w:val="222222"/>
          <w:szCs w:val="22"/>
        </w:rPr>
        <w:endnoteReference w:id="14"/>
      </w:r>
      <w:r w:rsidR="00C82E62" w:rsidRPr="0035020E">
        <w:t xml:space="preserve"> </w:t>
      </w:r>
      <w:r w:rsidR="0035020E">
        <w:t xml:space="preserve">The survey was </w:t>
      </w:r>
      <w:r w:rsidRPr="0035020E">
        <w:t>conducted from 18 June to 29 Nov</w:t>
      </w:r>
      <w:r w:rsidR="0035020E">
        <w:t xml:space="preserve">ember 2016, with </w:t>
      </w:r>
      <w:r w:rsidRPr="0035020E">
        <w:t>nearly 24,000 people nationally.</w:t>
      </w:r>
      <w:r w:rsidR="00936E7D" w:rsidRPr="0035020E">
        <w:t xml:space="preserve"> The report shows that:</w:t>
      </w:r>
    </w:p>
    <w:p w14:paraId="28BC64BE" w14:textId="77777777" w:rsidR="00C22138" w:rsidRPr="0035020E" w:rsidRDefault="0035020E" w:rsidP="00C03E70">
      <w:pPr>
        <w:pStyle w:val="ListParagraph"/>
        <w:numPr>
          <w:ilvl w:val="0"/>
          <w:numId w:val="25"/>
        </w:numPr>
      </w:pPr>
      <w:r>
        <w:t>d</w:t>
      </w:r>
      <w:r w:rsidR="00C22138" w:rsidRPr="0035020E">
        <w:t>aily smoking rate</w:t>
      </w:r>
      <w:r>
        <w:t>s</w:t>
      </w:r>
      <w:r w:rsidR="00C22138" w:rsidRPr="0035020E">
        <w:t xml:space="preserve"> among people aged 14 years or older slowed in 2016, only declining slightly from 12.8% in 2013 to 12.2% (</w:t>
      </w:r>
      <w:r w:rsidR="004B7EE6" w:rsidRPr="0035020E">
        <w:t>not statistically significant);</w:t>
      </w:r>
    </w:p>
    <w:p w14:paraId="5E719C85" w14:textId="77777777" w:rsidR="00C22138" w:rsidRPr="0035020E" w:rsidRDefault="0035020E" w:rsidP="00C03E70">
      <w:pPr>
        <w:pStyle w:val="ListParagraph"/>
        <w:numPr>
          <w:ilvl w:val="0"/>
          <w:numId w:val="25"/>
        </w:numPr>
      </w:pPr>
      <w:r>
        <w:t>a</w:t>
      </w:r>
      <w:r w:rsidR="00C22138" w:rsidRPr="0035020E">
        <w:t xml:space="preserve">cross all age groups, males were more likely to smoke daily than females; 13.8% of males aged 14 years or older </w:t>
      </w:r>
      <w:r w:rsidR="00DA1173">
        <w:t xml:space="preserve">smoked </w:t>
      </w:r>
      <w:r w:rsidR="004B7EE6" w:rsidRPr="0035020E">
        <w:t>compared with 10.7% for females;</w:t>
      </w:r>
    </w:p>
    <w:p w14:paraId="478E8FCE" w14:textId="77777777" w:rsidR="00C22138" w:rsidRPr="0035020E" w:rsidRDefault="00C22138" w:rsidP="00C03E70">
      <w:pPr>
        <w:pStyle w:val="ListParagraph"/>
        <w:numPr>
          <w:ilvl w:val="0"/>
          <w:numId w:val="25"/>
        </w:numPr>
      </w:pPr>
      <w:r w:rsidRPr="0035020E">
        <w:t>fewer teenagers smok</w:t>
      </w:r>
      <w:r w:rsidR="0035020E">
        <w:t>ed</w:t>
      </w:r>
      <w:r w:rsidRPr="0035020E">
        <w:t>, the proportion who had never smoked more than 100 cigarettes significantly increased between</w:t>
      </w:r>
      <w:r w:rsidR="004B7EE6" w:rsidRPr="0035020E">
        <w:t xml:space="preserve"> 2013 and 2016, from 95% to 98%;</w:t>
      </w:r>
    </w:p>
    <w:p w14:paraId="432FA47B" w14:textId="77777777" w:rsidR="00C22138" w:rsidRPr="0035020E" w:rsidRDefault="0035020E" w:rsidP="00C03E70">
      <w:pPr>
        <w:pStyle w:val="ListParagraph"/>
        <w:numPr>
          <w:ilvl w:val="0"/>
          <w:numId w:val="25"/>
        </w:numPr>
      </w:pPr>
      <w:r>
        <w:t>y</w:t>
      </w:r>
      <w:r w:rsidR="00C22138" w:rsidRPr="0035020E">
        <w:t>ounger people delayed the take up of smoking, the average age at which 14 to 24 year olds smoked their first full cigarette increased from 14.2 years in 1995 to 16.3</w:t>
      </w:r>
      <w:r>
        <w:t xml:space="preserve"> years</w:t>
      </w:r>
      <w:r w:rsidR="00C22138" w:rsidRPr="0035020E">
        <w:t xml:space="preserve"> in 2016, significantly inc</w:t>
      </w:r>
      <w:r w:rsidR="004B7EE6" w:rsidRPr="0035020E">
        <w:t>reasing from 15.9 years in 2013;</w:t>
      </w:r>
    </w:p>
    <w:p w14:paraId="15C5E9F0" w14:textId="77777777" w:rsidR="00C22138" w:rsidRPr="0035020E" w:rsidRDefault="0035020E" w:rsidP="00C03E70">
      <w:pPr>
        <w:pStyle w:val="ListParagraph"/>
        <w:numPr>
          <w:ilvl w:val="0"/>
          <w:numId w:val="25"/>
        </w:numPr>
      </w:pPr>
      <w:r>
        <w:t>t</w:t>
      </w:r>
      <w:r w:rsidR="00C22138" w:rsidRPr="0035020E">
        <w:t>he average number of cigarettes smoked per week slightly reduced between 2013 (96</w:t>
      </w:r>
      <w:r w:rsidR="001D64A9">
        <w:t xml:space="preserve"> </w:t>
      </w:r>
      <w:r w:rsidR="00C22138" w:rsidRPr="0035020E">
        <w:t>cigarett</w:t>
      </w:r>
      <w:r w:rsidR="004B7EE6" w:rsidRPr="0035020E">
        <w:t>es) and in 2016 (94 cigarettes);</w:t>
      </w:r>
    </w:p>
    <w:p w14:paraId="64AC5B33" w14:textId="77777777" w:rsidR="00C22138" w:rsidRPr="0035020E" w:rsidRDefault="00C22138" w:rsidP="00C03E70">
      <w:pPr>
        <w:pStyle w:val="ListParagraph"/>
        <w:numPr>
          <w:ilvl w:val="0"/>
          <w:numId w:val="25"/>
        </w:numPr>
      </w:pPr>
      <w:r w:rsidRPr="0035020E">
        <w:t>roll-your-own cigarettes</w:t>
      </w:r>
      <w:r w:rsidR="0035020E">
        <w:t xml:space="preserve"> noticeably increased </w:t>
      </w:r>
      <w:r w:rsidRPr="0035020E">
        <w:t>among smokers aged under 40</w:t>
      </w:r>
      <w:r w:rsidR="0035020E">
        <w:t xml:space="preserve"> years, increasing by</w:t>
      </w:r>
      <w:r w:rsidRPr="0035020E">
        <w:t xml:space="preserve"> 82% for young adults and 70% for smokers in th</w:t>
      </w:r>
      <w:r w:rsidR="004B7EE6" w:rsidRPr="0035020E">
        <w:t>ei</w:t>
      </w:r>
      <w:r w:rsidR="002F51E1">
        <w:t xml:space="preserve">r 30s between 2007 and 2016; </w:t>
      </w:r>
    </w:p>
    <w:p w14:paraId="4333AA83" w14:textId="77777777" w:rsidR="0035020E" w:rsidRDefault="0035020E" w:rsidP="00C03E70">
      <w:pPr>
        <w:pStyle w:val="ListParagraph"/>
        <w:numPr>
          <w:ilvl w:val="0"/>
          <w:numId w:val="25"/>
        </w:numPr>
      </w:pPr>
      <w:r>
        <w:t>between 2013 and 2016, t</w:t>
      </w:r>
      <w:r w:rsidR="00C22138" w:rsidRPr="0035020E">
        <w:t>here was a significant increase in the proportion of smokers in their 30s s</w:t>
      </w:r>
      <w:r>
        <w:t xml:space="preserve">moking roll-your-own cigarettes, </w:t>
      </w:r>
      <w:r w:rsidR="00C22138" w:rsidRPr="0035020E">
        <w:t>from 29% to 37%</w:t>
      </w:r>
      <w:r>
        <w:t>, respectively</w:t>
      </w:r>
      <w:r w:rsidR="002F51E1">
        <w:t>; and</w:t>
      </w:r>
    </w:p>
    <w:p w14:paraId="30214E84" w14:textId="77777777" w:rsidR="005F4787" w:rsidRPr="0035020E" w:rsidRDefault="0035020E" w:rsidP="00C03E70">
      <w:pPr>
        <w:pStyle w:val="ListParagraph"/>
        <w:numPr>
          <w:ilvl w:val="0"/>
          <w:numId w:val="25"/>
        </w:numPr>
      </w:pPr>
      <w:r>
        <w:t>in 2016, y</w:t>
      </w:r>
      <w:r w:rsidR="00C22138" w:rsidRPr="0035020E">
        <w:t>oung adults (50%) were the age group most likely to smoke roll-your-own cigarettes</w:t>
      </w:r>
      <w:r>
        <w:t>,</w:t>
      </w:r>
      <w:r w:rsidR="00C22138" w:rsidRPr="0035020E">
        <w:t xml:space="preserve"> use of roll-your-own cigarettes then declined as age increased.</w:t>
      </w:r>
    </w:p>
    <w:p w14:paraId="08CDD926" w14:textId="77777777" w:rsidR="009A76AC" w:rsidRPr="00DC0706" w:rsidRDefault="00C03E70" w:rsidP="00B80450">
      <w:pPr>
        <w:pStyle w:val="Caption"/>
      </w:pPr>
      <w:r>
        <w:t xml:space="preserve">Table </w:t>
      </w:r>
      <w:r w:rsidR="004A286F">
        <w:rPr>
          <w:noProof/>
        </w:rPr>
        <w:fldChar w:fldCharType="begin"/>
      </w:r>
      <w:r w:rsidR="004A286F">
        <w:rPr>
          <w:noProof/>
        </w:rPr>
        <w:instrText xml:space="preserve"> SEQ Table \* ARABIC </w:instrText>
      </w:r>
      <w:r w:rsidR="004A286F">
        <w:rPr>
          <w:noProof/>
        </w:rPr>
        <w:fldChar w:fldCharType="separate"/>
      </w:r>
      <w:r w:rsidR="003B4506">
        <w:rPr>
          <w:noProof/>
        </w:rPr>
        <w:t>2</w:t>
      </w:r>
      <w:r w:rsidR="004A286F">
        <w:rPr>
          <w:noProof/>
        </w:rPr>
        <w:fldChar w:fldCharType="end"/>
      </w:r>
      <w:r>
        <w:t xml:space="preserve"> </w:t>
      </w:r>
      <w:r w:rsidR="009A76AC" w:rsidRPr="008C78F8">
        <w:t xml:space="preserve">Decrease in Australian </w:t>
      </w:r>
      <w:r w:rsidR="009A76AC">
        <w:t>s</w:t>
      </w:r>
      <w:r w:rsidR="009A76AC" w:rsidRPr="008C78F8">
        <w:t>moking prevalence 199</w:t>
      </w:r>
      <w:r w:rsidR="009A76AC">
        <w:t>3</w:t>
      </w:r>
      <w:r w:rsidR="009A76AC" w:rsidRPr="008C78F8">
        <w:t xml:space="preserve"> to 2013</w:t>
      </w:r>
      <w:r w:rsidR="009A76AC" w:rsidRPr="008C78F8">
        <w:rPr>
          <w:rStyle w:val="EndnoteReference"/>
          <w:rFonts w:ascii="Arial" w:hAnsi="Arial" w:cs="Arial"/>
          <w:color w:val="000000"/>
          <w:sz w:val="22"/>
          <w:szCs w:val="22"/>
        </w:rPr>
        <w:endnoteReference w:id="15"/>
      </w:r>
      <w:r w:rsidR="009A76AC" w:rsidRPr="008C78F8">
        <w:rPr>
          <w:vertAlign w:val="superscript"/>
        </w:rPr>
        <w:t>,</w:t>
      </w:r>
      <w:r w:rsidR="009A76AC" w:rsidRPr="008C78F8">
        <w:rPr>
          <w:rStyle w:val="EndnoteReference"/>
          <w:rFonts w:ascii="Arial" w:hAnsi="Arial" w:cs="Arial"/>
          <w:color w:val="000000"/>
          <w:sz w:val="22"/>
          <w:szCs w:val="22"/>
        </w:rPr>
        <w:endnoteReference w:id="16"/>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Daily smokers aged 14 years or older from 1991 to 2013"/>
      </w:tblPr>
      <w:tblGrid>
        <w:gridCol w:w="1122"/>
        <w:gridCol w:w="956"/>
        <w:gridCol w:w="913"/>
        <w:gridCol w:w="956"/>
        <w:gridCol w:w="956"/>
        <w:gridCol w:w="956"/>
        <w:gridCol w:w="956"/>
        <w:gridCol w:w="956"/>
        <w:gridCol w:w="956"/>
        <w:gridCol w:w="956"/>
      </w:tblGrid>
      <w:tr w:rsidR="009A76AC" w:rsidRPr="00927137" w14:paraId="5A2C0CBD" w14:textId="77777777" w:rsidTr="00E70DF4">
        <w:trPr>
          <w:trHeight w:val="266"/>
        </w:trPr>
        <w:tc>
          <w:tcPr>
            <w:tcW w:w="1122" w:type="dxa"/>
            <w:shd w:val="clear" w:color="auto" w:fill="DBE5F1" w:themeFill="accent1" w:themeFillTint="33"/>
            <w:tcMar>
              <w:top w:w="150" w:type="dxa"/>
              <w:left w:w="150" w:type="dxa"/>
              <w:bottom w:w="150" w:type="dxa"/>
              <w:right w:w="150" w:type="dxa"/>
            </w:tcMar>
            <w:hideMark/>
          </w:tcPr>
          <w:p w14:paraId="5C104D50" w14:textId="3837B622" w:rsidR="009A76AC" w:rsidRPr="008C78F8" w:rsidRDefault="009A76AC" w:rsidP="002A1F6D">
            <w:pPr>
              <w:jc w:val="center"/>
              <w:rPr>
                <w:rFonts w:ascii="Arial" w:hAnsi="Arial" w:cs="Arial"/>
                <w:b/>
                <w:bCs/>
                <w:color w:val="222222"/>
                <w:szCs w:val="20"/>
              </w:rPr>
            </w:pPr>
            <w:r>
              <w:rPr>
                <w:rFonts w:ascii="Arial" w:hAnsi="Arial" w:cs="Arial"/>
                <w:b/>
                <w:bCs/>
                <w:noProof/>
                <w:color w:val="222222"/>
                <w:szCs w:val="20"/>
              </w:rPr>
              <w:t>Year</w:t>
            </w:r>
          </w:p>
        </w:tc>
        <w:tc>
          <w:tcPr>
            <w:tcW w:w="956" w:type="dxa"/>
            <w:shd w:val="clear" w:color="auto" w:fill="DBE5F1" w:themeFill="accent1" w:themeFillTint="33"/>
            <w:tcMar>
              <w:top w:w="150" w:type="dxa"/>
              <w:left w:w="150" w:type="dxa"/>
              <w:bottom w:w="150" w:type="dxa"/>
              <w:right w:w="150" w:type="dxa"/>
            </w:tcMar>
            <w:hideMark/>
          </w:tcPr>
          <w:p w14:paraId="7872CCFA" w14:textId="77777777" w:rsidR="009A76AC" w:rsidRPr="008C78F8" w:rsidRDefault="009A76AC" w:rsidP="002A1F6D">
            <w:pPr>
              <w:jc w:val="center"/>
              <w:rPr>
                <w:rFonts w:ascii="Arial" w:hAnsi="Arial" w:cs="Arial"/>
                <w:b/>
                <w:bCs/>
                <w:color w:val="222222"/>
                <w:szCs w:val="20"/>
              </w:rPr>
            </w:pPr>
            <w:r w:rsidRPr="008C78F8">
              <w:rPr>
                <w:rFonts w:ascii="Arial" w:hAnsi="Arial" w:cs="Arial"/>
                <w:b/>
                <w:bCs/>
                <w:color w:val="222222"/>
                <w:szCs w:val="20"/>
              </w:rPr>
              <w:t>1993</w:t>
            </w:r>
          </w:p>
        </w:tc>
        <w:tc>
          <w:tcPr>
            <w:tcW w:w="913" w:type="dxa"/>
            <w:shd w:val="clear" w:color="auto" w:fill="DBE5F1" w:themeFill="accent1" w:themeFillTint="33"/>
            <w:tcMar>
              <w:top w:w="150" w:type="dxa"/>
              <w:left w:w="150" w:type="dxa"/>
              <w:bottom w:w="150" w:type="dxa"/>
              <w:right w:w="150" w:type="dxa"/>
            </w:tcMar>
            <w:hideMark/>
          </w:tcPr>
          <w:p w14:paraId="672E87A2" w14:textId="77777777" w:rsidR="009A76AC" w:rsidRPr="008C78F8" w:rsidRDefault="009A76AC" w:rsidP="002A1F6D">
            <w:pPr>
              <w:jc w:val="center"/>
              <w:rPr>
                <w:rFonts w:ascii="Arial" w:hAnsi="Arial" w:cs="Arial"/>
                <w:b/>
                <w:bCs/>
                <w:color w:val="222222"/>
                <w:szCs w:val="20"/>
              </w:rPr>
            </w:pPr>
            <w:r w:rsidRPr="008C78F8">
              <w:rPr>
                <w:rFonts w:ascii="Arial" w:hAnsi="Arial" w:cs="Arial"/>
                <w:b/>
                <w:bCs/>
                <w:color w:val="222222"/>
                <w:szCs w:val="20"/>
              </w:rPr>
              <w:t>1995</w:t>
            </w:r>
          </w:p>
        </w:tc>
        <w:tc>
          <w:tcPr>
            <w:tcW w:w="956" w:type="dxa"/>
            <w:shd w:val="clear" w:color="auto" w:fill="DBE5F1" w:themeFill="accent1" w:themeFillTint="33"/>
            <w:tcMar>
              <w:top w:w="150" w:type="dxa"/>
              <w:left w:w="150" w:type="dxa"/>
              <w:bottom w:w="150" w:type="dxa"/>
              <w:right w:w="150" w:type="dxa"/>
            </w:tcMar>
            <w:hideMark/>
          </w:tcPr>
          <w:p w14:paraId="7F163295" w14:textId="77777777" w:rsidR="009A76AC" w:rsidRPr="008C78F8" w:rsidRDefault="009A76AC" w:rsidP="002A1F6D">
            <w:pPr>
              <w:jc w:val="center"/>
              <w:rPr>
                <w:rFonts w:ascii="Arial" w:hAnsi="Arial" w:cs="Arial"/>
                <w:b/>
                <w:bCs/>
                <w:color w:val="222222"/>
                <w:szCs w:val="20"/>
              </w:rPr>
            </w:pPr>
            <w:r w:rsidRPr="008C78F8">
              <w:rPr>
                <w:rFonts w:ascii="Arial" w:hAnsi="Arial" w:cs="Arial"/>
                <w:b/>
                <w:bCs/>
                <w:color w:val="222222"/>
                <w:szCs w:val="20"/>
              </w:rPr>
              <w:t>1998</w:t>
            </w:r>
          </w:p>
        </w:tc>
        <w:tc>
          <w:tcPr>
            <w:tcW w:w="956" w:type="dxa"/>
            <w:shd w:val="clear" w:color="auto" w:fill="DBE5F1" w:themeFill="accent1" w:themeFillTint="33"/>
            <w:tcMar>
              <w:top w:w="150" w:type="dxa"/>
              <w:left w:w="150" w:type="dxa"/>
              <w:bottom w:w="150" w:type="dxa"/>
              <w:right w:w="150" w:type="dxa"/>
            </w:tcMar>
            <w:hideMark/>
          </w:tcPr>
          <w:p w14:paraId="119F6B14" w14:textId="77777777" w:rsidR="009A76AC" w:rsidRPr="008C78F8" w:rsidRDefault="009A76AC" w:rsidP="002A1F6D">
            <w:pPr>
              <w:jc w:val="center"/>
              <w:rPr>
                <w:rFonts w:ascii="Arial" w:hAnsi="Arial" w:cs="Arial"/>
                <w:b/>
                <w:bCs/>
                <w:color w:val="222222"/>
                <w:szCs w:val="20"/>
              </w:rPr>
            </w:pPr>
            <w:r w:rsidRPr="008C78F8">
              <w:rPr>
                <w:rFonts w:ascii="Arial" w:hAnsi="Arial" w:cs="Arial"/>
                <w:b/>
                <w:bCs/>
                <w:color w:val="222222"/>
                <w:szCs w:val="20"/>
              </w:rPr>
              <w:t>2001</w:t>
            </w:r>
          </w:p>
        </w:tc>
        <w:tc>
          <w:tcPr>
            <w:tcW w:w="956" w:type="dxa"/>
            <w:shd w:val="clear" w:color="auto" w:fill="DBE5F1" w:themeFill="accent1" w:themeFillTint="33"/>
            <w:tcMar>
              <w:top w:w="150" w:type="dxa"/>
              <w:left w:w="150" w:type="dxa"/>
              <w:bottom w:w="150" w:type="dxa"/>
              <w:right w:w="150" w:type="dxa"/>
            </w:tcMar>
            <w:hideMark/>
          </w:tcPr>
          <w:p w14:paraId="2BDB95F0" w14:textId="77777777" w:rsidR="009A76AC" w:rsidRPr="008C78F8" w:rsidRDefault="009A76AC" w:rsidP="002A1F6D">
            <w:pPr>
              <w:jc w:val="center"/>
              <w:rPr>
                <w:rFonts w:ascii="Arial" w:hAnsi="Arial" w:cs="Arial"/>
                <w:b/>
                <w:bCs/>
                <w:color w:val="222222"/>
                <w:szCs w:val="20"/>
              </w:rPr>
            </w:pPr>
            <w:r w:rsidRPr="008C78F8">
              <w:rPr>
                <w:rFonts w:ascii="Arial" w:hAnsi="Arial" w:cs="Arial"/>
                <w:b/>
                <w:bCs/>
                <w:color w:val="222222"/>
                <w:szCs w:val="20"/>
              </w:rPr>
              <w:t>2004</w:t>
            </w:r>
          </w:p>
        </w:tc>
        <w:tc>
          <w:tcPr>
            <w:tcW w:w="956" w:type="dxa"/>
            <w:shd w:val="clear" w:color="auto" w:fill="DBE5F1" w:themeFill="accent1" w:themeFillTint="33"/>
            <w:tcMar>
              <w:top w:w="150" w:type="dxa"/>
              <w:left w:w="150" w:type="dxa"/>
              <w:bottom w:w="150" w:type="dxa"/>
              <w:right w:w="150" w:type="dxa"/>
            </w:tcMar>
            <w:hideMark/>
          </w:tcPr>
          <w:p w14:paraId="2213F075" w14:textId="77777777" w:rsidR="009A76AC" w:rsidRPr="008C78F8" w:rsidRDefault="009A76AC" w:rsidP="002A1F6D">
            <w:pPr>
              <w:jc w:val="center"/>
              <w:rPr>
                <w:rFonts w:ascii="Arial" w:hAnsi="Arial" w:cs="Arial"/>
                <w:b/>
                <w:bCs/>
                <w:color w:val="222222"/>
                <w:szCs w:val="20"/>
              </w:rPr>
            </w:pPr>
            <w:r w:rsidRPr="008C78F8">
              <w:rPr>
                <w:rFonts w:ascii="Arial" w:hAnsi="Arial" w:cs="Arial"/>
                <w:b/>
                <w:bCs/>
                <w:color w:val="222222"/>
                <w:szCs w:val="20"/>
              </w:rPr>
              <w:t>2007</w:t>
            </w:r>
          </w:p>
        </w:tc>
        <w:tc>
          <w:tcPr>
            <w:tcW w:w="956" w:type="dxa"/>
            <w:shd w:val="clear" w:color="auto" w:fill="DBE5F1" w:themeFill="accent1" w:themeFillTint="33"/>
            <w:tcMar>
              <w:top w:w="150" w:type="dxa"/>
              <w:left w:w="150" w:type="dxa"/>
              <w:bottom w:w="150" w:type="dxa"/>
              <w:right w:w="150" w:type="dxa"/>
            </w:tcMar>
            <w:hideMark/>
          </w:tcPr>
          <w:p w14:paraId="71FC6AEE" w14:textId="77777777" w:rsidR="009A76AC" w:rsidRPr="008C78F8" w:rsidRDefault="009A76AC" w:rsidP="002A1F6D">
            <w:pPr>
              <w:jc w:val="center"/>
              <w:rPr>
                <w:rFonts w:ascii="Arial" w:hAnsi="Arial" w:cs="Arial"/>
                <w:b/>
                <w:bCs/>
                <w:color w:val="222222"/>
                <w:szCs w:val="20"/>
              </w:rPr>
            </w:pPr>
            <w:r w:rsidRPr="008C78F8">
              <w:rPr>
                <w:rFonts w:ascii="Arial" w:hAnsi="Arial" w:cs="Arial"/>
                <w:b/>
                <w:bCs/>
                <w:color w:val="222222"/>
                <w:szCs w:val="20"/>
              </w:rPr>
              <w:t>2010</w:t>
            </w:r>
          </w:p>
        </w:tc>
        <w:tc>
          <w:tcPr>
            <w:tcW w:w="956" w:type="dxa"/>
            <w:shd w:val="clear" w:color="auto" w:fill="DBE5F1" w:themeFill="accent1" w:themeFillTint="33"/>
            <w:tcMar>
              <w:top w:w="150" w:type="dxa"/>
              <w:left w:w="150" w:type="dxa"/>
              <w:bottom w:w="150" w:type="dxa"/>
              <w:right w:w="150" w:type="dxa"/>
            </w:tcMar>
            <w:hideMark/>
          </w:tcPr>
          <w:p w14:paraId="7B9F0FAA" w14:textId="77777777" w:rsidR="009A76AC" w:rsidRPr="008C78F8" w:rsidRDefault="009A76AC" w:rsidP="002A1F6D">
            <w:pPr>
              <w:jc w:val="center"/>
              <w:rPr>
                <w:rFonts w:ascii="Arial" w:hAnsi="Arial" w:cs="Arial"/>
                <w:b/>
                <w:bCs/>
                <w:color w:val="222222"/>
                <w:szCs w:val="20"/>
              </w:rPr>
            </w:pPr>
            <w:r w:rsidRPr="008C78F8">
              <w:rPr>
                <w:rFonts w:ascii="Arial" w:hAnsi="Arial" w:cs="Arial"/>
                <w:b/>
                <w:bCs/>
                <w:color w:val="222222"/>
                <w:szCs w:val="20"/>
              </w:rPr>
              <w:t>2013</w:t>
            </w:r>
          </w:p>
        </w:tc>
        <w:tc>
          <w:tcPr>
            <w:tcW w:w="956" w:type="dxa"/>
            <w:shd w:val="clear" w:color="auto" w:fill="DBE5F1" w:themeFill="accent1" w:themeFillTint="33"/>
          </w:tcPr>
          <w:p w14:paraId="2028D97B" w14:textId="77777777" w:rsidR="009A76AC" w:rsidRPr="008C78F8" w:rsidRDefault="009A76AC" w:rsidP="002A1F6D">
            <w:pPr>
              <w:jc w:val="center"/>
              <w:rPr>
                <w:rFonts w:ascii="Arial" w:hAnsi="Arial" w:cs="Arial"/>
                <w:b/>
                <w:bCs/>
                <w:color w:val="222222"/>
                <w:szCs w:val="20"/>
              </w:rPr>
            </w:pPr>
            <w:r>
              <w:rPr>
                <w:rFonts w:ascii="Arial" w:hAnsi="Arial" w:cs="Arial"/>
                <w:b/>
                <w:bCs/>
                <w:color w:val="222222"/>
                <w:szCs w:val="20"/>
              </w:rPr>
              <w:t>2016</w:t>
            </w:r>
          </w:p>
        </w:tc>
      </w:tr>
      <w:tr w:rsidR="009A76AC" w:rsidRPr="00927137" w14:paraId="3C215A05" w14:textId="77777777" w:rsidTr="00E70DF4">
        <w:trPr>
          <w:trHeight w:val="260"/>
        </w:trPr>
        <w:tc>
          <w:tcPr>
            <w:tcW w:w="1122" w:type="dxa"/>
            <w:shd w:val="clear" w:color="auto" w:fill="DBE5F1" w:themeFill="accent1" w:themeFillTint="33"/>
            <w:tcMar>
              <w:top w:w="150" w:type="dxa"/>
              <w:left w:w="150" w:type="dxa"/>
              <w:bottom w:w="150" w:type="dxa"/>
              <w:right w:w="150" w:type="dxa"/>
            </w:tcMar>
            <w:hideMark/>
          </w:tcPr>
          <w:p w14:paraId="66F18C52" w14:textId="77777777" w:rsidR="009A76AC" w:rsidRPr="008C78F8" w:rsidRDefault="009A76AC" w:rsidP="002A1F6D">
            <w:pPr>
              <w:jc w:val="center"/>
              <w:rPr>
                <w:rFonts w:ascii="Arial" w:hAnsi="Arial" w:cs="Arial"/>
                <w:b/>
                <w:bCs/>
                <w:color w:val="222222"/>
                <w:szCs w:val="20"/>
              </w:rPr>
            </w:pPr>
            <w:r w:rsidRPr="008C78F8">
              <w:rPr>
                <w:rFonts w:ascii="Arial" w:hAnsi="Arial" w:cs="Arial"/>
                <w:b/>
                <w:bCs/>
                <w:color w:val="222222"/>
                <w:szCs w:val="20"/>
              </w:rPr>
              <w:t>14+ yrs</w:t>
            </w:r>
          </w:p>
        </w:tc>
        <w:tc>
          <w:tcPr>
            <w:tcW w:w="956" w:type="dxa"/>
            <w:shd w:val="clear" w:color="auto" w:fill="auto"/>
            <w:tcMar>
              <w:top w:w="150" w:type="dxa"/>
              <w:left w:w="150" w:type="dxa"/>
              <w:bottom w:w="150" w:type="dxa"/>
              <w:right w:w="150" w:type="dxa"/>
            </w:tcMar>
            <w:hideMark/>
          </w:tcPr>
          <w:p w14:paraId="5BA10193" w14:textId="77777777" w:rsidR="009A76AC" w:rsidRPr="008C78F8" w:rsidRDefault="009A76AC" w:rsidP="002A1F6D">
            <w:pPr>
              <w:jc w:val="center"/>
              <w:rPr>
                <w:rFonts w:ascii="Arial" w:hAnsi="Arial" w:cs="Arial"/>
                <w:color w:val="222222"/>
                <w:szCs w:val="20"/>
              </w:rPr>
            </w:pPr>
            <w:r w:rsidRPr="008C78F8">
              <w:rPr>
                <w:rFonts w:ascii="Arial" w:hAnsi="Arial" w:cs="Arial"/>
                <w:color w:val="222222"/>
                <w:szCs w:val="20"/>
              </w:rPr>
              <w:t>25.0</w:t>
            </w:r>
          </w:p>
        </w:tc>
        <w:tc>
          <w:tcPr>
            <w:tcW w:w="913" w:type="dxa"/>
            <w:shd w:val="clear" w:color="auto" w:fill="auto"/>
            <w:tcMar>
              <w:top w:w="150" w:type="dxa"/>
              <w:left w:w="150" w:type="dxa"/>
              <w:bottom w:w="150" w:type="dxa"/>
              <w:right w:w="150" w:type="dxa"/>
            </w:tcMar>
            <w:hideMark/>
          </w:tcPr>
          <w:p w14:paraId="4AC651CC" w14:textId="77777777" w:rsidR="009A76AC" w:rsidRPr="008C78F8" w:rsidRDefault="009A76AC" w:rsidP="002A1F6D">
            <w:pPr>
              <w:jc w:val="center"/>
              <w:rPr>
                <w:rFonts w:ascii="Arial" w:hAnsi="Arial" w:cs="Arial"/>
                <w:color w:val="222222"/>
                <w:szCs w:val="20"/>
              </w:rPr>
            </w:pPr>
            <w:r w:rsidRPr="008C78F8">
              <w:rPr>
                <w:rFonts w:ascii="Arial" w:hAnsi="Arial" w:cs="Arial"/>
                <w:color w:val="222222"/>
                <w:szCs w:val="20"/>
              </w:rPr>
              <w:t>23.8</w:t>
            </w:r>
          </w:p>
        </w:tc>
        <w:tc>
          <w:tcPr>
            <w:tcW w:w="956" w:type="dxa"/>
            <w:shd w:val="clear" w:color="auto" w:fill="auto"/>
            <w:tcMar>
              <w:top w:w="150" w:type="dxa"/>
              <w:left w:w="150" w:type="dxa"/>
              <w:bottom w:w="150" w:type="dxa"/>
              <w:right w:w="150" w:type="dxa"/>
            </w:tcMar>
            <w:hideMark/>
          </w:tcPr>
          <w:p w14:paraId="353CE071" w14:textId="77777777" w:rsidR="009A76AC" w:rsidRPr="008C78F8" w:rsidRDefault="009A76AC" w:rsidP="002A1F6D">
            <w:pPr>
              <w:jc w:val="center"/>
              <w:rPr>
                <w:rFonts w:ascii="Arial" w:hAnsi="Arial" w:cs="Arial"/>
                <w:color w:val="222222"/>
                <w:szCs w:val="20"/>
              </w:rPr>
            </w:pPr>
            <w:r w:rsidRPr="008C78F8">
              <w:rPr>
                <w:rFonts w:ascii="Arial" w:hAnsi="Arial" w:cs="Arial"/>
                <w:color w:val="222222"/>
                <w:szCs w:val="20"/>
              </w:rPr>
              <w:t>21.8</w:t>
            </w:r>
          </w:p>
        </w:tc>
        <w:tc>
          <w:tcPr>
            <w:tcW w:w="956" w:type="dxa"/>
            <w:shd w:val="clear" w:color="auto" w:fill="auto"/>
            <w:tcMar>
              <w:top w:w="150" w:type="dxa"/>
              <w:left w:w="150" w:type="dxa"/>
              <w:bottom w:w="150" w:type="dxa"/>
              <w:right w:w="150" w:type="dxa"/>
            </w:tcMar>
            <w:hideMark/>
          </w:tcPr>
          <w:p w14:paraId="7B7B2703" w14:textId="77777777" w:rsidR="009A76AC" w:rsidRPr="008C78F8" w:rsidRDefault="009A76AC" w:rsidP="002A1F6D">
            <w:pPr>
              <w:jc w:val="center"/>
              <w:rPr>
                <w:rFonts w:ascii="Arial" w:hAnsi="Arial" w:cs="Arial"/>
                <w:color w:val="222222"/>
                <w:szCs w:val="20"/>
              </w:rPr>
            </w:pPr>
            <w:r w:rsidRPr="008C78F8">
              <w:rPr>
                <w:rFonts w:ascii="Arial" w:hAnsi="Arial" w:cs="Arial"/>
                <w:color w:val="222222"/>
                <w:szCs w:val="20"/>
              </w:rPr>
              <w:t>19.4</w:t>
            </w:r>
          </w:p>
        </w:tc>
        <w:tc>
          <w:tcPr>
            <w:tcW w:w="956" w:type="dxa"/>
            <w:shd w:val="clear" w:color="auto" w:fill="auto"/>
            <w:tcMar>
              <w:top w:w="150" w:type="dxa"/>
              <w:left w:w="150" w:type="dxa"/>
              <w:bottom w:w="150" w:type="dxa"/>
              <w:right w:w="150" w:type="dxa"/>
            </w:tcMar>
            <w:hideMark/>
          </w:tcPr>
          <w:p w14:paraId="3E94A7BC" w14:textId="77777777" w:rsidR="009A76AC" w:rsidRPr="008C78F8" w:rsidRDefault="009A76AC" w:rsidP="002A1F6D">
            <w:pPr>
              <w:jc w:val="center"/>
              <w:rPr>
                <w:rFonts w:ascii="Arial" w:hAnsi="Arial" w:cs="Arial"/>
                <w:color w:val="222222"/>
                <w:szCs w:val="20"/>
              </w:rPr>
            </w:pPr>
            <w:r w:rsidRPr="008C78F8">
              <w:rPr>
                <w:rFonts w:ascii="Arial" w:hAnsi="Arial" w:cs="Arial"/>
                <w:color w:val="222222"/>
                <w:szCs w:val="20"/>
              </w:rPr>
              <w:t>17.5</w:t>
            </w:r>
          </w:p>
        </w:tc>
        <w:tc>
          <w:tcPr>
            <w:tcW w:w="956" w:type="dxa"/>
            <w:shd w:val="clear" w:color="auto" w:fill="auto"/>
            <w:tcMar>
              <w:top w:w="150" w:type="dxa"/>
              <w:left w:w="150" w:type="dxa"/>
              <w:bottom w:w="150" w:type="dxa"/>
              <w:right w:w="150" w:type="dxa"/>
            </w:tcMar>
            <w:hideMark/>
          </w:tcPr>
          <w:p w14:paraId="67F3A4B2" w14:textId="77777777" w:rsidR="009A76AC" w:rsidRPr="008C78F8" w:rsidRDefault="009A76AC" w:rsidP="002A1F6D">
            <w:pPr>
              <w:jc w:val="center"/>
              <w:rPr>
                <w:rFonts w:ascii="Arial" w:hAnsi="Arial" w:cs="Arial"/>
                <w:color w:val="222222"/>
                <w:szCs w:val="20"/>
              </w:rPr>
            </w:pPr>
            <w:r w:rsidRPr="008C78F8">
              <w:rPr>
                <w:rFonts w:ascii="Arial" w:hAnsi="Arial" w:cs="Arial"/>
                <w:color w:val="222222"/>
                <w:szCs w:val="20"/>
              </w:rPr>
              <w:t>16.6</w:t>
            </w:r>
          </w:p>
        </w:tc>
        <w:tc>
          <w:tcPr>
            <w:tcW w:w="956" w:type="dxa"/>
            <w:shd w:val="clear" w:color="auto" w:fill="auto"/>
            <w:tcMar>
              <w:top w:w="150" w:type="dxa"/>
              <w:left w:w="150" w:type="dxa"/>
              <w:bottom w:w="150" w:type="dxa"/>
              <w:right w:w="150" w:type="dxa"/>
            </w:tcMar>
            <w:hideMark/>
          </w:tcPr>
          <w:p w14:paraId="090232DC" w14:textId="77777777" w:rsidR="009A76AC" w:rsidRPr="008C78F8" w:rsidRDefault="009A76AC" w:rsidP="002A1F6D">
            <w:pPr>
              <w:jc w:val="center"/>
              <w:rPr>
                <w:rFonts w:ascii="Arial" w:hAnsi="Arial" w:cs="Arial"/>
                <w:color w:val="222222"/>
                <w:szCs w:val="20"/>
              </w:rPr>
            </w:pPr>
            <w:r w:rsidRPr="008C78F8">
              <w:rPr>
                <w:rFonts w:ascii="Arial" w:hAnsi="Arial" w:cs="Arial"/>
                <w:color w:val="222222"/>
                <w:szCs w:val="20"/>
              </w:rPr>
              <w:t>15.1</w:t>
            </w:r>
          </w:p>
        </w:tc>
        <w:tc>
          <w:tcPr>
            <w:tcW w:w="956" w:type="dxa"/>
            <w:shd w:val="clear" w:color="auto" w:fill="auto"/>
            <w:tcMar>
              <w:top w:w="150" w:type="dxa"/>
              <w:left w:w="150" w:type="dxa"/>
              <w:bottom w:w="150" w:type="dxa"/>
              <w:right w:w="150" w:type="dxa"/>
            </w:tcMar>
            <w:hideMark/>
          </w:tcPr>
          <w:p w14:paraId="3465CE81" w14:textId="77777777" w:rsidR="009A76AC" w:rsidRPr="008C78F8" w:rsidRDefault="009A76AC" w:rsidP="002A1F6D">
            <w:pPr>
              <w:jc w:val="center"/>
              <w:rPr>
                <w:rFonts w:ascii="Arial" w:hAnsi="Arial" w:cs="Arial"/>
                <w:color w:val="222222"/>
                <w:szCs w:val="20"/>
              </w:rPr>
            </w:pPr>
            <w:r w:rsidRPr="008C78F8">
              <w:rPr>
                <w:rFonts w:ascii="Arial" w:hAnsi="Arial" w:cs="Arial"/>
                <w:color w:val="222222"/>
                <w:szCs w:val="20"/>
              </w:rPr>
              <w:t>12.8</w:t>
            </w:r>
            <w:r w:rsidRPr="008C78F8">
              <w:rPr>
                <w:rFonts w:ascii="Arial" w:hAnsi="Arial" w:cs="Arial"/>
                <w:color w:val="222222"/>
                <w:szCs w:val="20"/>
                <w:bdr w:val="none" w:sz="0" w:space="0" w:color="auto" w:frame="1"/>
                <w:vertAlign w:val="superscript"/>
              </w:rPr>
              <w:t>#</w:t>
            </w:r>
          </w:p>
        </w:tc>
        <w:tc>
          <w:tcPr>
            <w:tcW w:w="956" w:type="dxa"/>
          </w:tcPr>
          <w:p w14:paraId="40B007A0" w14:textId="77777777" w:rsidR="009A76AC" w:rsidRPr="008C78F8" w:rsidRDefault="009A76AC" w:rsidP="002A1F6D">
            <w:pPr>
              <w:jc w:val="center"/>
              <w:rPr>
                <w:rFonts w:ascii="Arial" w:hAnsi="Arial" w:cs="Arial"/>
                <w:color w:val="222222"/>
                <w:szCs w:val="20"/>
              </w:rPr>
            </w:pPr>
            <w:r>
              <w:rPr>
                <w:rFonts w:ascii="Arial" w:hAnsi="Arial" w:cs="Arial"/>
                <w:color w:val="222222"/>
                <w:szCs w:val="20"/>
              </w:rPr>
              <w:t>12.2</w:t>
            </w:r>
          </w:p>
        </w:tc>
      </w:tr>
      <w:tr w:rsidR="009A76AC" w:rsidRPr="00927137" w14:paraId="42933AEB" w14:textId="77777777" w:rsidTr="00E70DF4">
        <w:trPr>
          <w:trHeight w:val="288"/>
        </w:trPr>
        <w:tc>
          <w:tcPr>
            <w:tcW w:w="1122" w:type="dxa"/>
            <w:shd w:val="clear" w:color="auto" w:fill="DBE5F1" w:themeFill="accent1" w:themeFillTint="33"/>
            <w:tcMar>
              <w:top w:w="150" w:type="dxa"/>
              <w:left w:w="150" w:type="dxa"/>
              <w:bottom w:w="150" w:type="dxa"/>
              <w:right w:w="150" w:type="dxa"/>
            </w:tcMar>
            <w:hideMark/>
          </w:tcPr>
          <w:p w14:paraId="668743F0" w14:textId="77777777" w:rsidR="009A76AC" w:rsidRPr="008C78F8" w:rsidRDefault="009A76AC" w:rsidP="002A1F6D">
            <w:pPr>
              <w:jc w:val="center"/>
              <w:rPr>
                <w:rFonts w:ascii="Arial" w:hAnsi="Arial" w:cs="Arial"/>
                <w:b/>
                <w:bCs/>
                <w:color w:val="222222"/>
                <w:szCs w:val="20"/>
              </w:rPr>
            </w:pPr>
            <w:r w:rsidRPr="008C78F8">
              <w:rPr>
                <w:rFonts w:ascii="Arial" w:hAnsi="Arial" w:cs="Arial"/>
                <w:b/>
                <w:bCs/>
                <w:color w:val="222222"/>
                <w:szCs w:val="20"/>
              </w:rPr>
              <w:t>18+ yrs</w:t>
            </w:r>
          </w:p>
        </w:tc>
        <w:tc>
          <w:tcPr>
            <w:tcW w:w="956" w:type="dxa"/>
            <w:shd w:val="clear" w:color="auto" w:fill="auto"/>
            <w:tcMar>
              <w:top w:w="150" w:type="dxa"/>
              <w:left w:w="150" w:type="dxa"/>
              <w:bottom w:w="150" w:type="dxa"/>
              <w:right w:w="150" w:type="dxa"/>
            </w:tcMar>
            <w:hideMark/>
          </w:tcPr>
          <w:p w14:paraId="6E462B05" w14:textId="77777777" w:rsidR="009A76AC" w:rsidRPr="008C78F8" w:rsidRDefault="009A76AC" w:rsidP="002A1F6D">
            <w:pPr>
              <w:jc w:val="center"/>
              <w:rPr>
                <w:rFonts w:ascii="Arial" w:hAnsi="Arial" w:cs="Arial"/>
                <w:color w:val="222222"/>
                <w:szCs w:val="20"/>
              </w:rPr>
            </w:pPr>
            <w:r w:rsidRPr="008C78F8">
              <w:rPr>
                <w:rFonts w:ascii="Arial" w:hAnsi="Arial" w:cs="Arial"/>
                <w:color w:val="222222"/>
                <w:szCs w:val="20"/>
              </w:rPr>
              <w:t>26.1*</w:t>
            </w:r>
          </w:p>
        </w:tc>
        <w:tc>
          <w:tcPr>
            <w:tcW w:w="913" w:type="dxa"/>
            <w:shd w:val="clear" w:color="auto" w:fill="auto"/>
            <w:tcMar>
              <w:top w:w="150" w:type="dxa"/>
              <w:left w:w="150" w:type="dxa"/>
              <w:bottom w:w="150" w:type="dxa"/>
              <w:right w:w="150" w:type="dxa"/>
            </w:tcMar>
            <w:hideMark/>
          </w:tcPr>
          <w:p w14:paraId="14ED610B" w14:textId="77777777" w:rsidR="009A76AC" w:rsidRPr="008C78F8" w:rsidRDefault="009A76AC" w:rsidP="002A1F6D">
            <w:pPr>
              <w:jc w:val="center"/>
              <w:rPr>
                <w:rFonts w:ascii="Arial" w:hAnsi="Arial" w:cs="Arial"/>
                <w:color w:val="222222"/>
                <w:szCs w:val="20"/>
              </w:rPr>
            </w:pPr>
            <w:r w:rsidRPr="008C78F8">
              <w:rPr>
                <w:rFonts w:ascii="Arial" w:hAnsi="Arial" w:cs="Arial"/>
                <w:color w:val="222222"/>
                <w:szCs w:val="20"/>
              </w:rPr>
              <w:t>25.0</w:t>
            </w:r>
          </w:p>
        </w:tc>
        <w:tc>
          <w:tcPr>
            <w:tcW w:w="956" w:type="dxa"/>
            <w:shd w:val="clear" w:color="auto" w:fill="auto"/>
            <w:tcMar>
              <w:top w:w="150" w:type="dxa"/>
              <w:left w:w="150" w:type="dxa"/>
              <w:bottom w:w="150" w:type="dxa"/>
              <w:right w:w="150" w:type="dxa"/>
            </w:tcMar>
            <w:hideMark/>
          </w:tcPr>
          <w:p w14:paraId="71B0B125" w14:textId="77777777" w:rsidR="009A76AC" w:rsidRPr="008C78F8" w:rsidRDefault="009A76AC" w:rsidP="002A1F6D">
            <w:pPr>
              <w:jc w:val="center"/>
              <w:rPr>
                <w:rFonts w:ascii="Arial" w:hAnsi="Arial" w:cs="Arial"/>
                <w:color w:val="222222"/>
                <w:szCs w:val="20"/>
              </w:rPr>
            </w:pPr>
            <w:r w:rsidRPr="008C78F8">
              <w:rPr>
                <w:rFonts w:ascii="Arial" w:hAnsi="Arial" w:cs="Arial"/>
                <w:color w:val="222222"/>
                <w:szCs w:val="20"/>
              </w:rPr>
              <w:t>22.7</w:t>
            </w:r>
          </w:p>
        </w:tc>
        <w:tc>
          <w:tcPr>
            <w:tcW w:w="956" w:type="dxa"/>
            <w:shd w:val="clear" w:color="auto" w:fill="auto"/>
            <w:tcMar>
              <w:top w:w="150" w:type="dxa"/>
              <w:left w:w="150" w:type="dxa"/>
              <w:bottom w:w="150" w:type="dxa"/>
              <w:right w:w="150" w:type="dxa"/>
            </w:tcMar>
            <w:hideMark/>
          </w:tcPr>
          <w:p w14:paraId="2288C397" w14:textId="77777777" w:rsidR="009A76AC" w:rsidRPr="008C78F8" w:rsidRDefault="009A76AC" w:rsidP="002A1F6D">
            <w:pPr>
              <w:jc w:val="center"/>
              <w:rPr>
                <w:rFonts w:ascii="Arial" w:hAnsi="Arial" w:cs="Arial"/>
                <w:color w:val="222222"/>
                <w:szCs w:val="20"/>
              </w:rPr>
            </w:pPr>
            <w:r w:rsidRPr="008C78F8">
              <w:rPr>
                <w:rFonts w:ascii="Arial" w:hAnsi="Arial" w:cs="Arial"/>
                <w:color w:val="222222"/>
                <w:szCs w:val="20"/>
              </w:rPr>
              <w:t>20.0</w:t>
            </w:r>
          </w:p>
        </w:tc>
        <w:tc>
          <w:tcPr>
            <w:tcW w:w="956" w:type="dxa"/>
            <w:shd w:val="clear" w:color="auto" w:fill="auto"/>
            <w:tcMar>
              <w:top w:w="150" w:type="dxa"/>
              <w:left w:w="150" w:type="dxa"/>
              <w:bottom w:w="150" w:type="dxa"/>
              <w:right w:w="150" w:type="dxa"/>
            </w:tcMar>
            <w:hideMark/>
          </w:tcPr>
          <w:p w14:paraId="73C4481A" w14:textId="77777777" w:rsidR="009A76AC" w:rsidRPr="008C78F8" w:rsidRDefault="009A76AC" w:rsidP="002A1F6D">
            <w:pPr>
              <w:jc w:val="center"/>
              <w:rPr>
                <w:rFonts w:ascii="Arial" w:hAnsi="Arial" w:cs="Arial"/>
                <w:color w:val="222222"/>
                <w:szCs w:val="20"/>
              </w:rPr>
            </w:pPr>
            <w:r w:rsidRPr="008C78F8">
              <w:rPr>
                <w:rFonts w:ascii="Arial" w:hAnsi="Arial" w:cs="Arial"/>
                <w:color w:val="222222"/>
                <w:szCs w:val="20"/>
              </w:rPr>
              <w:t>18.2</w:t>
            </w:r>
          </w:p>
        </w:tc>
        <w:tc>
          <w:tcPr>
            <w:tcW w:w="956" w:type="dxa"/>
            <w:shd w:val="clear" w:color="auto" w:fill="auto"/>
            <w:tcMar>
              <w:top w:w="150" w:type="dxa"/>
              <w:left w:w="150" w:type="dxa"/>
              <w:bottom w:w="150" w:type="dxa"/>
              <w:right w:w="150" w:type="dxa"/>
            </w:tcMar>
            <w:hideMark/>
          </w:tcPr>
          <w:p w14:paraId="4C0EFBE4" w14:textId="77777777" w:rsidR="009A76AC" w:rsidRPr="008C78F8" w:rsidRDefault="009A76AC" w:rsidP="002A1F6D">
            <w:pPr>
              <w:jc w:val="center"/>
              <w:rPr>
                <w:rFonts w:ascii="Arial" w:hAnsi="Arial" w:cs="Arial"/>
                <w:color w:val="222222"/>
                <w:szCs w:val="20"/>
              </w:rPr>
            </w:pPr>
            <w:r w:rsidRPr="008C78F8">
              <w:rPr>
                <w:rFonts w:ascii="Arial" w:hAnsi="Arial" w:cs="Arial"/>
                <w:color w:val="222222"/>
                <w:szCs w:val="20"/>
              </w:rPr>
              <w:t>17.5</w:t>
            </w:r>
          </w:p>
        </w:tc>
        <w:tc>
          <w:tcPr>
            <w:tcW w:w="956" w:type="dxa"/>
            <w:shd w:val="clear" w:color="auto" w:fill="auto"/>
            <w:tcMar>
              <w:top w:w="150" w:type="dxa"/>
              <w:left w:w="150" w:type="dxa"/>
              <w:bottom w:w="150" w:type="dxa"/>
              <w:right w:w="150" w:type="dxa"/>
            </w:tcMar>
            <w:hideMark/>
          </w:tcPr>
          <w:p w14:paraId="75E229C6" w14:textId="77777777" w:rsidR="009A76AC" w:rsidRPr="008C78F8" w:rsidRDefault="009A76AC" w:rsidP="002A1F6D">
            <w:pPr>
              <w:jc w:val="center"/>
              <w:rPr>
                <w:rFonts w:ascii="Arial" w:hAnsi="Arial" w:cs="Arial"/>
                <w:color w:val="222222"/>
                <w:szCs w:val="20"/>
              </w:rPr>
            </w:pPr>
            <w:r w:rsidRPr="008C78F8">
              <w:rPr>
                <w:rFonts w:ascii="Arial" w:hAnsi="Arial" w:cs="Arial"/>
                <w:color w:val="222222"/>
                <w:szCs w:val="20"/>
              </w:rPr>
              <w:t>15.9</w:t>
            </w:r>
          </w:p>
        </w:tc>
        <w:tc>
          <w:tcPr>
            <w:tcW w:w="956" w:type="dxa"/>
            <w:shd w:val="clear" w:color="auto" w:fill="auto"/>
            <w:tcMar>
              <w:top w:w="150" w:type="dxa"/>
              <w:left w:w="150" w:type="dxa"/>
              <w:bottom w:w="150" w:type="dxa"/>
              <w:right w:w="150" w:type="dxa"/>
            </w:tcMar>
            <w:hideMark/>
          </w:tcPr>
          <w:p w14:paraId="006989DE" w14:textId="77777777" w:rsidR="009A76AC" w:rsidRPr="008C78F8" w:rsidRDefault="009A76AC" w:rsidP="002A1F6D">
            <w:pPr>
              <w:jc w:val="center"/>
              <w:rPr>
                <w:rFonts w:ascii="Arial" w:hAnsi="Arial" w:cs="Arial"/>
                <w:color w:val="222222"/>
                <w:szCs w:val="20"/>
              </w:rPr>
            </w:pPr>
            <w:r w:rsidRPr="008C78F8">
              <w:rPr>
                <w:rFonts w:ascii="Arial" w:hAnsi="Arial" w:cs="Arial"/>
                <w:color w:val="222222"/>
                <w:szCs w:val="20"/>
              </w:rPr>
              <w:t>13.3</w:t>
            </w:r>
            <w:r w:rsidRPr="008C78F8">
              <w:rPr>
                <w:rFonts w:ascii="Arial" w:hAnsi="Arial" w:cs="Arial"/>
                <w:color w:val="222222"/>
                <w:szCs w:val="20"/>
                <w:bdr w:val="none" w:sz="0" w:space="0" w:color="auto" w:frame="1"/>
                <w:vertAlign w:val="superscript"/>
              </w:rPr>
              <w:t>#</w:t>
            </w:r>
          </w:p>
        </w:tc>
        <w:tc>
          <w:tcPr>
            <w:tcW w:w="956" w:type="dxa"/>
          </w:tcPr>
          <w:p w14:paraId="6BDAC3B7" w14:textId="77777777" w:rsidR="009A76AC" w:rsidRPr="008C78F8" w:rsidRDefault="009A76AC" w:rsidP="002A1F6D">
            <w:pPr>
              <w:jc w:val="center"/>
              <w:rPr>
                <w:rFonts w:ascii="Arial" w:hAnsi="Arial" w:cs="Arial"/>
                <w:color w:val="222222"/>
                <w:szCs w:val="20"/>
              </w:rPr>
            </w:pPr>
            <w:r>
              <w:rPr>
                <w:rFonts w:ascii="Arial" w:hAnsi="Arial" w:cs="Arial"/>
                <w:color w:val="222222"/>
                <w:szCs w:val="20"/>
              </w:rPr>
              <w:t>12.8</w:t>
            </w:r>
          </w:p>
        </w:tc>
      </w:tr>
    </w:tbl>
    <w:p w14:paraId="32A36848" w14:textId="77777777" w:rsidR="00027D69" w:rsidRPr="00DB6D5B" w:rsidRDefault="009A76AC" w:rsidP="00DB6D5B">
      <w:pPr>
        <w:shd w:val="clear" w:color="auto" w:fill="FFFFFF"/>
        <w:spacing w:before="120" w:after="120"/>
        <w:rPr>
          <w:rFonts w:ascii="Arial" w:hAnsi="Arial" w:cs="Arial"/>
          <w:sz w:val="16"/>
          <w:szCs w:val="18"/>
        </w:rPr>
      </w:pPr>
      <w:r w:rsidRPr="00DB6D5B">
        <w:rPr>
          <w:rFonts w:ascii="Arial" w:hAnsi="Arial" w:cs="Arial"/>
          <w:sz w:val="16"/>
          <w:szCs w:val="18"/>
        </w:rPr>
        <w:t>*age group 20+ for 1993</w:t>
      </w:r>
    </w:p>
    <w:p w14:paraId="25481FC4" w14:textId="42A0ECA6" w:rsidR="009A76AC" w:rsidRPr="002F51E1" w:rsidRDefault="009A76AC" w:rsidP="00027D69">
      <w:pPr>
        <w:shd w:val="clear" w:color="auto" w:fill="FFFFFF"/>
        <w:spacing w:before="120"/>
        <w:rPr>
          <w:rFonts w:ascii="Arial" w:hAnsi="Arial" w:cs="Arial"/>
          <w:sz w:val="16"/>
          <w:szCs w:val="18"/>
        </w:rPr>
      </w:pPr>
      <w:r w:rsidRPr="002F51E1">
        <w:rPr>
          <w:rFonts w:ascii="Arial" w:hAnsi="Arial" w:cs="Arial"/>
          <w:sz w:val="16"/>
          <w:szCs w:val="18"/>
        </w:rPr>
        <w:t># statistically significant change between 2010 and 2013</w:t>
      </w:r>
    </w:p>
    <w:p w14:paraId="5AF7663D" w14:textId="6DC40DE0" w:rsidR="009A76AC" w:rsidRPr="002F51E1" w:rsidRDefault="009A76AC" w:rsidP="00023590">
      <w:r w:rsidRPr="002F51E1">
        <w:t>NOTE: Comparisons between the AIHW (NDSHS) and the ABS data cannot be made as they use different methodologies.</w:t>
      </w:r>
    </w:p>
    <w:p w14:paraId="601A094D" w14:textId="09E2DBAE" w:rsidR="009A76AC" w:rsidRPr="008E482A" w:rsidRDefault="009A76AC" w:rsidP="00C03E70">
      <w:pPr>
        <w:pStyle w:val="Heading2"/>
      </w:pPr>
      <w:r w:rsidRPr="008E482A">
        <w:t>2014</w:t>
      </w:r>
      <w:r w:rsidR="00027D69">
        <w:t>–</w:t>
      </w:r>
      <w:r w:rsidRPr="008E482A">
        <w:t>15 National Aboriginal and Torres Strait Islander Social Survey</w:t>
      </w:r>
    </w:p>
    <w:p w14:paraId="61E3B253" w14:textId="4A2DE84F" w:rsidR="009A76AC" w:rsidRPr="008E482A" w:rsidRDefault="009A76AC" w:rsidP="00C03E70">
      <w:r w:rsidRPr="008E482A">
        <w:rPr>
          <w:shd w:val="clear" w:color="auto" w:fill="FFFFFF"/>
        </w:rPr>
        <w:t xml:space="preserve">On 28 April 2016, the ABS released the </w:t>
      </w:r>
      <w:r w:rsidRPr="008E482A">
        <w:rPr>
          <w:i/>
          <w:iCs/>
          <w:shd w:val="clear" w:color="auto" w:fill="FFFFFF"/>
        </w:rPr>
        <w:t>2014</w:t>
      </w:r>
      <w:r w:rsidR="00DB6D5B">
        <w:rPr>
          <w:i/>
          <w:iCs/>
          <w:shd w:val="clear" w:color="auto" w:fill="FFFFFF"/>
        </w:rPr>
        <w:t>–</w:t>
      </w:r>
      <w:r w:rsidRPr="008E482A">
        <w:rPr>
          <w:i/>
          <w:iCs/>
          <w:shd w:val="clear" w:color="auto" w:fill="FFFFFF"/>
        </w:rPr>
        <w:t>15</w:t>
      </w:r>
      <w:r w:rsidRPr="008E482A">
        <w:rPr>
          <w:shd w:val="clear" w:color="auto" w:fill="FFFFFF"/>
        </w:rPr>
        <w:t xml:space="preserve"> </w:t>
      </w:r>
      <w:r w:rsidRPr="008E482A">
        <w:rPr>
          <w:i/>
          <w:iCs/>
          <w:shd w:val="clear" w:color="auto" w:fill="FFFFFF"/>
        </w:rPr>
        <w:t>National Aboriginal and Torres Strait Islander Social Survey.</w:t>
      </w:r>
      <w:r w:rsidRPr="008E482A">
        <w:rPr>
          <w:rStyle w:val="EndnoteReference"/>
          <w:rFonts w:ascii="Arial" w:hAnsi="Arial" w:cs="Arial"/>
          <w:iCs/>
          <w:color w:val="222222"/>
          <w:szCs w:val="22"/>
          <w:shd w:val="clear" w:color="auto" w:fill="FFFFFF"/>
        </w:rPr>
        <w:endnoteReference w:id="17"/>
      </w:r>
      <w:r w:rsidRPr="008E482A">
        <w:rPr>
          <w:iCs/>
          <w:shd w:val="clear" w:color="auto" w:fill="FFFFFF"/>
        </w:rPr>
        <w:t xml:space="preserve"> </w:t>
      </w:r>
      <w:r w:rsidRPr="008E482A">
        <w:rPr>
          <w:shd w:val="clear" w:color="auto" w:fill="FFFFFF"/>
        </w:rPr>
        <w:t xml:space="preserve">The survey was conducted from September 2014 to June 2015 with a sample of 11,178 Aboriginal </w:t>
      </w:r>
      <w:r w:rsidRPr="008E482A">
        <w:rPr>
          <w:shd w:val="clear" w:color="auto" w:fill="FFFFFF"/>
        </w:rPr>
        <w:lastRenderedPageBreak/>
        <w:t>and Torres Strait Islander people living in private dwellings across Australia. The report shows that in 2014</w:t>
      </w:r>
      <w:r w:rsidR="00DB6D5B">
        <w:rPr>
          <w:shd w:val="clear" w:color="auto" w:fill="FFFFFF"/>
        </w:rPr>
        <w:t>–</w:t>
      </w:r>
      <w:r w:rsidRPr="008E482A">
        <w:rPr>
          <w:shd w:val="clear" w:color="auto" w:fill="FFFFFF"/>
        </w:rPr>
        <w:t>15:</w:t>
      </w:r>
    </w:p>
    <w:p w14:paraId="773D14CF" w14:textId="7BBCDE4E" w:rsidR="009A76AC" w:rsidRPr="008E482A" w:rsidRDefault="009A76AC" w:rsidP="00C03E70">
      <w:pPr>
        <w:pStyle w:val="ListParagraph"/>
        <w:numPr>
          <w:ilvl w:val="0"/>
          <w:numId w:val="26"/>
        </w:numPr>
      </w:pPr>
      <w:r w:rsidRPr="008E482A">
        <w:t xml:space="preserve">the proportion of Aboriginal and Torres Strait Islander people </w:t>
      </w:r>
      <w:r>
        <w:t xml:space="preserve">daily smokers </w:t>
      </w:r>
      <w:r w:rsidRPr="008E482A">
        <w:t>aged 15 years and over was 38.9% in 2014</w:t>
      </w:r>
      <w:r w:rsidR="008F26CC">
        <w:t>–</w:t>
      </w:r>
      <w:r w:rsidRPr="008E482A">
        <w:t xml:space="preserve">15, down from </w:t>
      </w:r>
      <w:r w:rsidR="00027D69">
        <w:t>44.6% in 2008 and 48.6% in 2002</w:t>
      </w:r>
    </w:p>
    <w:p w14:paraId="7D54304C" w14:textId="58D9D22E" w:rsidR="009A76AC" w:rsidRPr="008E482A" w:rsidRDefault="009A76AC" w:rsidP="00C03E70">
      <w:pPr>
        <w:pStyle w:val="ListParagraph"/>
        <w:numPr>
          <w:ilvl w:val="0"/>
          <w:numId w:val="26"/>
        </w:numPr>
      </w:pPr>
      <w:r w:rsidRPr="008E482A">
        <w:t>in 2002, 51% of Aboriginal and Torres Strait Islander males aged 15 years and over were daily smokers, th</w:t>
      </w:r>
      <w:r>
        <w:t>e</w:t>
      </w:r>
      <w:r w:rsidRPr="008E482A">
        <w:t xml:space="preserve"> daily rate declined to 46</w:t>
      </w:r>
      <w:r w:rsidR="00027D69">
        <w:t>% in 2008 and to 41% in 2014</w:t>
      </w:r>
      <w:r w:rsidR="00DB6D5B">
        <w:t>–</w:t>
      </w:r>
      <w:r w:rsidR="00027D69">
        <w:t>15</w:t>
      </w:r>
    </w:p>
    <w:p w14:paraId="21CDD16B" w14:textId="2135B386" w:rsidR="009A76AC" w:rsidRDefault="009A76AC" w:rsidP="00C03E70">
      <w:pPr>
        <w:pStyle w:val="ListParagraph"/>
        <w:numPr>
          <w:ilvl w:val="0"/>
          <w:numId w:val="26"/>
        </w:numPr>
      </w:pPr>
      <w:r w:rsidRPr="008E482A">
        <w:t>in 2002, 47% of Aboriginal and Torres Strait Islander females aged 15 years and over were daily smokers, the daily rate declined to 43% in 2008 and to 36% in 2014</w:t>
      </w:r>
      <w:r w:rsidR="00DB6D5B">
        <w:t>–</w:t>
      </w:r>
      <w:r w:rsidRPr="008E482A">
        <w:t>15</w:t>
      </w:r>
    </w:p>
    <w:p w14:paraId="6FE7A872" w14:textId="579F8F70" w:rsidR="009A76AC" w:rsidRDefault="009A76AC" w:rsidP="00C03E70">
      <w:pPr>
        <w:pStyle w:val="ListParagraph"/>
        <w:numPr>
          <w:ilvl w:val="0"/>
          <w:numId w:val="26"/>
        </w:numPr>
      </w:pPr>
      <w:r w:rsidRPr="008E482A">
        <w:t>fewer young people are starting to smoke with a significant decrease in daily smoking rates of those aged 15</w:t>
      </w:r>
      <w:r w:rsidR="008F26CC">
        <w:t>–</w:t>
      </w:r>
      <w:r w:rsidRPr="008E482A">
        <w:t xml:space="preserve">24, down to 31% </w:t>
      </w:r>
      <w:r w:rsidR="00027D69">
        <w:t>in 2014</w:t>
      </w:r>
      <w:r w:rsidR="008F26CC">
        <w:t>–</w:t>
      </w:r>
      <w:r w:rsidR="00027D69">
        <w:t>15 from 39% in 2008</w:t>
      </w:r>
    </w:p>
    <w:p w14:paraId="25360E8F" w14:textId="1DF569EA" w:rsidR="009A76AC" w:rsidRPr="008E482A" w:rsidRDefault="009A76AC" w:rsidP="00027D69">
      <w:pPr>
        <w:pStyle w:val="ListParagraph"/>
        <w:keepNext/>
        <w:numPr>
          <w:ilvl w:val="0"/>
          <w:numId w:val="26"/>
        </w:numPr>
        <w:ind w:left="714" w:hanging="357"/>
      </w:pPr>
      <w:r w:rsidRPr="008E482A">
        <w:t xml:space="preserve">the data indicates that the majority of the change in daily smoking rates </w:t>
      </w:r>
      <w:r w:rsidR="00B83FFD">
        <w:t>has occurred in</w:t>
      </w:r>
      <w:r w:rsidR="00027D69">
        <w:t xml:space="preserve"> </w:t>
      </w:r>
      <w:r>
        <w:t>non-remote areas. In 2014</w:t>
      </w:r>
      <w:r w:rsidR="00DB6D5B">
        <w:t>–</w:t>
      </w:r>
      <w:r>
        <w:t xml:space="preserve">15, </w:t>
      </w:r>
      <w:r w:rsidRPr="008E482A">
        <w:t>47% of people aged 15 years and over in remote areas smok</w:t>
      </w:r>
      <w:r>
        <w:t>ed</w:t>
      </w:r>
      <w:r w:rsidRPr="008E482A">
        <w:t xml:space="preserve"> daily (down from 50% in 2002) compared with 37% in non-remote locations (down from 48% in 2002).</w:t>
      </w:r>
    </w:p>
    <w:p w14:paraId="25D94237" w14:textId="77777777" w:rsidR="00927137" w:rsidRPr="00F4249A" w:rsidRDefault="00927137" w:rsidP="00C03E70">
      <w:pPr>
        <w:pStyle w:val="Heading2"/>
      </w:pPr>
      <w:r w:rsidRPr="00F4249A">
        <w:t xml:space="preserve">Australian </w:t>
      </w:r>
      <w:r w:rsidR="00721009">
        <w:t>s</w:t>
      </w:r>
      <w:r w:rsidRPr="00F4249A">
        <w:t xml:space="preserve">econdary </w:t>
      </w:r>
      <w:r w:rsidR="00721009">
        <w:t>s</w:t>
      </w:r>
      <w:r w:rsidRPr="00F4249A">
        <w:t xml:space="preserve">chool </w:t>
      </w:r>
      <w:r w:rsidR="00721009">
        <w:t>s</w:t>
      </w:r>
      <w:r w:rsidR="00C22138" w:rsidRPr="00F4249A">
        <w:t>tudents</w:t>
      </w:r>
      <w:r w:rsidR="00B74713">
        <w:t>’</w:t>
      </w:r>
      <w:r w:rsidR="00C22138" w:rsidRPr="00F4249A">
        <w:t xml:space="preserve"> use</w:t>
      </w:r>
      <w:r w:rsidRPr="00F4249A">
        <w:t xml:space="preserve"> of tobacco in 2014</w:t>
      </w:r>
    </w:p>
    <w:p w14:paraId="1ACE0FA6" w14:textId="77777777" w:rsidR="00990D58" w:rsidRPr="00721009" w:rsidRDefault="00927137" w:rsidP="00C03E70">
      <w:pPr>
        <w:rPr>
          <w:shd w:val="clear" w:color="auto" w:fill="FFFFFF"/>
        </w:rPr>
      </w:pPr>
      <w:r w:rsidRPr="00721009">
        <w:rPr>
          <w:shd w:val="clear" w:color="auto" w:fill="FFFFFF"/>
        </w:rPr>
        <w:t xml:space="preserve">On 24 November 2015, the Cancer Council Victoria released the 2014 </w:t>
      </w:r>
      <w:r w:rsidRPr="00721009">
        <w:rPr>
          <w:i/>
          <w:shd w:val="clear" w:color="auto" w:fill="FFFFFF"/>
        </w:rPr>
        <w:t xml:space="preserve">Australian secondary school </w:t>
      </w:r>
      <w:r w:rsidR="00721009" w:rsidRPr="00721009">
        <w:rPr>
          <w:i/>
          <w:shd w:val="clear" w:color="auto" w:fill="FFFFFF"/>
        </w:rPr>
        <w:t>students’</w:t>
      </w:r>
      <w:r w:rsidRPr="00721009">
        <w:rPr>
          <w:i/>
          <w:shd w:val="clear" w:color="auto" w:fill="FFFFFF"/>
        </w:rPr>
        <w:t xml:space="preserve"> use of tobacco</w:t>
      </w:r>
      <w:r w:rsidRPr="00721009">
        <w:rPr>
          <w:shd w:val="clear" w:color="auto" w:fill="FFFFFF"/>
        </w:rPr>
        <w:t xml:space="preserve"> report</w:t>
      </w:r>
      <w:r w:rsidR="008557FE" w:rsidRPr="00721009">
        <w:rPr>
          <w:shd w:val="clear" w:color="auto" w:fill="FFFFFF"/>
        </w:rPr>
        <w:t>.</w:t>
      </w:r>
      <w:r w:rsidR="00BA292B" w:rsidRPr="00721009">
        <w:rPr>
          <w:rStyle w:val="EndnoteReference"/>
          <w:rFonts w:ascii="Arial" w:hAnsi="Arial" w:cs="Arial"/>
          <w:color w:val="222222"/>
          <w:szCs w:val="22"/>
          <w:shd w:val="clear" w:color="auto" w:fill="FFFFFF"/>
        </w:rPr>
        <w:endnoteReference w:id="18"/>
      </w:r>
    </w:p>
    <w:p w14:paraId="6E3B1AB5" w14:textId="1440D40B" w:rsidR="00990D58" w:rsidRPr="00721009" w:rsidRDefault="00990D58" w:rsidP="00C03E70">
      <w:pPr>
        <w:rPr>
          <w:shd w:val="clear" w:color="auto" w:fill="FFFFFF"/>
        </w:rPr>
      </w:pPr>
      <w:r w:rsidRPr="00721009">
        <w:rPr>
          <w:shd w:val="clear" w:color="auto" w:fill="FFFFFF"/>
        </w:rPr>
        <w:t>Over 23,000 secondary students aged between 12 and 17 years participate</w:t>
      </w:r>
      <w:r w:rsidR="00721009">
        <w:rPr>
          <w:shd w:val="clear" w:color="auto" w:fill="FFFFFF"/>
        </w:rPr>
        <w:t>d</w:t>
      </w:r>
      <w:r w:rsidRPr="00721009">
        <w:rPr>
          <w:shd w:val="clear" w:color="auto" w:fill="FFFFFF"/>
        </w:rPr>
        <w:t xml:space="preserve"> in the survey during June to December of the 2014 academic school year. The survey found that smoking among 12 to 15 years old is at its lowest level since 1984, when the survey began. Other key findings from the report </w:t>
      </w:r>
      <w:r w:rsidR="00721009">
        <w:rPr>
          <w:shd w:val="clear" w:color="auto" w:fill="FFFFFF"/>
        </w:rPr>
        <w:t>were</w:t>
      </w:r>
      <w:r w:rsidR="00027D69">
        <w:rPr>
          <w:shd w:val="clear" w:color="auto" w:fill="FFFFFF"/>
        </w:rPr>
        <w:t>:</w:t>
      </w:r>
    </w:p>
    <w:p w14:paraId="6C7C95ED" w14:textId="007D843D" w:rsidR="00721009" w:rsidRPr="00C03E70" w:rsidRDefault="00721009" w:rsidP="00C03E70">
      <w:pPr>
        <w:pStyle w:val="ListParagraph"/>
        <w:numPr>
          <w:ilvl w:val="0"/>
          <w:numId w:val="27"/>
        </w:numPr>
        <w:rPr>
          <w:shd w:val="clear" w:color="auto" w:fill="FFFFFF"/>
        </w:rPr>
      </w:pPr>
      <w:r w:rsidRPr="00C03E70">
        <w:rPr>
          <w:shd w:val="clear" w:color="auto" w:fill="FFFFFF"/>
        </w:rPr>
        <w:t xml:space="preserve">youth smoking (12 to 17 years old) </w:t>
      </w:r>
      <w:r w:rsidR="00990D58" w:rsidRPr="00C03E70">
        <w:rPr>
          <w:shd w:val="clear" w:color="auto" w:fill="FFFFFF"/>
        </w:rPr>
        <w:t>significant</w:t>
      </w:r>
      <w:r w:rsidRPr="00C03E70">
        <w:rPr>
          <w:shd w:val="clear" w:color="auto" w:fill="FFFFFF"/>
        </w:rPr>
        <w:t>ly</w:t>
      </w:r>
      <w:r w:rsidR="00990D58" w:rsidRPr="00C03E70">
        <w:rPr>
          <w:shd w:val="clear" w:color="auto" w:fill="FFFFFF"/>
        </w:rPr>
        <w:t xml:space="preserve"> decrease</w:t>
      </w:r>
      <w:r w:rsidRPr="00C03E70">
        <w:rPr>
          <w:shd w:val="clear" w:color="auto" w:fill="FFFFFF"/>
        </w:rPr>
        <w:t>d</w:t>
      </w:r>
      <w:r w:rsidR="00990D58" w:rsidRPr="00C03E70">
        <w:rPr>
          <w:shd w:val="clear" w:color="auto" w:fill="FFFFFF"/>
        </w:rPr>
        <w:t xml:space="preserve"> and in 2014, 5% were current smoker</w:t>
      </w:r>
      <w:r w:rsidRPr="00C03E70">
        <w:rPr>
          <w:shd w:val="clear" w:color="auto" w:fill="FFFFFF"/>
        </w:rPr>
        <w:t>s</w:t>
      </w:r>
      <w:r w:rsidR="00990D58" w:rsidRPr="00C03E70">
        <w:rPr>
          <w:shd w:val="clear" w:color="auto" w:fill="FFFFFF"/>
        </w:rPr>
        <w:t xml:space="preserve"> which were significantly lower than the 7% f</w:t>
      </w:r>
      <w:r w:rsidR="00027D69">
        <w:rPr>
          <w:shd w:val="clear" w:color="auto" w:fill="FFFFFF"/>
        </w:rPr>
        <w:t>ound in both 2011 and 2008</w:t>
      </w:r>
    </w:p>
    <w:p w14:paraId="02908ED3" w14:textId="77777777" w:rsidR="005F4787" w:rsidRPr="00C03E70" w:rsidRDefault="00990D58" w:rsidP="00C03E70">
      <w:pPr>
        <w:pStyle w:val="ListParagraph"/>
        <w:numPr>
          <w:ilvl w:val="0"/>
          <w:numId w:val="27"/>
        </w:numPr>
        <w:rPr>
          <w:shd w:val="clear" w:color="auto" w:fill="FFFFFF"/>
        </w:rPr>
      </w:pPr>
      <w:r w:rsidRPr="00C03E70">
        <w:rPr>
          <w:shd w:val="clear" w:color="auto" w:fill="FFFFFF"/>
        </w:rPr>
        <w:t>more youth have no experience with smoking in their lifetime: 94% of 12 year olds and 61% of 17 year olds</w:t>
      </w:r>
      <w:r w:rsidR="00C82E62" w:rsidRPr="00C03E70">
        <w:rPr>
          <w:shd w:val="clear" w:color="auto" w:fill="FFFFFF"/>
        </w:rPr>
        <w:t>.</w:t>
      </w:r>
    </w:p>
    <w:p w14:paraId="7EC3F384" w14:textId="77777777" w:rsidR="00927137" w:rsidRPr="00021DB4" w:rsidRDefault="00927137" w:rsidP="00C03E70">
      <w:pPr>
        <w:pStyle w:val="Heading3"/>
      </w:pPr>
      <w:r w:rsidRPr="00021DB4">
        <w:t>Specific population groups</w:t>
      </w:r>
      <w:r w:rsidR="00BA292B" w:rsidRPr="00E70DF4">
        <w:rPr>
          <w:rStyle w:val="EndnoteReference"/>
          <w:color w:val="000000"/>
          <w:sz w:val="22"/>
          <w:szCs w:val="22"/>
        </w:rPr>
        <w:endnoteReference w:id="19"/>
      </w:r>
    </w:p>
    <w:p w14:paraId="3E61F801" w14:textId="77777777" w:rsidR="00927137" w:rsidRPr="00021DB4" w:rsidRDefault="00927137" w:rsidP="00C03E70">
      <w:pPr>
        <w:pStyle w:val="Heading4"/>
      </w:pPr>
      <w:r w:rsidRPr="00021DB4">
        <w:t>Remoteness</w:t>
      </w:r>
    </w:p>
    <w:p w14:paraId="4F74223E" w14:textId="77777777" w:rsidR="00927137" w:rsidRPr="00021DB4" w:rsidRDefault="00927137" w:rsidP="00C03E70">
      <w:pPr>
        <w:pStyle w:val="ListParagraph"/>
        <w:numPr>
          <w:ilvl w:val="0"/>
          <w:numId w:val="28"/>
        </w:numPr>
      </w:pPr>
      <w:r w:rsidRPr="00021DB4">
        <w:t>People aged 14 years or older, living in remote and very remote areas, were twice as likely to have smoked daily in the previous 12 months as those in major cities: 22% compared with 11.0%.</w:t>
      </w:r>
    </w:p>
    <w:p w14:paraId="3552833C" w14:textId="77777777" w:rsidR="00CC1239" w:rsidRPr="00021DB4" w:rsidRDefault="00927137" w:rsidP="00C03E70">
      <w:pPr>
        <w:pStyle w:val="ListParagraph"/>
        <w:numPr>
          <w:ilvl w:val="0"/>
          <w:numId w:val="28"/>
        </w:numPr>
      </w:pPr>
      <w:r w:rsidRPr="00021DB4">
        <w:t>The proportion of people aged 14 years or older smoking daily rose with increasing remoteness: 11.0% in major cities; 15.4% in inner regional; 19.4% in outer regional; and 22% in remote and very remote areas.</w:t>
      </w:r>
    </w:p>
    <w:p w14:paraId="39815F0D" w14:textId="77777777" w:rsidR="00927137" w:rsidRPr="00021DB4" w:rsidRDefault="00927137" w:rsidP="00C03E70">
      <w:pPr>
        <w:pStyle w:val="Heading4"/>
      </w:pPr>
      <w:r w:rsidRPr="00021DB4">
        <w:t>Socioeconomic and employment status</w:t>
      </w:r>
    </w:p>
    <w:p w14:paraId="33284FCA" w14:textId="77777777" w:rsidR="00927137" w:rsidRPr="00021DB4" w:rsidRDefault="00021DB4" w:rsidP="00C03E70">
      <w:pPr>
        <w:pStyle w:val="ListParagraph"/>
        <w:numPr>
          <w:ilvl w:val="0"/>
          <w:numId w:val="29"/>
        </w:numPr>
      </w:pPr>
      <w:r w:rsidRPr="00021DB4">
        <w:t xml:space="preserve">People aged </w:t>
      </w:r>
      <w:r w:rsidR="00927137" w:rsidRPr="00021DB4">
        <w:t xml:space="preserve">14 years or older living in areas with the lowest socioeconomic status (SES) were </w:t>
      </w:r>
      <w:r w:rsidRPr="00021DB4">
        <w:t>three</w:t>
      </w:r>
      <w:r w:rsidR="00927137" w:rsidRPr="00021DB4">
        <w:t xml:space="preserve"> times more likely to smoke daily than people with the highest SES, 19.9% compared with 6.7%, but there were significant declines in daily smoking in both these groups between 2010 and 2013.</w:t>
      </w:r>
    </w:p>
    <w:p w14:paraId="2C89B899" w14:textId="77777777" w:rsidR="00927137" w:rsidRPr="00021DB4" w:rsidRDefault="00927137" w:rsidP="00C03E70">
      <w:pPr>
        <w:pStyle w:val="ListParagraph"/>
        <w:numPr>
          <w:ilvl w:val="0"/>
          <w:numId w:val="29"/>
        </w:numPr>
      </w:pPr>
      <w:r w:rsidRPr="00021DB4">
        <w:t>The declines in daily smoking seen nationally were also seen among employed people but there were no significant changes in the smoking behaviour of unemployed people who were unable to work between 2010 and 2013.</w:t>
      </w:r>
    </w:p>
    <w:p w14:paraId="3A7B929C" w14:textId="77777777" w:rsidR="00927137" w:rsidRPr="00021DB4" w:rsidRDefault="00927137" w:rsidP="00C03E70">
      <w:pPr>
        <w:pStyle w:val="ListParagraph"/>
        <w:numPr>
          <w:ilvl w:val="0"/>
          <w:numId w:val="29"/>
        </w:numPr>
      </w:pPr>
      <w:r w:rsidRPr="00021DB4">
        <w:t>People aged 14 years or older, who were unemployed, were 1.7 times more likely to smoke daily and those who were unable to work were 2.4 times more likely to smoke daily.</w:t>
      </w:r>
    </w:p>
    <w:p w14:paraId="31B43A06" w14:textId="77777777" w:rsidR="00927137" w:rsidRPr="00021DB4" w:rsidRDefault="00927137" w:rsidP="00C03E70">
      <w:pPr>
        <w:pStyle w:val="ListParagraph"/>
        <w:numPr>
          <w:ilvl w:val="0"/>
          <w:numId w:val="29"/>
        </w:numPr>
      </w:pPr>
      <w:r w:rsidRPr="00021DB4">
        <w:t>Compared to 2010, employed people aged 14 years or older were less likely to smoke daily in 2013, down from 16.1% to 13.5% respectively.</w:t>
      </w:r>
    </w:p>
    <w:p w14:paraId="6A22B95D" w14:textId="77777777" w:rsidR="00927137" w:rsidRPr="00DC0706" w:rsidRDefault="00C03E70" w:rsidP="00DF301B">
      <w:pPr>
        <w:pStyle w:val="StyleCaptionArialBlack"/>
        <w:pageBreakBefore/>
      </w:pPr>
      <w:r>
        <w:lastRenderedPageBreak/>
        <w:t xml:space="preserve">Table </w:t>
      </w:r>
      <w:r w:rsidR="004A286F">
        <w:rPr>
          <w:noProof/>
        </w:rPr>
        <w:fldChar w:fldCharType="begin"/>
      </w:r>
      <w:r w:rsidR="004A286F">
        <w:rPr>
          <w:noProof/>
        </w:rPr>
        <w:instrText xml:space="preserve"> SEQ Table \* ARABIC </w:instrText>
      </w:r>
      <w:r w:rsidR="004A286F">
        <w:rPr>
          <w:noProof/>
        </w:rPr>
        <w:fldChar w:fldCharType="separate"/>
      </w:r>
      <w:r w:rsidR="003B4506">
        <w:rPr>
          <w:noProof/>
        </w:rPr>
        <w:t>3</w:t>
      </w:r>
      <w:r w:rsidR="004A286F">
        <w:rPr>
          <w:noProof/>
        </w:rPr>
        <w:fldChar w:fldCharType="end"/>
      </w:r>
      <w:r w:rsidR="00927137" w:rsidRPr="00C03E70">
        <w:t>: Comparison of 2010 and 2013 State and Territory tobacco smoking status, people aged 14</w:t>
      </w:r>
      <w:r w:rsidR="001D64A9">
        <w:t xml:space="preserve"> </w:t>
      </w:r>
      <w:r w:rsidR="00927137" w:rsidRPr="00C03E70">
        <w:t>years or older, by sex and jurisdiction (age</w:t>
      </w:r>
      <w:r w:rsidR="00FD7AEB" w:rsidRPr="00C03E70">
        <w:t xml:space="preserve"> </w:t>
      </w:r>
      <w:r w:rsidR="00927137" w:rsidRPr="00C03E70">
        <w:t>standardised)</w:t>
      </w:r>
      <w:r w:rsidR="009260B7">
        <w:rPr>
          <w:rStyle w:val="EndnoteReference"/>
          <w:rFonts w:cs="Arial"/>
        </w:rPr>
        <w:endnoteReference w:id="20"/>
      </w:r>
      <w:r w:rsidR="009260B7" w:rsidRPr="00DC17F7">
        <w:rPr>
          <w:vertAlign w:val="superscript"/>
        </w:rPr>
        <w:t>,</w:t>
      </w:r>
      <w:r w:rsidR="009F1CC3">
        <w:rPr>
          <w:vertAlign w:val="superscript"/>
        </w:rPr>
        <w:t xml:space="preserve"> </w:t>
      </w:r>
      <w:r w:rsidR="009260B7">
        <w:rPr>
          <w:rStyle w:val="EndnoteReference"/>
          <w:rFonts w:cs="Arial"/>
        </w:rPr>
        <w:end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Description w:val="Table showing the comparison of 2010 Stte and Territory tobacco smoking status, people aged 14 years or older, by sex and jurisdiction (aged-standardised)"/>
      </w:tblPr>
      <w:tblGrid>
        <w:gridCol w:w="1181"/>
        <w:gridCol w:w="814"/>
        <w:gridCol w:w="807"/>
        <w:gridCol w:w="765"/>
        <w:gridCol w:w="807"/>
        <w:gridCol w:w="729"/>
        <w:gridCol w:w="729"/>
        <w:gridCol w:w="753"/>
        <w:gridCol w:w="729"/>
        <w:gridCol w:w="1168"/>
      </w:tblGrid>
      <w:tr w:rsidR="00E70DF4" w:rsidRPr="00927137" w14:paraId="478FAE6E" w14:textId="77777777" w:rsidTr="00BD1F39">
        <w:trPr>
          <w:cantSplit/>
          <w:trHeight w:val="317"/>
        </w:trPr>
        <w:tc>
          <w:tcPr>
            <w:tcW w:w="0" w:type="auto"/>
            <w:shd w:val="clear" w:color="auto" w:fill="DBE5F1" w:themeFill="accent1" w:themeFillTint="33"/>
            <w:tcMar>
              <w:top w:w="150" w:type="dxa"/>
              <w:left w:w="150" w:type="dxa"/>
              <w:bottom w:w="150" w:type="dxa"/>
              <w:right w:w="150" w:type="dxa"/>
            </w:tcMar>
            <w:vAlign w:val="center"/>
            <w:hideMark/>
          </w:tcPr>
          <w:p w14:paraId="512E2609" w14:textId="77777777" w:rsidR="00927137" w:rsidRPr="00927137" w:rsidRDefault="00927137" w:rsidP="00BD1F39">
            <w:pPr>
              <w:rPr>
                <w:rFonts w:ascii="Helvetica" w:hAnsi="Helvetica" w:cs="Helvetica"/>
                <w:b/>
                <w:bCs/>
                <w:color w:val="222222"/>
                <w:szCs w:val="20"/>
              </w:rPr>
            </w:pPr>
            <w:r w:rsidRPr="00927137">
              <w:rPr>
                <w:rFonts w:ascii="Helvetica" w:hAnsi="Helvetica" w:cs="Helvetica"/>
                <w:b/>
                <w:bCs/>
                <w:color w:val="222222"/>
                <w:szCs w:val="20"/>
              </w:rPr>
              <w:t>2010</w:t>
            </w:r>
          </w:p>
        </w:tc>
        <w:tc>
          <w:tcPr>
            <w:tcW w:w="0" w:type="auto"/>
            <w:shd w:val="clear" w:color="auto" w:fill="DBE5F1" w:themeFill="accent1" w:themeFillTint="33"/>
            <w:tcMar>
              <w:top w:w="150" w:type="dxa"/>
              <w:left w:w="150" w:type="dxa"/>
              <w:bottom w:w="150" w:type="dxa"/>
              <w:right w:w="150" w:type="dxa"/>
            </w:tcMar>
            <w:vAlign w:val="center"/>
            <w:hideMark/>
          </w:tcPr>
          <w:p w14:paraId="72760DC5" w14:textId="77777777" w:rsidR="00927137" w:rsidRPr="00927137" w:rsidRDefault="00927137" w:rsidP="0059518C">
            <w:pPr>
              <w:jc w:val="center"/>
              <w:rPr>
                <w:rFonts w:ascii="Helvetica" w:hAnsi="Helvetica" w:cs="Helvetica"/>
                <w:b/>
                <w:bCs/>
                <w:color w:val="222222"/>
                <w:szCs w:val="20"/>
              </w:rPr>
            </w:pPr>
            <w:r w:rsidRPr="00927137">
              <w:rPr>
                <w:rFonts w:ascii="Helvetica" w:hAnsi="Helvetica" w:cs="Helvetica"/>
                <w:b/>
                <w:bCs/>
                <w:color w:val="222222"/>
                <w:szCs w:val="20"/>
              </w:rPr>
              <w:t>NSW</w:t>
            </w:r>
          </w:p>
        </w:tc>
        <w:tc>
          <w:tcPr>
            <w:tcW w:w="0" w:type="auto"/>
            <w:shd w:val="clear" w:color="auto" w:fill="DBE5F1" w:themeFill="accent1" w:themeFillTint="33"/>
            <w:tcMar>
              <w:top w:w="150" w:type="dxa"/>
              <w:left w:w="150" w:type="dxa"/>
              <w:bottom w:w="150" w:type="dxa"/>
              <w:right w:w="150" w:type="dxa"/>
            </w:tcMar>
            <w:vAlign w:val="center"/>
            <w:hideMark/>
          </w:tcPr>
          <w:p w14:paraId="35FB2AFD" w14:textId="77777777" w:rsidR="00927137" w:rsidRPr="00927137" w:rsidRDefault="00927137" w:rsidP="0059518C">
            <w:pPr>
              <w:jc w:val="center"/>
              <w:rPr>
                <w:rFonts w:ascii="Helvetica" w:hAnsi="Helvetica" w:cs="Helvetica"/>
                <w:b/>
                <w:bCs/>
                <w:color w:val="222222"/>
                <w:szCs w:val="20"/>
              </w:rPr>
            </w:pPr>
            <w:r w:rsidRPr="00927137">
              <w:rPr>
                <w:rFonts w:ascii="Helvetica" w:hAnsi="Helvetica" w:cs="Helvetica"/>
                <w:b/>
                <w:bCs/>
                <w:color w:val="222222"/>
                <w:szCs w:val="20"/>
              </w:rPr>
              <w:t>Vic</w:t>
            </w:r>
          </w:p>
        </w:tc>
        <w:tc>
          <w:tcPr>
            <w:tcW w:w="0" w:type="auto"/>
            <w:shd w:val="clear" w:color="auto" w:fill="DBE5F1" w:themeFill="accent1" w:themeFillTint="33"/>
            <w:tcMar>
              <w:top w:w="150" w:type="dxa"/>
              <w:left w:w="150" w:type="dxa"/>
              <w:bottom w:w="150" w:type="dxa"/>
              <w:right w:w="150" w:type="dxa"/>
            </w:tcMar>
            <w:vAlign w:val="center"/>
            <w:hideMark/>
          </w:tcPr>
          <w:p w14:paraId="7FACFF74" w14:textId="77777777" w:rsidR="00927137" w:rsidRPr="00927137" w:rsidRDefault="00927137" w:rsidP="0059518C">
            <w:pPr>
              <w:jc w:val="center"/>
              <w:rPr>
                <w:rFonts w:ascii="Helvetica" w:hAnsi="Helvetica" w:cs="Helvetica"/>
                <w:b/>
                <w:bCs/>
                <w:color w:val="222222"/>
                <w:szCs w:val="20"/>
              </w:rPr>
            </w:pPr>
            <w:r w:rsidRPr="00927137">
              <w:rPr>
                <w:rFonts w:ascii="Helvetica" w:hAnsi="Helvetica" w:cs="Helvetica"/>
                <w:b/>
                <w:bCs/>
                <w:color w:val="222222"/>
                <w:szCs w:val="20"/>
              </w:rPr>
              <w:t>QLD</w:t>
            </w:r>
          </w:p>
        </w:tc>
        <w:tc>
          <w:tcPr>
            <w:tcW w:w="0" w:type="auto"/>
            <w:shd w:val="clear" w:color="auto" w:fill="DBE5F1" w:themeFill="accent1" w:themeFillTint="33"/>
            <w:tcMar>
              <w:top w:w="150" w:type="dxa"/>
              <w:left w:w="150" w:type="dxa"/>
              <w:bottom w:w="150" w:type="dxa"/>
              <w:right w:w="150" w:type="dxa"/>
            </w:tcMar>
            <w:vAlign w:val="center"/>
            <w:hideMark/>
          </w:tcPr>
          <w:p w14:paraId="2AD0F349" w14:textId="77777777" w:rsidR="00927137" w:rsidRPr="00927137" w:rsidRDefault="00927137" w:rsidP="0059518C">
            <w:pPr>
              <w:jc w:val="center"/>
              <w:rPr>
                <w:rFonts w:ascii="Helvetica" w:hAnsi="Helvetica" w:cs="Helvetica"/>
                <w:b/>
                <w:bCs/>
                <w:color w:val="222222"/>
                <w:szCs w:val="20"/>
              </w:rPr>
            </w:pPr>
            <w:r w:rsidRPr="00927137">
              <w:rPr>
                <w:rFonts w:ascii="Helvetica" w:hAnsi="Helvetica" w:cs="Helvetica"/>
                <w:b/>
                <w:bCs/>
                <w:color w:val="222222"/>
                <w:szCs w:val="20"/>
              </w:rPr>
              <w:t>WA</w:t>
            </w:r>
          </w:p>
        </w:tc>
        <w:tc>
          <w:tcPr>
            <w:tcW w:w="0" w:type="auto"/>
            <w:shd w:val="clear" w:color="auto" w:fill="DBE5F1" w:themeFill="accent1" w:themeFillTint="33"/>
            <w:tcMar>
              <w:top w:w="150" w:type="dxa"/>
              <w:left w:w="150" w:type="dxa"/>
              <w:bottom w:w="150" w:type="dxa"/>
              <w:right w:w="150" w:type="dxa"/>
            </w:tcMar>
            <w:vAlign w:val="center"/>
            <w:hideMark/>
          </w:tcPr>
          <w:p w14:paraId="2D1211F6" w14:textId="77777777" w:rsidR="00927137" w:rsidRPr="00927137" w:rsidRDefault="00927137" w:rsidP="0059518C">
            <w:pPr>
              <w:jc w:val="center"/>
              <w:rPr>
                <w:rFonts w:ascii="Helvetica" w:hAnsi="Helvetica" w:cs="Helvetica"/>
                <w:b/>
                <w:bCs/>
                <w:color w:val="222222"/>
                <w:szCs w:val="20"/>
              </w:rPr>
            </w:pPr>
            <w:r w:rsidRPr="00927137">
              <w:rPr>
                <w:rFonts w:ascii="Helvetica" w:hAnsi="Helvetica" w:cs="Helvetica"/>
                <w:b/>
                <w:bCs/>
                <w:color w:val="222222"/>
                <w:szCs w:val="20"/>
              </w:rPr>
              <w:t>SA</w:t>
            </w:r>
          </w:p>
        </w:tc>
        <w:tc>
          <w:tcPr>
            <w:tcW w:w="0" w:type="auto"/>
            <w:shd w:val="clear" w:color="auto" w:fill="DBE5F1" w:themeFill="accent1" w:themeFillTint="33"/>
            <w:tcMar>
              <w:top w:w="150" w:type="dxa"/>
              <w:left w:w="150" w:type="dxa"/>
              <w:bottom w:w="150" w:type="dxa"/>
              <w:right w:w="150" w:type="dxa"/>
            </w:tcMar>
            <w:vAlign w:val="center"/>
            <w:hideMark/>
          </w:tcPr>
          <w:p w14:paraId="2947C710" w14:textId="77777777" w:rsidR="00927137" w:rsidRPr="00927137" w:rsidRDefault="00927137" w:rsidP="0059518C">
            <w:pPr>
              <w:jc w:val="center"/>
              <w:rPr>
                <w:rFonts w:ascii="Helvetica" w:hAnsi="Helvetica" w:cs="Helvetica"/>
                <w:b/>
                <w:bCs/>
                <w:color w:val="222222"/>
                <w:szCs w:val="20"/>
              </w:rPr>
            </w:pPr>
            <w:r w:rsidRPr="00927137">
              <w:rPr>
                <w:rFonts w:ascii="Helvetica" w:hAnsi="Helvetica" w:cs="Helvetica"/>
                <w:b/>
                <w:bCs/>
                <w:color w:val="222222"/>
                <w:szCs w:val="20"/>
              </w:rPr>
              <w:t>Tas</w:t>
            </w:r>
          </w:p>
        </w:tc>
        <w:tc>
          <w:tcPr>
            <w:tcW w:w="0" w:type="auto"/>
            <w:shd w:val="clear" w:color="auto" w:fill="DBE5F1" w:themeFill="accent1" w:themeFillTint="33"/>
            <w:tcMar>
              <w:top w:w="150" w:type="dxa"/>
              <w:left w:w="150" w:type="dxa"/>
              <w:bottom w:w="150" w:type="dxa"/>
              <w:right w:w="150" w:type="dxa"/>
            </w:tcMar>
            <w:vAlign w:val="center"/>
            <w:hideMark/>
          </w:tcPr>
          <w:p w14:paraId="41AC693C" w14:textId="77777777" w:rsidR="00927137" w:rsidRPr="00927137" w:rsidRDefault="00927137" w:rsidP="0059518C">
            <w:pPr>
              <w:jc w:val="center"/>
              <w:rPr>
                <w:rFonts w:ascii="Helvetica" w:hAnsi="Helvetica" w:cs="Helvetica"/>
                <w:b/>
                <w:bCs/>
                <w:color w:val="222222"/>
                <w:szCs w:val="20"/>
              </w:rPr>
            </w:pPr>
            <w:r w:rsidRPr="00927137">
              <w:rPr>
                <w:rFonts w:ascii="Helvetica" w:hAnsi="Helvetica" w:cs="Helvetica"/>
                <w:b/>
                <w:bCs/>
                <w:color w:val="222222"/>
                <w:szCs w:val="20"/>
              </w:rPr>
              <w:t>ACT</w:t>
            </w:r>
          </w:p>
        </w:tc>
        <w:tc>
          <w:tcPr>
            <w:tcW w:w="0" w:type="auto"/>
            <w:shd w:val="clear" w:color="auto" w:fill="DBE5F1" w:themeFill="accent1" w:themeFillTint="33"/>
            <w:tcMar>
              <w:top w:w="150" w:type="dxa"/>
              <w:left w:w="150" w:type="dxa"/>
              <w:bottom w:w="150" w:type="dxa"/>
              <w:right w:w="150" w:type="dxa"/>
            </w:tcMar>
            <w:vAlign w:val="center"/>
            <w:hideMark/>
          </w:tcPr>
          <w:p w14:paraId="0E4DF406" w14:textId="77777777" w:rsidR="00927137" w:rsidRPr="00927137" w:rsidRDefault="00927137" w:rsidP="0059518C">
            <w:pPr>
              <w:jc w:val="center"/>
              <w:rPr>
                <w:rFonts w:ascii="Helvetica" w:hAnsi="Helvetica" w:cs="Helvetica"/>
                <w:b/>
                <w:bCs/>
                <w:color w:val="222222"/>
                <w:szCs w:val="20"/>
              </w:rPr>
            </w:pPr>
            <w:r w:rsidRPr="00927137">
              <w:rPr>
                <w:rFonts w:ascii="Helvetica" w:hAnsi="Helvetica" w:cs="Helvetica"/>
                <w:b/>
                <w:bCs/>
                <w:color w:val="222222"/>
                <w:szCs w:val="20"/>
              </w:rPr>
              <w:t>NT</w:t>
            </w:r>
          </w:p>
        </w:tc>
        <w:tc>
          <w:tcPr>
            <w:tcW w:w="0" w:type="auto"/>
            <w:shd w:val="clear" w:color="auto" w:fill="DBE5F1" w:themeFill="accent1" w:themeFillTint="33"/>
            <w:tcMar>
              <w:top w:w="150" w:type="dxa"/>
              <w:left w:w="150" w:type="dxa"/>
              <w:bottom w:w="150" w:type="dxa"/>
              <w:right w:w="150" w:type="dxa"/>
            </w:tcMar>
            <w:vAlign w:val="center"/>
            <w:hideMark/>
          </w:tcPr>
          <w:p w14:paraId="5F9739C2" w14:textId="77777777" w:rsidR="00927137" w:rsidRPr="00927137" w:rsidRDefault="00927137" w:rsidP="0059518C">
            <w:pPr>
              <w:jc w:val="center"/>
              <w:rPr>
                <w:rFonts w:ascii="Helvetica" w:hAnsi="Helvetica" w:cs="Helvetica"/>
                <w:b/>
                <w:bCs/>
                <w:color w:val="222222"/>
                <w:szCs w:val="20"/>
              </w:rPr>
            </w:pPr>
            <w:r w:rsidRPr="00927137">
              <w:rPr>
                <w:rFonts w:ascii="Helvetica" w:hAnsi="Helvetica" w:cs="Helvetica"/>
                <w:b/>
                <w:bCs/>
                <w:color w:val="222222"/>
                <w:szCs w:val="20"/>
              </w:rPr>
              <w:t>National</w:t>
            </w:r>
          </w:p>
        </w:tc>
      </w:tr>
      <w:tr w:rsidR="00927137" w:rsidRPr="00927137" w14:paraId="6812EE09" w14:textId="77777777" w:rsidTr="00BD1F39">
        <w:trPr>
          <w:cantSplit/>
          <w:trHeight w:val="285"/>
        </w:trPr>
        <w:tc>
          <w:tcPr>
            <w:tcW w:w="0" w:type="auto"/>
            <w:shd w:val="clear" w:color="auto" w:fill="DBE5F1" w:themeFill="accent1" w:themeFillTint="33"/>
            <w:tcMar>
              <w:top w:w="150" w:type="dxa"/>
              <w:left w:w="150" w:type="dxa"/>
              <w:bottom w:w="150" w:type="dxa"/>
              <w:right w:w="150" w:type="dxa"/>
            </w:tcMar>
            <w:vAlign w:val="center"/>
            <w:hideMark/>
          </w:tcPr>
          <w:p w14:paraId="6E237B77" w14:textId="77777777" w:rsidR="00927137" w:rsidRPr="00927137" w:rsidRDefault="00927137" w:rsidP="00BD1F39">
            <w:pPr>
              <w:rPr>
                <w:rFonts w:ascii="Helvetica" w:hAnsi="Helvetica" w:cs="Helvetica"/>
                <w:b/>
                <w:bCs/>
                <w:color w:val="222222"/>
                <w:szCs w:val="20"/>
              </w:rPr>
            </w:pPr>
            <w:r w:rsidRPr="00927137">
              <w:rPr>
                <w:rFonts w:ascii="Helvetica" w:hAnsi="Helvetica" w:cs="Helvetica"/>
                <w:b/>
                <w:bCs/>
                <w:color w:val="222222"/>
                <w:szCs w:val="20"/>
              </w:rPr>
              <w:t>Males</w:t>
            </w:r>
          </w:p>
        </w:tc>
        <w:tc>
          <w:tcPr>
            <w:tcW w:w="0" w:type="auto"/>
            <w:shd w:val="clear" w:color="auto" w:fill="auto"/>
            <w:tcMar>
              <w:top w:w="150" w:type="dxa"/>
              <w:left w:w="150" w:type="dxa"/>
              <w:bottom w:w="150" w:type="dxa"/>
              <w:right w:w="150" w:type="dxa"/>
            </w:tcMar>
            <w:vAlign w:val="center"/>
            <w:hideMark/>
          </w:tcPr>
          <w:p w14:paraId="62446556"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15.6</w:t>
            </w:r>
          </w:p>
        </w:tc>
        <w:tc>
          <w:tcPr>
            <w:tcW w:w="0" w:type="auto"/>
            <w:shd w:val="clear" w:color="auto" w:fill="auto"/>
            <w:tcMar>
              <w:top w:w="150" w:type="dxa"/>
              <w:left w:w="150" w:type="dxa"/>
              <w:bottom w:w="150" w:type="dxa"/>
              <w:right w:w="150" w:type="dxa"/>
            </w:tcMar>
            <w:vAlign w:val="center"/>
            <w:hideMark/>
          </w:tcPr>
          <w:p w14:paraId="74F07DAA"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15.0</w:t>
            </w:r>
          </w:p>
        </w:tc>
        <w:tc>
          <w:tcPr>
            <w:tcW w:w="0" w:type="auto"/>
            <w:shd w:val="clear" w:color="auto" w:fill="auto"/>
            <w:tcMar>
              <w:top w:w="150" w:type="dxa"/>
              <w:left w:w="150" w:type="dxa"/>
              <w:bottom w:w="150" w:type="dxa"/>
              <w:right w:w="150" w:type="dxa"/>
            </w:tcMar>
            <w:vAlign w:val="center"/>
            <w:hideMark/>
          </w:tcPr>
          <w:p w14:paraId="4911D267"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18.4</w:t>
            </w:r>
          </w:p>
        </w:tc>
        <w:tc>
          <w:tcPr>
            <w:tcW w:w="0" w:type="auto"/>
            <w:shd w:val="clear" w:color="auto" w:fill="auto"/>
            <w:tcMar>
              <w:top w:w="150" w:type="dxa"/>
              <w:left w:w="150" w:type="dxa"/>
              <w:bottom w:w="150" w:type="dxa"/>
              <w:right w:w="150" w:type="dxa"/>
            </w:tcMar>
            <w:vAlign w:val="center"/>
            <w:hideMark/>
          </w:tcPr>
          <w:p w14:paraId="4BC185C5"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17.5</w:t>
            </w:r>
          </w:p>
        </w:tc>
        <w:tc>
          <w:tcPr>
            <w:tcW w:w="0" w:type="auto"/>
            <w:shd w:val="clear" w:color="auto" w:fill="auto"/>
            <w:tcMar>
              <w:top w:w="150" w:type="dxa"/>
              <w:left w:w="150" w:type="dxa"/>
              <w:bottom w:w="150" w:type="dxa"/>
              <w:right w:w="150" w:type="dxa"/>
            </w:tcMar>
            <w:vAlign w:val="center"/>
            <w:hideMark/>
          </w:tcPr>
          <w:p w14:paraId="5A35B3ED"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17.1</w:t>
            </w:r>
          </w:p>
        </w:tc>
        <w:tc>
          <w:tcPr>
            <w:tcW w:w="0" w:type="auto"/>
            <w:shd w:val="clear" w:color="auto" w:fill="auto"/>
            <w:tcMar>
              <w:top w:w="150" w:type="dxa"/>
              <w:left w:w="150" w:type="dxa"/>
              <w:bottom w:w="150" w:type="dxa"/>
              <w:right w:w="150" w:type="dxa"/>
            </w:tcMar>
            <w:vAlign w:val="center"/>
            <w:hideMark/>
          </w:tcPr>
          <w:p w14:paraId="59447160"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16.1</w:t>
            </w:r>
          </w:p>
        </w:tc>
        <w:tc>
          <w:tcPr>
            <w:tcW w:w="0" w:type="auto"/>
            <w:shd w:val="clear" w:color="auto" w:fill="auto"/>
            <w:tcMar>
              <w:top w:w="150" w:type="dxa"/>
              <w:left w:w="150" w:type="dxa"/>
              <w:bottom w:w="150" w:type="dxa"/>
              <w:right w:w="150" w:type="dxa"/>
            </w:tcMar>
            <w:vAlign w:val="center"/>
            <w:hideMark/>
          </w:tcPr>
          <w:p w14:paraId="31BE4764"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12.0</w:t>
            </w:r>
          </w:p>
        </w:tc>
        <w:tc>
          <w:tcPr>
            <w:tcW w:w="0" w:type="auto"/>
            <w:shd w:val="clear" w:color="auto" w:fill="auto"/>
            <w:tcMar>
              <w:top w:w="150" w:type="dxa"/>
              <w:left w:w="150" w:type="dxa"/>
              <w:bottom w:w="150" w:type="dxa"/>
              <w:right w:w="150" w:type="dxa"/>
            </w:tcMar>
            <w:vAlign w:val="center"/>
            <w:hideMark/>
          </w:tcPr>
          <w:p w14:paraId="6BC5A729"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27.5</w:t>
            </w:r>
          </w:p>
        </w:tc>
        <w:tc>
          <w:tcPr>
            <w:tcW w:w="0" w:type="auto"/>
            <w:shd w:val="clear" w:color="auto" w:fill="auto"/>
            <w:tcMar>
              <w:top w:w="150" w:type="dxa"/>
              <w:left w:w="150" w:type="dxa"/>
              <w:bottom w:w="150" w:type="dxa"/>
              <w:right w:w="150" w:type="dxa"/>
            </w:tcMar>
            <w:vAlign w:val="center"/>
            <w:hideMark/>
          </w:tcPr>
          <w:p w14:paraId="18AAB5F3"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16.4</w:t>
            </w:r>
          </w:p>
        </w:tc>
      </w:tr>
      <w:tr w:rsidR="00927137" w:rsidRPr="00927137" w14:paraId="0B9314F9" w14:textId="77777777" w:rsidTr="00BD1F39">
        <w:trPr>
          <w:cantSplit/>
          <w:trHeight w:val="393"/>
        </w:trPr>
        <w:tc>
          <w:tcPr>
            <w:tcW w:w="0" w:type="auto"/>
            <w:shd w:val="clear" w:color="auto" w:fill="DBE5F1" w:themeFill="accent1" w:themeFillTint="33"/>
            <w:tcMar>
              <w:top w:w="150" w:type="dxa"/>
              <w:left w:w="150" w:type="dxa"/>
              <w:bottom w:w="150" w:type="dxa"/>
              <w:right w:w="150" w:type="dxa"/>
            </w:tcMar>
            <w:vAlign w:val="center"/>
            <w:hideMark/>
          </w:tcPr>
          <w:p w14:paraId="3942C967" w14:textId="77777777" w:rsidR="00927137" w:rsidRPr="00927137" w:rsidRDefault="00927137" w:rsidP="00BD1F39">
            <w:pPr>
              <w:rPr>
                <w:rFonts w:ascii="Helvetica" w:hAnsi="Helvetica" w:cs="Helvetica"/>
                <w:b/>
                <w:bCs/>
                <w:color w:val="222222"/>
                <w:szCs w:val="20"/>
              </w:rPr>
            </w:pPr>
            <w:r w:rsidRPr="00927137">
              <w:rPr>
                <w:rFonts w:ascii="Helvetica" w:hAnsi="Helvetica" w:cs="Helvetica"/>
                <w:b/>
                <w:bCs/>
                <w:color w:val="222222"/>
                <w:szCs w:val="20"/>
              </w:rPr>
              <w:t>Females</w:t>
            </w:r>
          </w:p>
        </w:tc>
        <w:tc>
          <w:tcPr>
            <w:tcW w:w="0" w:type="auto"/>
            <w:shd w:val="clear" w:color="auto" w:fill="auto"/>
            <w:tcMar>
              <w:top w:w="150" w:type="dxa"/>
              <w:left w:w="150" w:type="dxa"/>
              <w:bottom w:w="150" w:type="dxa"/>
              <w:right w:w="150" w:type="dxa"/>
            </w:tcMar>
            <w:vAlign w:val="center"/>
            <w:hideMark/>
          </w:tcPr>
          <w:p w14:paraId="5235511A"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12.9</w:t>
            </w:r>
          </w:p>
        </w:tc>
        <w:tc>
          <w:tcPr>
            <w:tcW w:w="0" w:type="auto"/>
            <w:shd w:val="clear" w:color="auto" w:fill="auto"/>
            <w:tcMar>
              <w:top w:w="150" w:type="dxa"/>
              <w:left w:w="150" w:type="dxa"/>
              <w:bottom w:w="150" w:type="dxa"/>
              <w:right w:w="150" w:type="dxa"/>
            </w:tcMar>
            <w:vAlign w:val="center"/>
            <w:hideMark/>
          </w:tcPr>
          <w:p w14:paraId="627546BB"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14.7</w:t>
            </w:r>
          </w:p>
        </w:tc>
        <w:tc>
          <w:tcPr>
            <w:tcW w:w="0" w:type="auto"/>
            <w:shd w:val="clear" w:color="auto" w:fill="auto"/>
            <w:tcMar>
              <w:top w:w="150" w:type="dxa"/>
              <w:left w:w="150" w:type="dxa"/>
              <w:bottom w:w="150" w:type="dxa"/>
              <w:right w:w="150" w:type="dxa"/>
            </w:tcMar>
            <w:vAlign w:val="center"/>
            <w:hideMark/>
          </w:tcPr>
          <w:p w14:paraId="4827708A"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15.0</w:t>
            </w:r>
          </w:p>
        </w:tc>
        <w:tc>
          <w:tcPr>
            <w:tcW w:w="0" w:type="auto"/>
            <w:shd w:val="clear" w:color="auto" w:fill="auto"/>
            <w:tcMar>
              <w:top w:w="150" w:type="dxa"/>
              <w:left w:w="150" w:type="dxa"/>
              <w:bottom w:w="150" w:type="dxa"/>
              <w:right w:w="150" w:type="dxa"/>
            </w:tcMar>
            <w:vAlign w:val="center"/>
            <w:hideMark/>
          </w:tcPr>
          <w:p w14:paraId="2C153A99"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13.6</w:t>
            </w:r>
          </w:p>
        </w:tc>
        <w:tc>
          <w:tcPr>
            <w:tcW w:w="0" w:type="auto"/>
            <w:shd w:val="clear" w:color="auto" w:fill="auto"/>
            <w:tcMar>
              <w:top w:w="150" w:type="dxa"/>
              <w:left w:w="150" w:type="dxa"/>
              <w:bottom w:w="150" w:type="dxa"/>
              <w:right w:w="150" w:type="dxa"/>
            </w:tcMar>
            <w:vAlign w:val="center"/>
            <w:hideMark/>
          </w:tcPr>
          <w:p w14:paraId="4575B89A"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13.1</w:t>
            </w:r>
          </w:p>
        </w:tc>
        <w:tc>
          <w:tcPr>
            <w:tcW w:w="0" w:type="auto"/>
            <w:shd w:val="clear" w:color="auto" w:fill="auto"/>
            <w:tcMar>
              <w:top w:w="150" w:type="dxa"/>
              <w:left w:w="150" w:type="dxa"/>
              <w:bottom w:w="150" w:type="dxa"/>
              <w:right w:w="150" w:type="dxa"/>
            </w:tcMar>
            <w:vAlign w:val="center"/>
            <w:hideMark/>
          </w:tcPr>
          <w:p w14:paraId="5037CE8D"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15.8</w:t>
            </w:r>
          </w:p>
        </w:tc>
        <w:tc>
          <w:tcPr>
            <w:tcW w:w="0" w:type="auto"/>
            <w:shd w:val="clear" w:color="auto" w:fill="auto"/>
            <w:tcMar>
              <w:top w:w="150" w:type="dxa"/>
              <w:left w:w="150" w:type="dxa"/>
              <w:bottom w:w="150" w:type="dxa"/>
              <w:right w:w="150" w:type="dxa"/>
            </w:tcMar>
            <w:vAlign w:val="center"/>
            <w:hideMark/>
          </w:tcPr>
          <w:p w14:paraId="07FBD290"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10.1</w:t>
            </w:r>
          </w:p>
        </w:tc>
        <w:tc>
          <w:tcPr>
            <w:tcW w:w="0" w:type="auto"/>
            <w:shd w:val="clear" w:color="auto" w:fill="auto"/>
            <w:tcMar>
              <w:top w:w="150" w:type="dxa"/>
              <w:left w:w="150" w:type="dxa"/>
              <w:bottom w:w="150" w:type="dxa"/>
              <w:right w:w="150" w:type="dxa"/>
            </w:tcMar>
            <w:vAlign w:val="center"/>
            <w:hideMark/>
          </w:tcPr>
          <w:p w14:paraId="62C9A1E5"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16.8</w:t>
            </w:r>
          </w:p>
        </w:tc>
        <w:tc>
          <w:tcPr>
            <w:tcW w:w="0" w:type="auto"/>
            <w:shd w:val="clear" w:color="auto" w:fill="auto"/>
            <w:tcMar>
              <w:top w:w="150" w:type="dxa"/>
              <w:left w:w="150" w:type="dxa"/>
              <w:bottom w:w="150" w:type="dxa"/>
              <w:right w:w="150" w:type="dxa"/>
            </w:tcMar>
            <w:vAlign w:val="center"/>
            <w:hideMark/>
          </w:tcPr>
          <w:p w14:paraId="6C54C83F"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13.9</w:t>
            </w:r>
          </w:p>
        </w:tc>
      </w:tr>
      <w:tr w:rsidR="00927137" w:rsidRPr="00927137" w14:paraId="5F1D0484" w14:textId="77777777" w:rsidTr="00BD1F39">
        <w:trPr>
          <w:cantSplit/>
          <w:trHeight w:val="315"/>
        </w:trPr>
        <w:tc>
          <w:tcPr>
            <w:tcW w:w="0" w:type="auto"/>
            <w:shd w:val="clear" w:color="auto" w:fill="DBE5F1" w:themeFill="accent1" w:themeFillTint="33"/>
            <w:tcMar>
              <w:top w:w="150" w:type="dxa"/>
              <w:left w:w="150" w:type="dxa"/>
              <w:bottom w:w="150" w:type="dxa"/>
              <w:right w:w="150" w:type="dxa"/>
            </w:tcMar>
            <w:vAlign w:val="center"/>
            <w:hideMark/>
          </w:tcPr>
          <w:p w14:paraId="24984024" w14:textId="77777777" w:rsidR="00927137" w:rsidRPr="00927137" w:rsidRDefault="00927137" w:rsidP="00BD1F39">
            <w:pPr>
              <w:rPr>
                <w:rFonts w:ascii="Helvetica" w:hAnsi="Helvetica" w:cs="Helvetica"/>
                <w:b/>
                <w:bCs/>
                <w:color w:val="222222"/>
                <w:szCs w:val="20"/>
              </w:rPr>
            </w:pPr>
            <w:r w:rsidRPr="00927137">
              <w:rPr>
                <w:rFonts w:ascii="Helvetica" w:hAnsi="Helvetica" w:cs="Helvetica"/>
                <w:b/>
                <w:bCs/>
                <w:color w:val="222222"/>
                <w:szCs w:val="20"/>
              </w:rPr>
              <w:t>Persons</w:t>
            </w:r>
          </w:p>
        </w:tc>
        <w:tc>
          <w:tcPr>
            <w:tcW w:w="0" w:type="auto"/>
            <w:shd w:val="clear" w:color="auto" w:fill="auto"/>
            <w:tcMar>
              <w:top w:w="150" w:type="dxa"/>
              <w:left w:w="150" w:type="dxa"/>
              <w:bottom w:w="150" w:type="dxa"/>
              <w:right w:w="150" w:type="dxa"/>
            </w:tcMar>
            <w:vAlign w:val="center"/>
            <w:hideMark/>
          </w:tcPr>
          <w:p w14:paraId="7FE17AF1"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14.2</w:t>
            </w:r>
          </w:p>
        </w:tc>
        <w:tc>
          <w:tcPr>
            <w:tcW w:w="0" w:type="auto"/>
            <w:shd w:val="clear" w:color="auto" w:fill="auto"/>
            <w:tcMar>
              <w:top w:w="150" w:type="dxa"/>
              <w:left w:w="150" w:type="dxa"/>
              <w:bottom w:w="150" w:type="dxa"/>
              <w:right w:w="150" w:type="dxa"/>
            </w:tcMar>
            <w:vAlign w:val="center"/>
            <w:hideMark/>
          </w:tcPr>
          <w:p w14:paraId="083675E7"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14.9</w:t>
            </w:r>
          </w:p>
        </w:tc>
        <w:tc>
          <w:tcPr>
            <w:tcW w:w="0" w:type="auto"/>
            <w:shd w:val="clear" w:color="auto" w:fill="auto"/>
            <w:tcMar>
              <w:top w:w="150" w:type="dxa"/>
              <w:left w:w="150" w:type="dxa"/>
              <w:bottom w:w="150" w:type="dxa"/>
              <w:right w:w="150" w:type="dxa"/>
            </w:tcMar>
            <w:vAlign w:val="center"/>
            <w:hideMark/>
          </w:tcPr>
          <w:p w14:paraId="2C55C642"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16.7</w:t>
            </w:r>
          </w:p>
        </w:tc>
        <w:tc>
          <w:tcPr>
            <w:tcW w:w="0" w:type="auto"/>
            <w:shd w:val="clear" w:color="auto" w:fill="auto"/>
            <w:tcMar>
              <w:top w:w="150" w:type="dxa"/>
              <w:left w:w="150" w:type="dxa"/>
              <w:bottom w:w="150" w:type="dxa"/>
              <w:right w:w="150" w:type="dxa"/>
            </w:tcMar>
            <w:vAlign w:val="center"/>
            <w:hideMark/>
          </w:tcPr>
          <w:p w14:paraId="71A39350"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15.6</w:t>
            </w:r>
          </w:p>
        </w:tc>
        <w:tc>
          <w:tcPr>
            <w:tcW w:w="0" w:type="auto"/>
            <w:shd w:val="clear" w:color="auto" w:fill="auto"/>
            <w:tcMar>
              <w:top w:w="150" w:type="dxa"/>
              <w:left w:w="150" w:type="dxa"/>
              <w:bottom w:w="150" w:type="dxa"/>
              <w:right w:w="150" w:type="dxa"/>
            </w:tcMar>
            <w:vAlign w:val="center"/>
            <w:hideMark/>
          </w:tcPr>
          <w:p w14:paraId="2B574CE4"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15.0</w:t>
            </w:r>
          </w:p>
        </w:tc>
        <w:tc>
          <w:tcPr>
            <w:tcW w:w="0" w:type="auto"/>
            <w:shd w:val="clear" w:color="auto" w:fill="auto"/>
            <w:tcMar>
              <w:top w:w="150" w:type="dxa"/>
              <w:left w:w="150" w:type="dxa"/>
              <w:bottom w:w="150" w:type="dxa"/>
              <w:right w:w="150" w:type="dxa"/>
            </w:tcMar>
            <w:vAlign w:val="center"/>
            <w:hideMark/>
          </w:tcPr>
          <w:p w14:paraId="4F2D7ECD"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15.9</w:t>
            </w:r>
          </w:p>
        </w:tc>
        <w:tc>
          <w:tcPr>
            <w:tcW w:w="0" w:type="auto"/>
            <w:shd w:val="clear" w:color="auto" w:fill="auto"/>
            <w:tcMar>
              <w:top w:w="150" w:type="dxa"/>
              <w:left w:w="150" w:type="dxa"/>
              <w:bottom w:w="150" w:type="dxa"/>
              <w:right w:w="150" w:type="dxa"/>
            </w:tcMar>
            <w:vAlign w:val="center"/>
            <w:hideMark/>
          </w:tcPr>
          <w:p w14:paraId="1F664C40"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11.0</w:t>
            </w:r>
          </w:p>
        </w:tc>
        <w:tc>
          <w:tcPr>
            <w:tcW w:w="0" w:type="auto"/>
            <w:shd w:val="clear" w:color="auto" w:fill="auto"/>
            <w:tcMar>
              <w:top w:w="150" w:type="dxa"/>
              <w:left w:w="150" w:type="dxa"/>
              <w:bottom w:w="150" w:type="dxa"/>
              <w:right w:w="150" w:type="dxa"/>
            </w:tcMar>
            <w:vAlign w:val="center"/>
            <w:hideMark/>
          </w:tcPr>
          <w:p w14:paraId="3287FB8F"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22.3</w:t>
            </w:r>
          </w:p>
        </w:tc>
        <w:tc>
          <w:tcPr>
            <w:tcW w:w="0" w:type="auto"/>
            <w:shd w:val="clear" w:color="auto" w:fill="auto"/>
            <w:tcMar>
              <w:top w:w="150" w:type="dxa"/>
              <w:left w:w="150" w:type="dxa"/>
              <w:bottom w:w="150" w:type="dxa"/>
              <w:right w:w="150" w:type="dxa"/>
            </w:tcMar>
            <w:vAlign w:val="center"/>
            <w:hideMark/>
          </w:tcPr>
          <w:p w14:paraId="25CA5B4B"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15.1</w:t>
            </w:r>
          </w:p>
        </w:tc>
      </w:tr>
      <w:tr w:rsidR="00E70DF4" w:rsidRPr="00927137" w14:paraId="6A0E2E31" w14:textId="77777777" w:rsidTr="00BD1F39">
        <w:trPr>
          <w:cantSplit/>
          <w:trHeight w:val="387"/>
        </w:trPr>
        <w:tc>
          <w:tcPr>
            <w:tcW w:w="0" w:type="auto"/>
            <w:shd w:val="clear" w:color="auto" w:fill="DBE5F1" w:themeFill="accent1" w:themeFillTint="33"/>
            <w:tcMar>
              <w:top w:w="150" w:type="dxa"/>
              <w:left w:w="150" w:type="dxa"/>
              <w:bottom w:w="150" w:type="dxa"/>
              <w:right w:w="150" w:type="dxa"/>
            </w:tcMar>
            <w:vAlign w:val="center"/>
            <w:hideMark/>
          </w:tcPr>
          <w:p w14:paraId="77432599" w14:textId="77777777" w:rsidR="00927137" w:rsidRPr="00927137" w:rsidRDefault="00927137" w:rsidP="00BD1F39">
            <w:pPr>
              <w:rPr>
                <w:rFonts w:ascii="Helvetica" w:hAnsi="Helvetica" w:cs="Helvetica"/>
                <w:b/>
                <w:bCs/>
                <w:color w:val="222222"/>
                <w:szCs w:val="20"/>
              </w:rPr>
            </w:pPr>
            <w:r w:rsidRPr="00927137">
              <w:rPr>
                <w:rFonts w:ascii="Helvetica" w:hAnsi="Helvetica" w:cs="Helvetica"/>
                <w:b/>
                <w:bCs/>
                <w:color w:val="222222"/>
                <w:szCs w:val="20"/>
              </w:rPr>
              <w:t>2013</w:t>
            </w:r>
          </w:p>
        </w:tc>
        <w:tc>
          <w:tcPr>
            <w:tcW w:w="0" w:type="auto"/>
            <w:shd w:val="clear" w:color="auto" w:fill="DBE5F1" w:themeFill="accent1" w:themeFillTint="33"/>
            <w:tcMar>
              <w:top w:w="150" w:type="dxa"/>
              <w:left w:w="150" w:type="dxa"/>
              <w:bottom w:w="150" w:type="dxa"/>
              <w:right w:w="150" w:type="dxa"/>
            </w:tcMar>
            <w:vAlign w:val="center"/>
            <w:hideMark/>
          </w:tcPr>
          <w:p w14:paraId="66066321" w14:textId="77777777" w:rsidR="00927137" w:rsidRPr="00927137" w:rsidRDefault="00927137" w:rsidP="0059518C">
            <w:pPr>
              <w:jc w:val="center"/>
              <w:rPr>
                <w:rFonts w:ascii="Helvetica" w:hAnsi="Helvetica" w:cs="Helvetica"/>
                <w:b/>
                <w:bCs/>
                <w:color w:val="222222"/>
                <w:szCs w:val="20"/>
              </w:rPr>
            </w:pPr>
            <w:r w:rsidRPr="00927137">
              <w:rPr>
                <w:rFonts w:ascii="Helvetica" w:hAnsi="Helvetica" w:cs="Helvetica"/>
                <w:b/>
                <w:bCs/>
                <w:color w:val="222222"/>
                <w:szCs w:val="20"/>
              </w:rPr>
              <w:t>NSW</w:t>
            </w:r>
          </w:p>
        </w:tc>
        <w:tc>
          <w:tcPr>
            <w:tcW w:w="0" w:type="auto"/>
            <w:shd w:val="clear" w:color="auto" w:fill="DBE5F1" w:themeFill="accent1" w:themeFillTint="33"/>
            <w:tcMar>
              <w:top w:w="150" w:type="dxa"/>
              <w:left w:w="150" w:type="dxa"/>
              <w:bottom w:w="150" w:type="dxa"/>
              <w:right w:w="150" w:type="dxa"/>
            </w:tcMar>
            <w:vAlign w:val="center"/>
            <w:hideMark/>
          </w:tcPr>
          <w:p w14:paraId="1E15CF45" w14:textId="77777777" w:rsidR="00927137" w:rsidRPr="00927137" w:rsidRDefault="00927137" w:rsidP="0059518C">
            <w:pPr>
              <w:jc w:val="center"/>
              <w:rPr>
                <w:rFonts w:ascii="Helvetica" w:hAnsi="Helvetica" w:cs="Helvetica"/>
                <w:b/>
                <w:bCs/>
                <w:color w:val="222222"/>
                <w:szCs w:val="20"/>
              </w:rPr>
            </w:pPr>
            <w:r w:rsidRPr="00927137">
              <w:rPr>
                <w:rFonts w:ascii="Helvetica" w:hAnsi="Helvetica" w:cs="Helvetica"/>
                <w:b/>
                <w:bCs/>
                <w:color w:val="222222"/>
                <w:szCs w:val="20"/>
              </w:rPr>
              <w:t>Vic</w:t>
            </w:r>
          </w:p>
        </w:tc>
        <w:tc>
          <w:tcPr>
            <w:tcW w:w="0" w:type="auto"/>
            <w:shd w:val="clear" w:color="auto" w:fill="DBE5F1" w:themeFill="accent1" w:themeFillTint="33"/>
            <w:tcMar>
              <w:top w:w="150" w:type="dxa"/>
              <w:left w:w="150" w:type="dxa"/>
              <w:bottom w:w="150" w:type="dxa"/>
              <w:right w:w="150" w:type="dxa"/>
            </w:tcMar>
            <w:vAlign w:val="center"/>
            <w:hideMark/>
          </w:tcPr>
          <w:p w14:paraId="45BD3B38" w14:textId="77777777" w:rsidR="00927137" w:rsidRPr="00927137" w:rsidRDefault="00927137" w:rsidP="0059518C">
            <w:pPr>
              <w:jc w:val="center"/>
              <w:rPr>
                <w:rFonts w:ascii="Helvetica" w:hAnsi="Helvetica" w:cs="Helvetica"/>
                <w:b/>
                <w:bCs/>
                <w:color w:val="222222"/>
                <w:szCs w:val="20"/>
              </w:rPr>
            </w:pPr>
            <w:r w:rsidRPr="00927137">
              <w:rPr>
                <w:rFonts w:ascii="Helvetica" w:hAnsi="Helvetica" w:cs="Helvetica"/>
                <w:b/>
                <w:bCs/>
                <w:color w:val="222222"/>
                <w:szCs w:val="20"/>
              </w:rPr>
              <w:t>QLD</w:t>
            </w:r>
          </w:p>
        </w:tc>
        <w:tc>
          <w:tcPr>
            <w:tcW w:w="0" w:type="auto"/>
            <w:shd w:val="clear" w:color="auto" w:fill="DBE5F1" w:themeFill="accent1" w:themeFillTint="33"/>
            <w:tcMar>
              <w:top w:w="150" w:type="dxa"/>
              <w:left w:w="150" w:type="dxa"/>
              <w:bottom w:w="150" w:type="dxa"/>
              <w:right w:w="150" w:type="dxa"/>
            </w:tcMar>
            <w:vAlign w:val="center"/>
            <w:hideMark/>
          </w:tcPr>
          <w:p w14:paraId="0795B32E" w14:textId="77777777" w:rsidR="00927137" w:rsidRPr="00927137" w:rsidRDefault="00927137" w:rsidP="0059518C">
            <w:pPr>
              <w:jc w:val="center"/>
              <w:rPr>
                <w:rFonts w:ascii="Helvetica" w:hAnsi="Helvetica" w:cs="Helvetica"/>
                <w:b/>
                <w:bCs/>
                <w:color w:val="222222"/>
                <w:szCs w:val="20"/>
              </w:rPr>
            </w:pPr>
            <w:r w:rsidRPr="00927137">
              <w:rPr>
                <w:rFonts w:ascii="Helvetica" w:hAnsi="Helvetica" w:cs="Helvetica"/>
                <w:b/>
                <w:bCs/>
                <w:color w:val="222222"/>
                <w:szCs w:val="20"/>
              </w:rPr>
              <w:t>WA</w:t>
            </w:r>
          </w:p>
        </w:tc>
        <w:tc>
          <w:tcPr>
            <w:tcW w:w="0" w:type="auto"/>
            <w:shd w:val="clear" w:color="auto" w:fill="DBE5F1" w:themeFill="accent1" w:themeFillTint="33"/>
            <w:tcMar>
              <w:top w:w="150" w:type="dxa"/>
              <w:left w:w="150" w:type="dxa"/>
              <w:bottom w:w="150" w:type="dxa"/>
              <w:right w:w="150" w:type="dxa"/>
            </w:tcMar>
            <w:vAlign w:val="center"/>
            <w:hideMark/>
          </w:tcPr>
          <w:p w14:paraId="1507AB67" w14:textId="77777777" w:rsidR="00927137" w:rsidRPr="00927137" w:rsidRDefault="00927137" w:rsidP="0059518C">
            <w:pPr>
              <w:jc w:val="center"/>
              <w:rPr>
                <w:rFonts w:ascii="Helvetica" w:hAnsi="Helvetica" w:cs="Helvetica"/>
                <w:b/>
                <w:bCs/>
                <w:color w:val="222222"/>
                <w:szCs w:val="20"/>
              </w:rPr>
            </w:pPr>
            <w:r w:rsidRPr="00927137">
              <w:rPr>
                <w:rFonts w:ascii="Helvetica" w:hAnsi="Helvetica" w:cs="Helvetica"/>
                <w:b/>
                <w:bCs/>
                <w:color w:val="222222"/>
                <w:szCs w:val="20"/>
              </w:rPr>
              <w:t>SA</w:t>
            </w:r>
          </w:p>
        </w:tc>
        <w:tc>
          <w:tcPr>
            <w:tcW w:w="0" w:type="auto"/>
            <w:shd w:val="clear" w:color="auto" w:fill="DBE5F1" w:themeFill="accent1" w:themeFillTint="33"/>
            <w:tcMar>
              <w:top w:w="150" w:type="dxa"/>
              <w:left w:w="150" w:type="dxa"/>
              <w:bottom w:w="150" w:type="dxa"/>
              <w:right w:w="150" w:type="dxa"/>
            </w:tcMar>
            <w:vAlign w:val="center"/>
            <w:hideMark/>
          </w:tcPr>
          <w:p w14:paraId="62475107" w14:textId="77777777" w:rsidR="00927137" w:rsidRPr="00927137" w:rsidRDefault="00927137" w:rsidP="0059518C">
            <w:pPr>
              <w:jc w:val="center"/>
              <w:rPr>
                <w:rFonts w:ascii="Helvetica" w:hAnsi="Helvetica" w:cs="Helvetica"/>
                <w:b/>
                <w:bCs/>
                <w:color w:val="222222"/>
                <w:szCs w:val="20"/>
              </w:rPr>
            </w:pPr>
            <w:r w:rsidRPr="00927137">
              <w:rPr>
                <w:rFonts w:ascii="Helvetica" w:hAnsi="Helvetica" w:cs="Helvetica"/>
                <w:b/>
                <w:bCs/>
                <w:color w:val="222222"/>
                <w:szCs w:val="20"/>
              </w:rPr>
              <w:t>Tas</w:t>
            </w:r>
          </w:p>
        </w:tc>
        <w:tc>
          <w:tcPr>
            <w:tcW w:w="0" w:type="auto"/>
            <w:shd w:val="clear" w:color="auto" w:fill="DBE5F1" w:themeFill="accent1" w:themeFillTint="33"/>
            <w:tcMar>
              <w:top w:w="150" w:type="dxa"/>
              <w:left w:w="150" w:type="dxa"/>
              <w:bottom w:w="150" w:type="dxa"/>
              <w:right w:w="150" w:type="dxa"/>
            </w:tcMar>
            <w:vAlign w:val="center"/>
            <w:hideMark/>
          </w:tcPr>
          <w:p w14:paraId="64FC65BD" w14:textId="77777777" w:rsidR="00927137" w:rsidRPr="00927137" w:rsidRDefault="00927137" w:rsidP="0059518C">
            <w:pPr>
              <w:jc w:val="center"/>
              <w:rPr>
                <w:rFonts w:ascii="Helvetica" w:hAnsi="Helvetica" w:cs="Helvetica"/>
                <w:b/>
                <w:bCs/>
                <w:color w:val="222222"/>
                <w:szCs w:val="20"/>
              </w:rPr>
            </w:pPr>
            <w:r w:rsidRPr="00927137">
              <w:rPr>
                <w:rFonts w:ascii="Helvetica" w:hAnsi="Helvetica" w:cs="Helvetica"/>
                <w:b/>
                <w:bCs/>
                <w:color w:val="222222"/>
                <w:szCs w:val="20"/>
              </w:rPr>
              <w:t>ACT</w:t>
            </w:r>
          </w:p>
        </w:tc>
        <w:tc>
          <w:tcPr>
            <w:tcW w:w="0" w:type="auto"/>
            <w:shd w:val="clear" w:color="auto" w:fill="DBE5F1" w:themeFill="accent1" w:themeFillTint="33"/>
            <w:tcMar>
              <w:top w:w="150" w:type="dxa"/>
              <w:left w:w="150" w:type="dxa"/>
              <w:bottom w:w="150" w:type="dxa"/>
              <w:right w:w="150" w:type="dxa"/>
            </w:tcMar>
            <w:vAlign w:val="center"/>
            <w:hideMark/>
          </w:tcPr>
          <w:p w14:paraId="41D7E897" w14:textId="77777777" w:rsidR="00927137" w:rsidRPr="00927137" w:rsidRDefault="00927137" w:rsidP="0059518C">
            <w:pPr>
              <w:jc w:val="center"/>
              <w:rPr>
                <w:rFonts w:ascii="Helvetica" w:hAnsi="Helvetica" w:cs="Helvetica"/>
                <w:b/>
                <w:bCs/>
                <w:color w:val="222222"/>
                <w:szCs w:val="20"/>
              </w:rPr>
            </w:pPr>
            <w:r w:rsidRPr="00927137">
              <w:rPr>
                <w:rFonts w:ascii="Helvetica" w:hAnsi="Helvetica" w:cs="Helvetica"/>
                <w:b/>
                <w:bCs/>
                <w:color w:val="222222"/>
                <w:szCs w:val="20"/>
              </w:rPr>
              <w:t>NT</w:t>
            </w:r>
          </w:p>
        </w:tc>
        <w:tc>
          <w:tcPr>
            <w:tcW w:w="0" w:type="auto"/>
            <w:shd w:val="clear" w:color="auto" w:fill="DBE5F1" w:themeFill="accent1" w:themeFillTint="33"/>
            <w:tcMar>
              <w:top w:w="150" w:type="dxa"/>
              <w:left w:w="150" w:type="dxa"/>
              <w:bottom w:w="150" w:type="dxa"/>
              <w:right w:w="150" w:type="dxa"/>
            </w:tcMar>
            <w:vAlign w:val="center"/>
            <w:hideMark/>
          </w:tcPr>
          <w:p w14:paraId="1302B609" w14:textId="77777777" w:rsidR="00927137" w:rsidRPr="00927137" w:rsidRDefault="00927137" w:rsidP="0059518C">
            <w:pPr>
              <w:jc w:val="center"/>
              <w:rPr>
                <w:rFonts w:ascii="Helvetica" w:hAnsi="Helvetica" w:cs="Helvetica"/>
                <w:b/>
                <w:bCs/>
                <w:color w:val="222222"/>
                <w:szCs w:val="20"/>
              </w:rPr>
            </w:pPr>
            <w:r w:rsidRPr="00927137">
              <w:rPr>
                <w:rFonts w:ascii="Helvetica" w:hAnsi="Helvetica" w:cs="Helvetica"/>
                <w:b/>
                <w:bCs/>
                <w:color w:val="222222"/>
                <w:szCs w:val="20"/>
              </w:rPr>
              <w:t>National</w:t>
            </w:r>
          </w:p>
        </w:tc>
      </w:tr>
      <w:tr w:rsidR="00927137" w:rsidRPr="00927137" w14:paraId="04906070" w14:textId="77777777" w:rsidTr="00BD1F39">
        <w:trPr>
          <w:cantSplit/>
          <w:trHeight w:val="397"/>
        </w:trPr>
        <w:tc>
          <w:tcPr>
            <w:tcW w:w="0" w:type="auto"/>
            <w:shd w:val="clear" w:color="auto" w:fill="DBE5F1" w:themeFill="accent1" w:themeFillTint="33"/>
            <w:tcMar>
              <w:top w:w="150" w:type="dxa"/>
              <w:left w:w="150" w:type="dxa"/>
              <w:bottom w:w="150" w:type="dxa"/>
              <w:right w:w="150" w:type="dxa"/>
            </w:tcMar>
            <w:vAlign w:val="center"/>
            <w:hideMark/>
          </w:tcPr>
          <w:p w14:paraId="3D0EED1C" w14:textId="77777777" w:rsidR="00927137" w:rsidRPr="00927137" w:rsidRDefault="00927137" w:rsidP="00BD1F39">
            <w:pPr>
              <w:rPr>
                <w:rFonts w:ascii="Helvetica" w:hAnsi="Helvetica" w:cs="Helvetica"/>
                <w:b/>
                <w:bCs/>
                <w:color w:val="222222"/>
                <w:szCs w:val="20"/>
              </w:rPr>
            </w:pPr>
            <w:r w:rsidRPr="00927137">
              <w:rPr>
                <w:rFonts w:ascii="Helvetica" w:hAnsi="Helvetica" w:cs="Helvetica"/>
                <w:b/>
                <w:bCs/>
                <w:color w:val="222222"/>
                <w:szCs w:val="20"/>
              </w:rPr>
              <w:t>Males</w:t>
            </w:r>
          </w:p>
        </w:tc>
        <w:tc>
          <w:tcPr>
            <w:tcW w:w="0" w:type="auto"/>
            <w:shd w:val="clear" w:color="auto" w:fill="auto"/>
            <w:tcMar>
              <w:top w:w="150" w:type="dxa"/>
              <w:left w:w="150" w:type="dxa"/>
              <w:bottom w:w="150" w:type="dxa"/>
              <w:right w:w="150" w:type="dxa"/>
            </w:tcMar>
            <w:vAlign w:val="center"/>
            <w:hideMark/>
          </w:tcPr>
          <w:p w14:paraId="00AB26D0"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13.3</w:t>
            </w:r>
          </w:p>
        </w:tc>
        <w:tc>
          <w:tcPr>
            <w:tcW w:w="0" w:type="auto"/>
            <w:shd w:val="clear" w:color="auto" w:fill="auto"/>
            <w:tcMar>
              <w:top w:w="150" w:type="dxa"/>
              <w:left w:w="150" w:type="dxa"/>
              <w:bottom w:w="150" w:type="dxa"/>
              <w:right w:w="150" w:type="dxa"/>
            </w:tcMar>
            <w:vAlign w:val="center"/>
            <w:hideMark/>
          </w:tcPr>
          <w:p w14:paraId="40FCB2A8"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14.0</w:t>
            </w:r>
          </w:p>
        </w:tc>
        <w:tc>
          <w:tcPr>
            <w:tcW w:w="0" w:type="auto"/>
            <w:shd w:val="clear" w:color="auto" w:fill="auto"/>
            <w:tcMar>
              <w:top w:w="150" w:type="dxa"/>
              <w:left w:w="150" w:type="dxa"/>
              <w:bottom w:w="150" w:type="dxa"/>
              <w:right w:w="150" w:type="dxa"/>
            </w:tcMar>
            <w:vAlign w:val="center"/>
            <w:hideMark/>
          </w:tcPr>
          <w:p w14:paraId="395EC09B"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17.0</w:t>
            </w:r>
          </w:p>
        </w:tc>
        <w:tc>
          <w:tcPr>
            <w:tcW w:w="0" w:type="auto"/>
            <w:shd w:val="clear" w:color="auto" w:fill="auto"/>
            <w:tcMar>
              <w:top w:w="150" w:type="dxa"/>
              <w:left w:w="150" w:type="dxa"/>
              <w:bottom w:w="150" w:type="dxa"/>
              <w:right w:w="150" w:type="dxa"/>
            </w:tcMar>
            <w:vAlign w:val="center"/>
            <w:hideMark/>
          </w:tcPr>
          <w:p w14:paraId="030FDCFE"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15.7</w:t>
            </w:r>
          </w:p>
        </w:tc>
        <w:tc>
          <w:tcPr>
            <w:tcW w:w="0" w:type="auto"/>
            <w:shd w:val="clear" w:color="auto" w:fill="auto"/>
            <w:tcMar>
              <w:top w:w="150" w:type="dxa"/>
              <w:left w:w="150" w:type="dxa"/>
              <w:bottom w:w="150" w:type="dxa"/>
              <w:right w:w="150" w:type="dxa"/>
            </w:tcMar>
            <w:vAlign w:val="center"/>
            <w:hideMark/>
          </w:tcPr>
          <w:p w14:paraId="129DB838"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12.9</w:t>
            </w:r>
          </w:p>
        </w:tc>
        <w:tc>
          <w:tcPr>
            <w:tcW w:w="0" w:type="auto"/>
            <w:shd w:val="clear" w:color="auto" w:fill="auto"/>
            <w:tcMar>
              <w:top w:w="150" w:type="dxa"/>
              <w:left w:w="150" w:type="dxa"/>
              <w:bottom w:w="150" w:type="dxa"/>
              <w:right w:w="150" w:type="dxa"/>
            </w:tcMar>
            <w:vAlign w:val="center"/>
            <w:hideMark/>
          </w:tcPr>
          <w:p w14:paraId="47B0FBCF"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19.8</w:t>
            </w:r>
          </w:p>
        </w:tc>
        <w:tc>
          <w:tcPr>
            <w:tcW w:w="0" w:type="auto"/>
            <w:shd w:val="clear" w:color="auto" w:fill="auto"/>
            <w:tcMar>
              <w:top w:w="150" w:type="dxa"/>
              <w:left w:w="150" w:type="dxa"/>
              <w:bottom w:w="150" w:type="dxa"/>
              <w:right w:w="150" w:type="dxa"/>
            </w:tcMar>
            <w:vAlign w:val="center"/>
            <w:hideMark/>
          </w:tcPr>
          <w:p w14:paraId="6BB91F45"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9.6</w:t>
            </w:r>
          </w:p>
        </w:tc>
        <w:tc>
          <w:tcPr>
            <w:tcW w:w="0" w:type="auto"/>
            <w:shd w:val="clear" w:color="auto" w:fill="auto"/>
            <w:tcMar>
              <w:top w:w="150" w:type="dxa"/>
              <w:left w:w="150" w:type="dxa"/>
              <w:bottom w:w="150" w:type="dxa"/>
              <w:right w:w="150" w:type="dxa"/>
            </w:tcMar>
            <w:vAlign w:val="center"/>
            <w:hideMark/>
          </w:tcPr>
          <w:p w14:paraId="37F1898F"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23.6</w:t>
            </w:r>
          </w:p>
        </w:tc>
        <w:tc>
          <w:tcPr>
            <w:tcW w:w="0" w:type="auto"/>
            <w:shd w:val="clear" w:color="auto" w:fill="auto"/>
            <w:tcMar>
              <w:top w:w="150" w:type="dxa"/>
              <w:left w:w="150" w:type="dxa"/>
              <w:bottom w:w="150" w:type="dxa"/>
              <w:right w:w="150" w:type="dxa"/>
            </w:tcMar>
            <w:vAlign w:val="center"/>
            <w:hideMark/>
          </w:tcPr>
          <w:p w14:paraId="48371794"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14.6</w:t>
            </w:r>
          </w:p>
        </w:tc>
      </w:tr>
      <w:tr w:rsidR="00927137" w:rsidRPr="00927137" w14:paraId="262D6E8E" w14:textId="77777777" w:rsidTr="00BD1F39">
        <w:trPr>
          <w:cantSplit/>
          <w:trHeight w:val="407"/>
        </w:trPr>
        <w:tc>
          <w:tcPr>
            <w:tcW w:w="0" w:type="auto"/>
            <w:shd w:val="clear" w:color="auto" w:fill="DBE5F1" w:themeFill="accent1" w:themeFillTint="33"/>
            <w:tcMar>
              <w:top w:w="150" w:type="dxa"/>
              <w:left w:w="150" w:type="dxa"/>
              <w:bottom w:w="150" w:type="dxa"/>
              <w:right w:w="150" w:type="dxa"/>
            </w:tcMar>
            <w:vAlign w:val="center"/>
            <w:hideMark/>
          </w:tcPr>
          <w:p w14:paraId="31D049BB" w14:textId="77777777" w:rsidR="00927137" w:rsidRPr="00927137" w:rsidRDefault="00927137" w:rsidP="00BD1F39">
            <w:pPr>
              <w:rPr>
                <w:rFonts w:ascii="Helvetica" w:hAnsi="Helvetica" w:cs="Helvetica"/>
                <w:b/>
                <w:bCs/>
                <w:color w:val="222222"/>
                <w:szCs w:val="20"/>
              </w:rPr>
            </w:pPr>
            <w:r w:rsidRPr="00927137">
              <w:rPr>
                <w:rFonts w:ascii="Helvetica" w:hAnsi="Helvetica" w:cs="Helvetica"/>
                <w:b/>
                <w:bCs/>
                <w:color w:val="222222"/>
                <w:szCs w:val="20"/>
              </w:rPr>
              <w:t>Females</w:t>
            </w:r>
          </w:p>
        </w:tc>
        <w:tc>
          <w:tcPr>
            <w:tcW w:w="0" w:type="auto"/>
            <w:shd w:val="clear" w:color="auto" w:fill="auto"/>
            <w:tcMar>
              <w:top w:w="150" w:type="dxa"/>
              <w:left w:w="150" w:type="dxa"/>
              <w:bottom w:w="150" w:type="dxa"/>
              <w:right w:w="150" w:type="dxa"/>
            </w:tcMar>
            <w:vAlign w:val="center"/>
            <w:hideMark/>
          </w:tcPr>
          <w:p w14:paraId="1EA968BF"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10.3</w:t>
            </w:r>
          </w:p>
        </w:tc>
        <w:tc>
          <w:tcPr>
            <w:tcW w:w="0" w:type="auto"/>
            <w:shd w:val="clear" w:color="auto" w:fill="auto"/>
            <w:tcMar>
              <w:top w:w="150" w:type="dxa"/>
              <w:left w:w="150" w:type="dxa"/>
              <w:bottom w:w="150" w:type="dxa"/>
              <w:right w:w="150" w:type="dxa"/>
            </w:tcMar>
            <w:vAlign w:val="center"/>
            <w:hideMark/>
          </w:tcPr>
          <w:p w14:paraId="64242ABF"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10.6</w:t>
            </w:r>
          </w:p>
        </w:tc>
        <w:tc>
          <w:tcPr>
            <w:tcW w:w="0" w:type="auto"/>
            <w:shd w:val="clear" w:color="auto" w:fill="auto"/>
            <w:tcMar>
              <w:top w:w="150" w:type="dxa"/>
              <w:left w:w="150" w:type="dxa"/>
              <w:bottom w:w="150" w:type="dxa"/>
              <w:right w:w="150" w:type="dxa"/>
            </w:tcMar>
            <w:vAlign w:val="center"/>
            <w:hideMark/>
          </w:tcPr>
          <w:p w14:paraId="5A88C68A"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13.3</w:t>
            </w:r>
          </w:p>
        </w:tc>
        <w:tc>
          <w:tcPr>
            <w:tcW w:w="0" w:type="auto"/>
            <w:shd w:val="clear" w:color="auto" w:fill="auto"/>
            <w:tcMar>
              <w:top w:w="150" w:type="dxa"/>
              <w:left w:w="150" w:type="dxa"/>
              <w:bottom w:w="150" w:type="dxa"/>
              <w:right w:w="150" w:type="dxa"/>
            </w:tcMar>
            <w:vAlign w:val="center"/>
            <w:hideMark/>
          </w:tcPr>
          <w:p w14:paraId="4C357E37"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8.9</w:t>
            </w:r>
          </w:p>
        </w:tc>
        <w:tc>
          <w:tcPr>
            <w:tcW w:w="0" w:type="auto"/>
            <w:shd w:val="clear" w:color="auto" w:fill="auto"/>
            <w:tcMar>
              <w:top w:w="150" w:type="dxa"/>
              <w:left w:w="150" w:type="dxa"/>
              <w:bottom w:w="150" w:type="dxa"/>
              <w:right w:w="150" w:type="dxa"/>
            </w:tcMar>
            <w:vAlign w:val="center"/>
            <w:hideMark/>
          </w:tcPr>
          <w:p w14:paraId="3B37D4E7"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13.0</w:t>
            </w:r>
          </w:p>
        </w:tc>
        <w:tc>
          <w:tcPr>
            <w:tcW w:w="0" w:type="auto"/>
            <w:shd w:val="clear" w:color="auto" w:fill="auto"/>
            <w:tcMar>
              <w:top w:w="150" w:type="dxa"/>
              <w:left w:w="150" w:type="dxa"/>
              <w:bottom w:w="150" w:type="dxa"/>
              <w:right w:w="150" w:type="dxa"/>
            </w:tcMar>
            <w:vAlign w:val="center"/>
            <w:hideMark/>
          </w:tcPr>
          <w:p w14:paraId="67EF8259"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13.1</w:t>
            </w:r>
          </w:p>
        </w:tc>
        <w:tc>
          <w:tcPr>
            <w:tcW w:w="0" w:type="auto"/>
            <w:shd w:val="clear" w:color="auto" w:fill="auto"/>
            <w:tcMar>
              <w:top w:w="150" w:type="dxa"/>
              <w:left w:w="150" w:type="dxa"/>
              <w:bottom w:w="150" w:type="dxa"/>
              <w:right w:w="150" w:type="dxa"/>
            </w:tcMar>
            <w:vAlign w:val="center"/>
            <w:hideMark/>
          </w:tcPr>
          <w:p w14:paraId="6A6887C4"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9.7</w:t>
            </w:r>
          </w:p>
        </w:tc>
        <w:tc>
          <w:tcPr>
            <w:tcW w:w="0" w:type="auto"/>
            <w:shd w:val="clear" w:color="auto" w:fill="auto"/>
            <w:tcMar>
              <w:top w:w="150" w:type="dxa"/>
              <w:left w:w="150" w:type="dxa"/>
              <w:bottom w:w="150" w:type="dxa"/>
              <w:right w:w="150" w:type="dxa"/>
            </w:tcMar>
            <w:vAlign w:val="center"/>
            <w:hideMark/>
          </w:tcPr>
          <w:p w14:paraId="472D5893"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17.6</w:t>
            </w:r>
          </w:p>
        </w:tc>
        <w:tc>
          <w:tcPr>
            <w:tcW w:w="0" w:type="auto"/>
            <w:shd w:val="clear" w:color="auto" w:fill="auto"/>
            <w:tcMar>
              <w:top w:w="150" w:type="dxa"/>
              <w:left w:w="150" w:type="dxa"/>
              <w:bottom w:w="150" w:type="dxa"/>
              <w:right w:w="150" w:type="dxa"/>
            </w:tcMar>
            <w:vAlign w:val="center"/>
            <w:hideMark/>
          </w:tcPr>
          <w:p w14:paraId="31ABC83C"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11.2</w:t>
            </w:r>
          </w:p>
        </w:tc>
      </w:tr>
      <w:tr w:rsidR="00927137" w:rsidRPr="00927137" w14:paraId="088DC293" w14:textId="77777777" w:rsidTr="00BD1F39">
        <w:trPr>
          <w:cantSplit/>
          <w:trHeight w:val="398"/>
        </w:trPr>
        <w:tc>
          <w:tcPr>
            <w:tcW w:w="0" w:type="auto"/>
            <w:shd w:val="clear" w:color="auto" w:fill="DBE5F1" w:themeFill="accent1" w:themeFillTint="33"/>
            <w:tcMar>
              <w:top w:w="150" w:type="dxa"/>
              <w:left w:w="150" w:type="dxa"/>
              <w:bottom w:w="150" w:type="dxa"/>
              <w:right w:w="150" w:type="dxa"/>
            </w:tcMar>
            <w:vAlign w:val="center"/>
            <w:hideMark/>
          </w:tcPr>
          <w:p w14:paraId="37F6FF60" w14:textId="77777777" w:rsidR="00927137" w:rsidRPr="00927137" w:rsidRDefault="00927137" w:rsidP="00BD1F39">
            <w:pPr>
              <w:rPr>
                <w:rFonts w:ascii="Helvetica" w:hAnsi="Helvetica" w:cs="Helvetica"/>
                <w:b/>
                <w:bCs/>
                <w:color w:val="222222"/>
                <w:szCs w:val="20"/>
              </w:rPr>
            </w:pPr>
            <w:r w:rsidRPr="00927137">
              <w:rPr>
                <w:rFonts w:ascii="Helvetica" w:hAnsi="Helvetica" w:cs="Helvetica"/>
                <w:b/>
                <w:bCs/>
                <w:color w:val="222222"/>
                <w:szCs w:val="20"/>
              </w:rPr>
              <w:t>Persons</w:t>
            </w:r>
          </w:p>
        </w:tc>
        <w:tc>
          <w:tcPr>
            <w:tcW w:w="0" w:type="auto"/>
            <w:shd w:val="clear" w:color="auto" w:fill="auto"/>
            <w:tcMar>
              <w:top w:w="150" w:type="dxa"/>
              <w:left w:w="150" w:type="dxa"/>
              <w:bottom w:w="150" w:type="dxa"/>
              <w:right w:w="150" w:type="dxa"/>
            </w:tcMar>
            <w:vAlign w:val="center"/>
            <w:hideMark/>
          </w:tcPr>
          <w:p w14:paraId="19AFCBC9"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11.8</w:t>
            </w:r>
          </w:p>
        </w:tc>
        <w:tc>
          <w:tcPr>
            <w:tcW w:w="0" w:type="auto"/>
            <w:shd w:val="clear" w:color="auto" w:fill="auto"/>
            <w:tcMar>
              <w:top w:w="150" w:type="dxa"/>
              <w:left w:w="150" w:type="dxa"/>
              <w:bottom w:w="150" w:type="dxa"/>
              <w:right w:w="150" w:type="dxa"/>
            </w:tcMar>
            <w:vAlign w:val="center"/>
            <w:hideMark/>
          </w:tcPr>
          <w:p w14:paraId="0829A38F"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12.3</w:t>
            </w:r>
            <w:r w:rsidRPr="008F26CC">
              <w:rPr>
                <w:rFonts w:ascii="Helvetica" w:hAnsi="Helvetica" w:cs="Helvetica"/>
                <w:color w:val="222222"/>
                <w:szCs w:val="20"/>
                <w:vertAlign w:val="superscript"/>
              </w:rPr>
              <w:t>#</w:t>
            </w:r>
          </w:p>
        </w:tc>
        <w:tc>
          <w:tcPr>
            <w:tcW w:w="0" w:type="auto"/>
            <w:shd w:val="clear" w:color="auto" w:fill="auto"/>
            <w:tcMar>
              <w:top w:w="150" w:type="dxa"/>
              <w:left w:w="150" w:type="dxa"/>
              <w:bottom w:w="150" w:type="dxa"/>
              <w:right w:w="150" w:type="dxa"/>
            </w:tcMar>
            <w:vAlign w:val="center"/>
            <w:hideMark/>
          </w:tcPr>
          <w:p w14:paraId="407447A4"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15.2</w:t>
            </w:r>
          </w:p>
        </w:tc>
        <w:tc>
          <w:tcPr>
            <w:tcW w:w="0" w:type="auto"/>
            <w:shd w:val="clear" w:color="auto" w:fill="auto"/>
            <w:tcMar>
              <w:top w:w="150" w:type="dxa"/>
              <w:left w:w="150" w:type="dxa"/>
              <w:bottom w:w="150" w:type="dxa"/>
              <w:right w:w="150" w:type="dxa"/>
            </w:tcMar>
            <w:vAlign w:val="center"/>
            <w:hideMark/>
          </w:tcPr>
          <w:p w14:paraId="47ED3C3D"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12.3</w:t>
            </w:r>
            <w:r w:rsidRPr="008F26CC">
              <w:rPr>
                <w:rFonts w:ascii="Helvetica" w:hAnsi="Helvetica" w:cs="Helvetica"/>
                <w:color w:val="222222"/>
                <w:szCs w:val="20"/>
                <w:vertAlign w:val="superscript"/>
              </w:rPr>
              <w:t>#</w:t>
            </w:r>
          </w:p>
        </w:tc>
        <w:tc>
          <w:tcPr>
            <w:tcW w:w="0" w:type="auto"/>
            <w:shd w:val="clear" w:color="auto" w:fill="auto"/>
            <w:tcMar>
              <w:top w:w="150" w:type="dxa"/>
              <w:left w:w="150" w:type="dxa"/>
              <w:bottom w:w="150" w:type="dxa"/>
              <w:right w:w="150" w:type="dxa"/>
            </w:tcMar>
            <w:vAlign w:val="center"/>
            <w:hideMark/>
          </w:tcPr>
          <w:p w14:paraId="732CCBF2"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13.0</w:t>
            </w:r>
          </w:p>
        </w:tc>
        <w:tc>
          <w:tcPr>
            <w:tcW w:w="0" w:type="auto"/>
            <w:shd w:val="clear" w:color="auto" w:fill="auto"/>
            <w:tcMar>
              <w:top w:w="150" w:type="dxa"/>
              <w:left w:w="150" w:type="dxa"/>
              <w:bottom w:w="150" w:type="dxa"/>
              <w:right w:w="150" w:type="dxa"/>
            </w:tcMar>
            <w:vAlign w:val="center"/>
            <w:hideMark/>
          </w:tcPr>
          <w:p w14:paraId="1898F050"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16.5</w:t>
            </w:r>
          </w:p>
        </w:tc>
        <w:tc>
          <w:tcPr>
            <w:tcW w:w="0" w:type="auto"/>
            <w:shd w:val="clear" w:color="auto" w:fill="auto"/>
            <w:tcMar>
              <w:top w:w="150" w:type="dxa"/>
              <w:left w:w="150" w:type="dxa"/>
              <w:bottom w:w="150" w:type="dxa"/>
              <w:right w:w="150" w:type="dxa"/>
            </w:tcMar>
            <w:vAlign w:val="center"/>
            <w:hideMark/>
          </w:tcPr>
          <w:p w14:paraId="3E47E808"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9.7</w:t>
            </w:r>
          </w:p>
        </w:tc>
        <w:tc>
          <w:tcPr>
            <w:tcW w:w="0" w:type="auto"/>
            <w:shd w:val="clear" w:color="auto" w:fill="auto"/>
            <w:tcMar>
              <w:top w:w="150" w:type="dxa"/>
              <w:left w:w="150" w:type="dxa"/>
              <w:bottom w:w="150" w:type="dxa"/>
              <w:right w:w="150" w:type="dxa"/>
            </w:tcMar>
            <w:vAlign w:val="center"/>
            <w:hideMark/>
          </w:tcPr>
          <w:p w14:paraId="679D52DF"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20.8</w:t>
            </w:r>
          </w:p>
        </w:tc>
        <w:tc>
          <w:tcPr>
            <w:tcW w:w="0" w:type="auto"/>
            <w:shd w:val="clear" w:color="auto" w:fill="auto"/>
            <w:tcMar>
              <w:top w:w="150" w:type="dxa"/>
              <w:left w:w="150" w:type="dxa"/>
              <w:bottom w:w="150" w:type="dxa"/>
              <w:right w:w="150" w:type="dxa"/>
            </w:tcMar>
            <w:vAlign w:val="center"/>
            <w:hideMark/>
          </w:tcPr>
          <w:p w14:paraId="1981184B" w14:textId="77777777" w:rsidR="00927137" w:rsidRPr="00927137" w:rsidRDefault="00927137" w:rsidP="0059518C">
            <w:pPr>
              <w:jc w:val="center"/>
              <w:rPr>
                <w:rFonts w:ascii="Helvetica" w:hAnsi="Helvetica" w:cs="Helvetica"/>
                <w:color w:val="222222"/>
                <w:szCs w:val="20"/>
              </w:rPr>
            </w:pPr>
            <w:r w:rsidRPr="00927137">
              <w:rPr>
                <w:rFonts w:ascii="Helvetica" w:hAnsi="Helvetica" w:cs="Helvetica"/>
                <w:color w:val="222222"/>
                <w:szCs w:val="20"/>
              </w:rPr>
              <w:t>12.9</w:t>
            </w:r>
            <w:r w:rsidRPr="008F26CC">
              <w:rPr>
                <w:rFonts w:ascii="Helvetica" w:hAnsi="Helvetica" w:cs="Helvetica"/>
                <w:color w:val="222222"/>
                <w:szCs w:val="20"/>
                <w:vertAlign w:val="superscript"/>
              </w:rPr>
              <w:t>#</w:t>
            </w:r>
          </w:p>
        </w:tc>
      </w:tr>
    </w:tbl>
    <w:p w14:paraId="416E4643" w14:textId="77777777" w:rsidR="00927137" w:rsidRPr="00BD1F39" w:rsidRDefault="00927137" w:rsidP="00BD1F39">
      <w:pPr>
        <w:shd w:val="clear" w:color="auto" w:fill="FFFFFF"/>
        <w:spacing w:before="120"/>
        <w:rPr>
          <w:rFonts w:ascii="Arial" w:hAnsi="Arial"/>
          <w:sz w:val="16"/>
        </w:rPr>
      </w:pPr>
      <w:r w:rsidRPr="00BD1F39">
        <w:rPr>
          <w:rFonts w:ascii="Arial" w:hAnsi="Arial"/>
          <w:sz w:val="16"/>
        </w:rPr>
        <w:t># statistically significant change between 2010 and 2013</w:t>
      </w:r>
    </w:p>
    <w:p w14:paraId="3E8A4F68" w14:textId="77777777" w:rsidR="00927137" w:rsidRPr="003C181E" w:rsidRDefault="00927137" w:rsidP="00C03E70">
      <w:pPr>
        <w:pStyle w:val="Heading2"/>
      </w:pPr>
      <w:r w:rsidRPr="003C181E">
        <w:t>Tobacco control timeline</w:t>
      </w:r>
    </w:p>
    <w:p w14:paraId="5B15252B" w14:textId="77777777" w:rsidR="003C181E" w:rsidRPr="003C181E" w:rsidRDefault="00927137" w:rsidP="00C03E70">
      <w:pPr>
        <w:rPr>
          <w:shd w:val="clear" w:color="auto" w:fill="FFFFFF"/>
        </w:rPr>
      </w:pPr>
      <w:r w:rsidRPr="003C181E">
        <w:rPr>
          <w:shd w:val="clear" w:color="auto" w:fill="FFFFFF"/>
        </w:rPr>
        <w:t xml:space="preserve">Australia’s low smoking rate is the result of </w:t>
      </w:r>
      <w:r w:rsidR="003C181E" w:rsidRPr="003C181E">
        <w:rPr>
          <w:shd w:val="clear" w:color="auto" w:fill="FFFFFF"/>
        </w:rPr>
        <w:t xml:space="preserve">concerted, </w:t>
      </w:r>
      <w:r w:rsidRPr="003C181E">
        <w:rPr>
          <w:shd w:val="clear" w:color="auto" w:fill="FFFFFF"/>
        </w:rPr>
        <w:t>sustained, and comprehensive public policy efforts from all levels of government and action from public health organisations.</w:t>
      </w:r>
    </w:p>
    <w:p w14:paraId="553FBB09" w14:textId="1DA531A6" w:rsidR="00927137" w:rsidRPr="003C181E" w:rsidRDefault="00927137" w:rsidP="00C03E70">
      <w:pPr>
        <w:pStyle w:val="ListParagraph"/>
        <w:numPr>
          <w:ilvl w:val="0"/>
          <w:numId w:val="30"/>
        </w:numPr>
      </w:pPr>
      <w:r w:rsidRPr="003C181E">
        <w:t xml:space="preserve">1973 </w:t>
      </w:r>
      <w:r w:rsidR="00027D69">
        <w:t>—</w:t>
      </w:r>
      <w:r w:rsidRPr="003C181E">
        <w:t xml:space="preserve"> health warnings first mandated on all cigarette packs in Australia.</w:t>
      </w:r>
    </w:p>
    <w:p w14:paraId="08F72F00" w14:textId="564D0CC9" w:rsidR="00927137" w:rsidRPr="003C181E" w:rsidRDefault="00927137" w:rsidP="00C03E70">
      <w:pPr>
        <w:pStyle w:val="ListParagraph"/>
        <w:numPr>
          <w:ilvl w:val="0"/>
          <w:numId w:val="30"/>
        </w:numPr>
      </w:pPr>
      <w:r w:rsidRPr="003C181E">
        <w:t xml:space="preserve">1976 </w:t>
      </w:r>
      <w:r w:rsidR="00027D69">
        <w:t>—</w:t>
      </w:r>
      <w:r w:rsidRPr="003C181E">
        <w:t xml:space="preserve"> bans on all cigarette advertising on radio and television in Australia.</w:t>
      </w:r>
    </w:p>
    <w:p w14:paraId="0DD2C79A" w14:textId="731F6BA7" w:rsidR="00927137" w:rsidRPr="003C181E" w:rsidRDefault="00927137" w:rsidP="00C03E70">
      <w:pPr>
        <w:pStyle w:val="ListParagraph"/>
        <w:numPr>
          <w:ilvl w:val="0"/>
          <w:numId w:val="30"/>
        </w:numPr>
      </w:pPr>
      <w:r w:rsidRPr="003C181E">
        <w:t xml:space="preserve">1986 to 2006 </w:t>
      </w:r>
      <w:r w:rsidR="00027D69">
        <w:t>—</w:t>
      </w:r>
      <w:r w:rsidRPr="003C181E">
        <w:t xml:space="preserve"> phased in bans on smoking in workplaces and public places.</w:t>
      </w:r>
    </w:p>
    <w:p w14:paraId="6A40260D" w14:textId="03F776F1" w:rsidR="00927137" w:rsidRPr="003C181E" w:rsidRDefault="00927137" w:rsidP="00C03E70">
      <w:pPr>
        <w:pStyle w:val="ListParagraph"/>
        <w:numPr>
          <w:ilvl w:val="0"/>
          <w:numId w:val="30"/>
        </w:numPr>
      </w:pPr>
      <w:r w:rsidRPr="003C181E">
        <w:t xml:space="preserve">1990 </w:t>
      </w:r>
      <w:r w:rsidR="00027D69">
        <w:t>—</w:t>
      </w:r>
      <w:r w:rsidRPr="003C181E">
        <w:t xml:space="preserve"> bans on advertising of tobacco products in newspapers and magazines </w:t>
      </w:r>
      <w:r w:rsidR="003C181E">
        <w:t>p</w:t>
      </w:r>
      <w:r w:rsidRPr="003C181E">
        <w:t>ublished in Australia.</w:t>
      </w:r>
    </w:p>
    <w:p w14:paraId="3A00A906" w14:textId="15B20047" w:rsidR="00927137" w:rsidRPr="003C181E" w:rsidRDefault="00927137" w:rsidP="00C03E70">
      <w:pPr>
        <w:pStyle w:val="ListParagraph"/>
        <w:numPr>
          <w:ilvl w:val="0"/>
          <w:numId w:val="30"/>
        </w:numPr>
      </w:pPr>
      <w:r w:rsidRPr="003C181E">
        <w:t xml:space="preserve">1992 </w:t>
      </w:r>
      <w:r w:rsidR="00027D69">
        <w:t>—</w:t>
      </w:r>
      <w:r w:rsidRPr="003C181E">
        <w:t xml:space="preserve"> increase in the tobacco excise.</w:t>
      </w:r>
    </w:p>
    <w:p w14:paraId="46611F06" w14:textId="5BC2294C" w:rsidR="00927137" w:rsidRPr="003C181E" w:rsidRDefault="00927137" w:rsidP="00C03E70">
      <w:pPr>
        <w:pStyle w:val="ListParagraph"/>
        <w:numPr>
          <w:ilvl w:val="0"/>
          <w:numId w:val="30"/>
        </w:numPr>
      </w:pPr>
      <w:r w:rsidRPr="003C181E">
        <w:t xml:space="preserve">1993 </w:t>
      </w:r>
      <w:r w:rsidR="00027D69">
        <w:t>—</w:t>
      </w:r>
      <w:r w:rsidRPr="003C181E">
        <w:t xml:space="preserve"> </w:t>
      </w:r>
      <w:r w:rsidRPr="00C03E70">
        <w:rPr>
          <w:i/>
        </w:rPr>
        <w:t>Tobacco Advertising Prohibition Act 1992</w:t>
      </w:r>
      <w:r w:rsidRPr="003C181E">
        <w:t xml:space="preserve"> prohibited broadcasting and publication of tobacco advertisements.</w:t>
      </w:r>
    </w:p>
    <w:p w14:paraId="16F00CD6" w14:textId="0C9F872F" w:rsidR="00927137" w:rsidRPr="003C181E" w:rsidRDefault="004A286F" w:rsidP="00C03E70">
      <w:pPr>
        <w:pStyle w:val="ListParagraph"/>
        <w:numPr>
          <w:ilvl w:val="0"/>
          <w:numId w:val="30"/>
        </w:numPr>
      </w:pPr>
      <w:r>
        <w:t>F</w:t>
      </w:r>
      <w:r w:rsidR="00927137" w:rsidRPr="003C181E">
        <w:t xml:space="preserve">rom 1994 to 2003 </w:t>
      </w:r>
      <w:r w:rsidR="00027D69">
        <w:t>—</w:t>
      </w:r>
      <w:r w:rsidR="00927137" w:rsidRPr="003C181E">
        <w:t xml:space="preserve"> bans on smoking in restaurants.</w:t>
      </w:r>
    </w:p>
    <w:p w14:paraId="1229378D" w14:textId="01292EE9" w:rsidR="00927137" w:rsidRPr="003C181E" w:rsidRDefault="00927137" w:rsidP="00C03E70">
      <w:pPr>
        <w:pStyle w:val="ListParagraph"/>
        <w:numPr>
          <w:ilvl w:val="0"/>
          <w:numId w:val="30"/>
        </w:numPr>
      </w:pPr>
      <w:r w:rsidRPr="003C181E">
        <w:t xml:space="preserve">1995 </w:t>
      </w:r>
      <w:r w:rsidR="00027D69">
        <w:t>—</w:t>
      </w:r>
      <w:r w:rsidRPr="003C181E">
        <w:t xml:space="preserve"> nationally consistent text-only health warnings required.</w:t>
      </w:r>
    </w:p>
    <w:p w14:paraId="5244CC7A" w14:textId="2F989560" w:rsidR="00927137" w:rsidRPr="003C181E" w:rsidRDefault="00927137" w:rsidP="00C03E70">
      <w:pPr>
        <w:pStyle w:val="ListParagraph"/>
        <w:numPr>
          <w:ilvl w:val="0"/>
          <w:numId w:val="30"/>
        </w:numPr>
      </w:pPr>
      <w:r w:rsidRPr="003C181E">
        <w:t xml:space="preserve">1998 to 2006 </w:t>
      </w:r>
      <w:r w:rsidR="00027D69">
        <w:t>—</w:t>
      </w:r>
      <w:r w:rsidRPr="003C181E">
        <w:t xml:space="preserve"> bans on point-of-sale tobacco advertising across Australia.</w:t>
      </w:r>
    </w:p>
    <w:p w14:paraId="34653D43" w14:textId="2CDBCD13" w:rsidR="00927137" w:rsidRPr="003C181E" w:rsidRDefault="00927137" w:rsidP="00C03E70">
      <w:pPr>
        <w:pStyle w:val="ListParagraph"/>
        <w:numPr>
          <w:ilvl w:val="0"/>
          <w:numId w:val="30"/>
        </w:numPr>
      </w:pPr>
      <w:r w:rsidRPr="003C181E">
        <w:t xml:space="preserve">2006 </w:t>
      </w:r>
      <w:r w:rsidR="00027D69">
        <w:t>—</w:t>
      </w:r>
      <w:r w:rsidRPr="003C181E">
        <w:t xml:space="preserve"> graphic health warnings required on packaging of most tobacco products.</w:t>
      </w:r>
    </w:p>
    <w:p w14:paraId="2AEBFE1F" w14:textId="3476EDCE" w:rsidR="00927137" w:rsidRPr="003C181E" w:rsidRDefault="00927137" w:rsidP="00C03E70">
      <w:pPr>
        <w:pStyle w:val="ListParagraph"/>
        <w:numPr>
          <w:ilvl w:val="0"/>
          <w:numId w:val="30"/>
        </w:numPr>
      </w:pPr>
      <w:r w:rsidRPr="003C181E">
        <w:t xml:space="preserve">2010 </w:t>
      </w:r>
      <w:r w:rsidR="00027D69">
        <w:t>—</w:t>
      </w:r>
      <w:r w:rsidRPr="003C181E">
        <w:t xml:space="preserve"> 25% increase in the tobacco excise.</w:t>
      </w:r>
    </w:p>
    <w:p w14:paraId="3A80A961" w14:textId="49CCCEC8" w:rsidR="00927137" w:rsidRPr="003C181E" w:rsidRDefault="00927137" w:rsidP="00C03E70">
      <w:pPr>
        <w:pStyle w:val="ListParagraph"/>
        <w:numPr>
          <w:ilvl w:val="0"/>
          <w:numId w:val="30"/>
        </w:numPr>
      </w:pPr>
      <w:r w:rsidRPr="003C181E">
        <w:t xml:space="preserve">2011 </w:t>
      </w:r>
      <w:r w:rsidR="00027D69">
        <w:t>—</w:t>
      </w:r>
      <w:r w:rsidRPr="003C181E">
        <w:t xml:space="preserve"> first complete </w:t>
      </w:r>
      <w:r w:rsidR="006F20DF">
        <w:t>s</w:t>
      </w:r>
      <w:r w:rsidRPr="003C181E">
        <w:t xml:space="preserve">tate or </w:t>
      </w:r>
      <w:r w:rsidR="006F20DF">
        <w:t>t</w:t>
      </w:r>
      <w:r w:rsidRPr="003C181E">
        <w:t>erritory ban on point-of-sale tobacco product displays.</w:t>
      </w:r>
    </w:p>
    <w:p w14:paraId="74EEB7F7" w14:textId="2C36C7E3" w:rsidR="00927137" w:rsidRPr="003C181E" w:rsidRDefault="00927137" w:rsidP="00C03E70">
      <w:pPr>
        <w:pStyle w:val="ListParagraph"/>
        <w:numPr>
          <w:ilvl w:val="0"/>
          <w:numId w:val="30"/>
        </w:numPr>
      </w:pPr>
      <w:r w:rsidRPr="003C181E">
        <w:t xml:space="preserve">2012 </w:t>
      </w:r>
      <w:r w:rsidR="00027D69">
        <w:t>—</w:t>
      </w:r>
      <w:r w:rsidRPr="003C181E">
        <w:t xml:space="preserve"> offence for any person to publish tobacco advertising on the internet or other electronic media.</w:t>
      </w:r>
    </w:p>
    <w:p w14:paraId="051474BF" w14:textId="1137048E" w:rsidR="00927137" w:rsidRDefault="00927137" w:rsidP="00C03E70">
      <w:pPr>
        <w:pStyle w:val="ListParagraph"/>
        <w:numPr>
          <w:ilvl w:val="0"/>
          <w:numId w:val="30"/>
        </w:numPr>
      </w:pPr>
      <w:r w:rsidRPr="003C181E">
        <w:t xml:space="preserve">2012 </w:t>
      </w:r>
      <w:r w:rsidR="00027D69">
        <w:t>—</w:t>
      </w:r>
      <w:r w:rsidRPr="003C181E">
        <w:t xml:space="preserve"> introduction of tobacco plain packaging, and updated and expanded graphic health warnings.</w:t>
      </w:r>
    </w:p>
    <w:p w14:paraId="7CCF7A28" w14:textId="1F81EDFA" w:rsidR="00CD3C8E" w:rsidRPr="00CD3C8E" w:rsidRDefault="00CD3C8E" w:rsidP="00C03E70">
      <w:pPr>
        <w:pStyle w:val="ListParagraph"/>
        <w:numPr>
          <w:ilvl w:val="0"/>
          <w:numId w:val="30"/>
        </w:numPr>
      </w:pPr>
      <w:r w:rsidRPr="00C03E70">
        <w:rPr>
          <w:color w:val="000000" w:themeColor="text1"/>
        </w:rPr>
        <w:lastRenderedPageBreak/>
        <w:t xml:space="preserve">2012 </w:t>
      </w:r>
      <w:r w:rsidR="00027D69">
        <w:rPr>
          <w:color w:val="000000" w:themeColor="text1"/>
        </w:rPr>
        <w:t>—</w:t>
      </w:r>
      <w:r w:rsidRPr="00C03E70">
        <w:rPr>
          <w:color w:val="000000" w:themeColor="text1"/>
        </w:rPr>
        <w:t xml:space="preserve"> reduction in the duty free allowance from 250 cigarettes or 250 grams of cigars or tobacco products to 50 cigarettes or 50 grams of ci</w:t>
      </w:r>
      <w:r w:rsidR="0059518C" w:rsidRPr="00C03E70">
        <w:rPr>
          <w:color w:val="000000" w:themeColor="text1"/>
        </w:rPr>
        <w:t>gars or tobacco products from 1</w:t>
      </w:r>
      <w:r w:rsidR="001D64A9">
        <w:rPr>
          <w:color w:val="000000" w:themeColor="text1"/>
        </w:rPr>
        <w:t xml:space="preserve"> </w:t>
      </w:r>
      <w:r w:rsidRPr="00C03E70">
        <w:rPr>
          <w:color w:val="000000" w:themeColor="text1"/>
        </w:rPr>
        <w:t>September 2012.</w:t>
      </w:r>
    </w:p>
    <w:p w14:paraId="3E8E4844" w14:textId="6FA5716F" w:rsidR="00927137" w:rsidRDefault="00927137" w:rsidP="00C03E70">
      <w:pPr>
        <w:pStyle w:val="ListParagraph"/>
        <w:numPr>
          <w:ilvl w:val="0"/>
          <w:numId w:val="30"/>
        </w:numPr>
      </w:pPr>
      <w:r w:rsidRPr="003C181E">
        <w:t xml:space="preserve">2013 </w:t>
      </w:r>
      <w:r w:rsidR="00027D69">
        <w:t>—</w:t>
      </w:r>
      <w:r w:rsidR="00CD3C8E">
        <w:t xml:space="preserve"> </w:t>
      </w:r>
      <w:r w:rsidRPr="003C181E">
        <w:t>first 12.5% tobacco excise increase on 1 December.</w:t>
      </w:r>
    </w:p>
    <w:p w14:paraId="73773CBB" w14:textId="77E77857" w:rsidR="00CD3C8E" w:rsidRPr="00CD3C8E" w:rsidRDefault="00CD3C8E" w:rsidP="00C03E70">
      <w:pPr>
        <w:pStyle w:val="ListParagraph"/>
        <w:numPr>
          <w:ilvl w:val="0"/>
          <w:numId w:val="30"/>
        </w:numPr>
      </w:pPr>
      <w:r w:rsidRPr="00C03E70">
        <w:rPr>
          <w:color w:val="000000" w:themeColor="text1"/>
        </w:rPr>
        <w:t xml:space="preserve">2014 </w:t>
      </w:r>
      <w:r w:rsidR="00027D69">
        <w:rPr>
          <w:color w:val="000000" w:themeColor="text1"/>
        </w:rPr>
        <w:t>—</w:t>
      </w:r>
      <w:r w:rsidRPr="00C03E70">
        <w:rPr>
          <w:color w:val="000000" w:themeColor="text1"/>
        </w:rPr>
        <w:t xml:space="preserve"> change from bi-annual indexation based on the Consumer Price Index (CPI) to </w:t>
      </w:r>
      <w:r w:rsidR="0059518C" w:rsidRPr="00C03E70">
        <w:rPr>
          <w:color w:val="000000" w:themeColor="text1"/>
        </w:rPr>
        <w:br/>
      </w:r>
      <w:r w:rsidRPr="00C03E70">
        <w:rPr>
          <w:color w:val="000000" w:themeColor="text1"/>
        </w:rPr>
        <w:t>bi-annual indexation based on average weekly ordinary time earnings (AWOTE).</w:t>
      </w:r>
    </w:p>
    <w:p w14:paraId="4061BE94" w14:textId="1634E980" w:rsidR="00927137" w:rsidRPr="003C181E" w:rsidRDefault="00927137" w:rsidP="00C03E70">
      <w:pPr>
        <w:pStyle w:val="ListParagraph"/>
        <w:numPr>
          <w:ilvl w:val="0"/>
          <w:numId w:val="30"/>
        </w:numPr>
      </w:pPr>
      <w:r w:rsidRPr="003C181E">
        <w:t xml:space="preserve">2014 </w:t>
      </w:r>
      <w:r w:rsidR="00027D69">
        <w:t>—</w:t>
      </w:r>
      <w:r w:rsidR="00BD1F39">
        <w:t xml:space="preserve"> </w:t>
      </w:r>
      <w:r w:rsidRPr="003C181E">
        <w:t>12.5% excise increase on 1 September.</w:t>
      </w:r>
    </w:p>
    <w:p w14:paraId="00D91C4B" w14:textId="06EE8F26" w:rsidR="00927137" w:rsidRPr="003C181E" w:rsidRDefault="00927137" w:rsidP="00C03E70">
      <w:pPr>
        <w:pStyle w:val="ListParagraph"/>
        <w:numPr>
          <w:ilvl w:val="0"/>
          <w:numId w:val="30"/>
        </w:numPr>
      </w:pPr>
      <w:r w:rsidRPr="003C181E">
        <w:t xml:space="preserve">2015 </w:t>
      </w:r>
      <w:r w:rsidR="00027D69">
        <w:t>—</w:t>
      </w:r>
      <w:r w:rsidR="00BD1F39">
        <w:t xml:space="preserve"> </w:t>
      </w:r>
      <w:r w:rsidRPr="003C181E">
        <w:t>12.5% excise increase on 1 September.</w:t>
      </w:r>
    </w:p>
    <w:p w14:paraId="241F2BA2" w14:textId="76296BD5" w:rsidR="00927137" w:rsidRPr="003C181E" w:rsidRDefault="00927137" w:rsidP="00C03E70">
      <w:pPr>
        <w:pStyle w:val="ListParagraph"/>
        <w:numPr>
          <w:ilvl w:val="0"/>
          <w:numId w:val="30"/>
        </w:numPr>
      </w:pPr>
      <w:r w:rsidRPr="003C181E">
        <w:t xml:space="preserve">2016 </w:t>
      </w:r>
      <w:r w:rsidR="00027D69">
        <w:t>—</w:t>
      </w:r>
      <w:r w:rsidRPr="003C181E">
        <w:t xml:space="preserve"> release of the Post Implementation Review of Tobacco Plain Packaging.</w:t>
      </w:r>
    </w:p>
    <w:p w14:paraId="5AD9BD25" w14:textId="08F64866" w:rsidR="00927137" w:rsidRPr="003C181E" w:rsidRDefault="00927137" w:rsidP="00C03E70">
      <w:pPr>
        <w:pStyle w:val="ListParagraph"/>
        <w:numPr>
          <w:ilvl w:val="0"/>
          <w:numId w:val="30"/>
        </w:numPr>
      </w:pPr>
      <w:r w:rsidRPr="003C181E">
        <w:t xml:space="preserve">2016 </w:t>
      </w:r>
      <w:r w:rsidR="00027D69">
        <w:t>—</w:t>
      </w:r>
      <w:r w:rsidR="00BD1F39">
        <w:t xml:space="preserve"> </w:t>
      </w:r>
      <w:r w:rsidRPr="003C181E">
        <w:t>12.5% excise increase will be implemented on 1 September.</w:t>
      </w:r>
    </w:p>
    <w:p w14:paraId="6E3A0ADE" w14:textId="45ADC153" w:rsidR="00E3384E" w:rsidRDefault="00E3384E" w:rsidP="00C03E70">
      <w:pPr>
        <w:pStyle w:val="ListParagraph"/>
        <w:numPr>
          <w:ilvl w:val="0"/>
          <w:numId w:val="30"/>
        </w:numPr>
      </w:pPr>
      <w:r w:rsidRPr="003C181E">
        <w:t xml:space="preserve">2017 </w:t>
      </w:r>
      <w:r w:rsidR="00027D69">
        <w:t>—</w:t>
      </w:r>
      <w:r w:rsidR="003C181E">
        <w:t xml:space="preserve"> </w:t>
      </w:r>
      <w:r w:rsidR="00FA6BCE">
        <w:t xml:space="preserve">additional </w:t>
      </w:r>
      <w:r w:rsidRPr="003C181E">
        <w:t xml:space="preserve">four </w:t>
      </w:r>
      <w:r w:rsidR="003C181E">
        <w:t xml:space="preserve">annual </w:t>
      </w:r>
      <w:r w:rsidRPr="003C181E">
        <w:t>12.5% tobacco excise increases implemented on 1</w:t>
      </w:r>
      <w:r w:rsidR="001D64A9">
        <w:t xml:space="preserve"> </w:t>
      </w:r>
      <w:r w:rsidRPr="003C181E">
        <w:t xml:space="preserve">September each year from 2017 to 2020 inclusive. </w:t>
      </w:r>
    </w:p>
    <w:p w14:paraId="43BFE7AD" w14:textId="2F55D921" w:rsidR="003C181E" w:rsidRPr="004C103E" w:rsidRDefault="003C181E" w:rsidP="00C03E70">
      <w:pPr>
        <w:pStyle w:val="ListParagraph"/>
        <w:numPr>
          <w:ilvl w:val="0"/>
          <w:numId w:val="30"/>
        </w:numPr>
      </w:pPr>
      <w:r>
        <w:t xml:space="preserve">2017 </w:t>
      </w:r>
      <w:r w:rsidR="00027D69">
        <w:t>—</w:t>
      </w:r>
      <w:r>
        <w:t xml:space="preserve"> </w:t>
      </w:r>
      <w:r w:rsidR="00CD3C8E">
        <w:t xml:space="preserve">reduction </w:t>
      </w:r>
      <w:r>
        <w:t>in</w:t>
      </w:r>
      <w:r w:rsidR="006F20DF">
        <w:t xml:space="preserve"> duty free</w:t>
      </w:r>
      <w:r>
        <w:t xml:space="preserve"> </w:t>
      </w:r>
      <w:r w:rsidR="006F20DF">
        <w:t xml:space="preserve">tobacco </w:t>
      </w:r>
      <w:r>
        <w:t>allowance</w:t>
      </w:r>
      <w:r w:rsidR="002858B3">
        <w:t>,</w:t>
      </w:r>
      <w:r w:rsidR="00CD3C8E">
        <w:t xml:space="preserve"> </w:t>
      </w:r>
      <w:r w:rsidR="00CD3C8E" w:rsidRPr="00C03E70">
        <w:rPr>
          <w:shd w:val="clear" w:color="auto" w:fill="FFFFFF"/>
        </w:rPr>
        <w:t>25 grams of duty free tobacco</w:t>
      </w:r>
      <w:r w:rsidR="002858B3" w:rsidRPr="00C03E70">
        <w:rPr>
          <w:shd w:val="clear" w:color="auto" w:fill="FFFFFF"/>
        </w:rPr>
        <w:t xml:space="preserve"> (cigarette, loose leaf etc)</w:t>
      </w:r>
      <w:r w:rsidR="00CD3C8E" w:rsidRPr="00C03E70">
        <w:rPr>
          <w:shd w:val="clear" w:color="auto" w:fill="FFFFFF"/>
        </w:rPr>
        <w:t>, plus one open packet</w:t>
      </w:r>
      <w:r w:rsidR="002858B3" w:rsidRPr="00C03E70">
        <w:rPr>
          <w:shd w:val="clear" w:color="auto" w:fill="FFFFFF"/>
        </w:rPr>
        <w:t xml:space="preserve">; </w:t>
      </w:r>
      <w:r w:rsidR="00CD3C8E" w:rsidRPr="00C03E70">
        <w:rPr>
          <w:shd w:val="clear" w:color="auto" w:fill="FFFFFF"/>
        </w:rPr>
        <w:t>equivalent to approximately 25 cigarettes.</w:t>
      </w:r>
    </w:p>
    <w:p w14:paraId="3427A998" w14:textId="052B702B" w:rsidR="004C103E" w:rsidRPr="004C103E" w:rsidRDefault="004C103E" w:rsidP="00C03E70">
      <w:pPr>
        <w:pStyle w:val="ListParagraph"/>
        <w:numPr>
          <w:ilvl w:val="0"/>
          <w:numId w:val="30"/>
        </w:numPr>
      </w:pPr>
      <w:r w:rsidRPr="00C03E70">
        <w:rPr>
          <w:shd w:val="clear" w:color="auto" w:fill="FFFFFF"/>
        </w:rPr>
        <w:t xml:space="preserve">2017 </w:t>
      </w:r>
      <w:r w:rsidR="00027D69">
        <w:rPr>
          <w:shd w:val="clear" w:color="auto" w:fill="FFFFFF"/>
        </w:rPr>
        <w:t>—</w:t>
      </w:r>
      <w:r w:rsidRPr="00C03E70">
        <w:rPr>
          <w:shd w:val="clear" w:color="auto" w:fill="FFFFFF"/>
        </w:rPr>
        <w:t xml:space="preserve"> </w:t>
      </w:r>
      <w:r w:rsidR="007578B4" w:rsidRPr="00C03E70">
        <w:rPr>
          <w:shd w:val="clear" w:color="auto" w:fill="FFFFFF"/>
        </w:rPr>
        <w:t xml:space="preserve">harmonisation of </w:t>
      </w:r>
      <w:r w:rsidRPr="00C03E70">
        <w:rPr>
          <w:lang w:val="en-US"/>
        </w:rPr>
        <w:t xml:space="preserve">the taxation of roll-your-own tobacco and other products such as cigars, </w:t>
      </w:r>
      <w:r w:rsidR="007578B4" w:rsidRPr="00C03E70">
        <w:rPr>
          <w:lang w:val="en-US"/>
        </w:rPr>
        <w:t>with</w:t>
      </w:r>
      <w:r w:rsidRPr="00C03E70">
        <w:rPr>
          <w:lang w:val="en-US"/>
        </w:rPr>
        <w:t xml:space="preserve"> manufactured cigarettes.</w:t>
      </w:r>
    </w:p>
    <w:p w14:paraId="70A20C93" w14:textId="77777777" w:rsidR="00927137" w:rsidRPr="006F20DF" w:rsidRDefault="00927137" w:rsidP="00C03E70">
      <w:pPr>
        <w:pStyle w:val="Heading2"/>
      </w:pPr>
      <w:r w:rsidRPr="006F20DF">
        <w:t>Tobacco plain packaging</w:t>
      </w:r>
    </w:p>
    <w:p w14:paraId="13C953DF" w14:textId="77777777" w:rsidR="00927137" w:rsidRDefault="00927137" w:rsidP="00C03E70">
      <w:pPr>
        <w:rPr>
          <w:color w:val="222222"/>
          <w:shd w:val="clear" w:color="auto" w:fill="FFFFFF"/>
        </w:rPr>
      </w:pPr>
      <w:r w:rsidRPr="00927137">
        <w:rPr>
          <w:color w:val="222222"/>
          <w:shd w:val="clear" w:color="auto" w:fill="FFFFFF"/>
        </w:rPr>
        <w:t>Further information on the impact of tobacco plain packaging in Australia is available on the</w:t>
      </w:r>
      <w:r w:rsidR="001D64A9">
        <w:rPr>
          <w:color w:val="222222"/>
          <w:shd w:val="clear" w:color="auto" w:fill="FFFFFF"/>
        </w:rPr>
        <w:t xml:space="preserve"> </w:t>
      </w:r>
      <w:hyperlink r:id="rId14" w:history="1">
        <w:r w:rsidRPr="00927137">
          <w:rPr>
            <w:color w:val="1157AD"/>
            <w:u w:val="single"/>
            <w:shd w:val="clear" w:color="auto" w:fill="FFFFFF"/>
          </w:rPr>
          <w:t>Evaluation of Tobacco Plain Packaging in Australia page</w:t>
        </w:r>
      </w:hyperlink>
      <w:r w:rsidRPr="00927137">
        <w:rPr>
          <w:color w:val="222222"/>
          <w:shd w:val="clear" w:color="auto" w:fill="FFFFFF"/>
        </w:rPr>
        <w:t>.</w:t>
      </w:r>
    </w:p>
    <w:p w14:paraId="2DA35E37" w14:textId="77777777" w:rsidR="00200C2B" w:rsidRPr="006F20DF" w:rsidRDefault="00200C2B" w:rsidP="00C03E70">
      <w:pPr>
        <w:pStyle w:val="Heading2"/>
      </w:pPr>
      <w:r w:rsidRPr="006F20DF">
        <w:t>National Tobacco Campaign</w:t>
      </w:r>
    </w:p>
    <w:p w14:paraId="6F623367" w14:textId="7A2B47CB" w:rsidR="00927137" w:rsidRPr="00DC0706" w:rsidRDefault="00DF5C4C" w:rsidP="00C03E70">
      <w:pPr>
        <w:rPr>
          <w:color w:val="4A4A4A"/>
        </w:rPr>
      </w:pPr>
      <w:hyperlink r:id="rId15" w:tooltip="External website link: National Tobacco Campaign" w:history="1">
        <w:r w:rsidR="00200C2B" w:rsidRPr="00200C2B">
          <w:rPr>
            <w:color w:val="1157AD"/>
            <w:u w:val="single"/>
          </w:rPr>
          <w:t>National Tobacco Campaign</w:t>
        </w:r>
      </w:hyperlink>
      <w:r w:rsidR="006F20DF">
        <w:t xml:space="preserve"> </w:t>
      </w:r>
      <w:r w:rsidR="00027D69">
        <w:t>—</w:t>
      </w:r>
      <w:r w:rsidR="006F20DF">
        <w:t xml:space="preserve"> </w:t>
      </w:r>
      <w:r w:rsidR="00200C2B" w:rsidRPr="00200C2B">
        <w:t>promotes quit attempts among smokers and provides motivation and support to avoid relapse among quitters.</w:t>
      </w:r>
      <w:bookmarkStart w:id="2" w:name="footnotes"/>
      <w:bookmarkEnd w:id="2"/>
    </w:p>
    <w:p w14:paraId="255AE4F0" w14:textId="77777777" w:rsidR="00FD7AEB" w:rsidRPr="00EB12C0" w:rsidRDefault="00FD7AEB">
      <w:pPr>
        <w:rPr>
          <w:rFonts w:ascii="Arial" w:hAnsi="Arial" w:cs="Arial"/>
          <w:b/>
          <w:szCs w:val="20"/>
        </w:rPr>
      </w:pPr>
      <w:r>
        <w:rPr>
          <w:szCs w:val="20"/>
        </w:rPr>
        <w:br w:type="page"/>
      </w:r>
      <w:r w:rsidR="00EB12C0" w:rsidRPr="00EB12C0">
        <w:rPr>
          <w:rFonts w:ascii="Arial" w:hAnsi="Arial" w:cs="Arial"/>
          <w:b/>
          <w:szCs w:val="20"/>
        </w:rPr>
        <w:lastRenderedPageBreak/>
        <w:t xml:space="preserve">References </w:t>
      </w:r>
    </w:p>
    <w:sectPr w:rsidR="00FD7AEB" w:rsidRPr="00EB12C0" w:rsidSect="00B26FA3">
      <w:footerReference w:type="default" r:id="rId16"/>
      <w:headerReference w:type="first" r:id="rId17"/>
      <w:footerReference w:type="first" r:id="rId18"/>
      <w:endnotePr>
        <w:numFmt w:val="decimal"/>
      </w:endnotePr>
      <w:type w:val="continuous"/>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34361" w14:textId="77777777" w:rsidR="008347BD" w:rsidRDefault="008347BD" w:rsidP="00A810E6">
      <w:r>
        <w:separator/>
      </w:r>
    </w:p>
  </w:endnote>
  <w:endnote w:type="continuationSeparator" w:id="0">
    <w:p w14:paraId="75F5CEB4" w14:textId="77777777" w:rsidR="008347BD" w:rsidRDefault="008347BD" w:rsidP="00A810E6">
      <w:r>
        <w:continuationSeparator/>
      </w:r>
    </w:p>
  </w:endnote>
  <w:endnote w:id="1">
    <w:p w14:paraId="5D5F7643" w14:textId="77777777" w:rsidR="009414C2" w:rsidRPr="00C813B0" w:rsidRDefault="009414C2" w:rsidP="00B83FFD">
      <w:pPr>
        <w:spacing w:after="120"/>
        <w:ind w:left="426" w:hanging="426"/>
        <w:rPr>
          <w:rFonts w:ascii="Arial" w:hAnsi="Arial" w:cs="Arial"/>
          <w:sz w:val="18"/>
          <w:szCs w:val="18"/>
        </w:rPr>
      </w:pPr>
      <w:r w:rsidRPr="00C813B0">
        <w:rPr>
          <w:rStyle w:val="EndnoteReference"/>
          <w:rFonts w:ascii="Arial" w:hAnsi="Arial" w:cs="Arial"/>
          <w:sz w:val="18"/>
          <w:szCs w:val="18"/>
          <w:vertAlign w:val="baseline"/>
        </w:rPr>
        <w:endnoteRef/>
      </w:r>
      <w:r w:rsidRPr="00C813B0">
        <w:rPr>
          <w:rFonts w:ascii="Arial" w:hAnsi="Arial" w:cs="Arial"/>
          <w:sz w:val="18"/>
          <w:szCs w:val="18"/>
        </w:rPr>
        <w:tab/>
        <w:t xml:space="preserve">Australian Institute of Health and Welfare 2016. Australian Burden of Disease Study: Impact and causes of illness and death in Australia 2011. Australian Burden of Disease Study series no. 3. BOD4. Canberra: AIHW. Available at: </w:t>
      </w:r>
      <w:hyperlink r:id="rId1" w:history="1">
        <w:r w:rsidRPr="00C813B0">
          <w:rPr>
            <w:rStyle w:val="Hyperlink"/>
            <w:rFonts w:ascii="Arial" w:hAnsi="Arial" w:cs="Arial"/>
            <w:sz w:val="18"/>
            <w:szCs w:val="18"/>
            <w:shd w:val="clear" w:color="auto" w:fill="FFFFFF"/>
          </w:rPr>
          <w:t>www.aihw.gov.au/WorkArea/DownloadAsset.aspx?id=60129556107</w:t>
        </w:r>
      </w:hyperlink>
      <w:r w:rsidRPr="00C813B0">
        <w:rPr>
          <w:rFonts w:ascii="Arial" w:hAnsi="Arial" w:cs="Arial"/>
          <w:color w:val="006621"/>
          <w:sz w:val="18"/>
          <w:szCs w:val="18"/>
          <w:shd w:val="clear" w:color="auto" w:fill="FFFFFF"/>
        </w:rPr>
        <w:t>.</w:t>
      </w:r>
    </w:p>
  </w:endnote>
  <w:endnote w:id="2">
    <w:p w14:paraId="3248D4B0" w14:textId="77777777" w:rsidR="009414C2" w:rsidRPr="00C813B0" w:rsidRDefault="009414C2" w:rsidP="00B83FFD">
      <w:pPr>
        <w:pStyle w:val="EndnoteText"/>
        <w:tabs>
          <w:tab w:val="left" w:pos="284"/>
        </w:tabs>
        <w:spacing w:after="120"/>
        <w:ind w:left="426" w:hanging="426"/>
        <w:rPr>
          <w:rFonts w:ascii="Arial" w:hAnsi="Arial" w:cs="Arial"/>
          <w:sz w:val="18"/>
          <w:szCs w:val="18"/>
        </w:rPr>
      </w:pPr>
      <w:r w:rsidRPr="00C813B0">
        <w:rPr>
          <w:rStyle w:val="EndnoteReference"/>
          <w:rFonts w:ascii="Arial" w:hAnsi="Arial" w:cs="Arial"/>
          <w:sz w:val="18"/>
          <w:szCs w:val="18"/>
          <w:vertAlign w:val="baseline"/>
        </w:rPr>
        <w:endnoteRef/>
      </w:r>
      <w:r w:rsidRPr="00C813B0">
        <w:rPr>
          <w:rFonts w:ascii="Arial" w:hAnsi="Arial" w:cs="Arial"/>
          <w:sz w:val="18"/>
          <w:szCs w:val="18"/>
        </w:rPr>
        <w:tab/>
      </w:r>
      <w:r w:rsidR="009F1CC3">
        <w:rPr>
          <w:rFonts w:ascii="Arial" w:hAnsi="Arial" w:cs="Arial"/>
          <w:sz w:val="18"/>
          <w:szCs w:val="18"/>
        </w:rPr>
        <w:tab/>
      </w:r>
      <w:r w:rsidRPr="00C813B0">
        <w:rPr>
          <w:rFonts w:ascii="Arial" w:hAnsi="Arial" w:cs="Arial"/>
          <w:color w:val="000000"/>
          <w:sz w:val="18"/>
          <w:szCs w:val="18"/>
        </w:rPr>
        <w:t xml:space="preserve">Collins D., and Lapsley H., (2008) </w:t>
      </w:r>
      <w:r w:rsidRPr="00C813B0">
        <w:rPr>
          <w:rFonts w:ascii="Arial" w:hAnsi="Arial" w:cs="Arial"/>
          <w:i/>
          <w:color w:val="000000"/>
          <w:sz w:val="18"/>
          <w:szCs w:val="18"/>
        </w:rPr>
        <w:t>The Cost of Tobacco, Alcohol and Illicit Drug Abuse to Australian Society in 2004/05</w:t>
      </w:r>
      <w:r w:rsidRPr="00C813B0">
        <w:rPr>
          <w:rFonts w:ascii="Arial" w:hAnsi="Arial" w:cs="Arial"/>
          <w:color w:val="000000"/>
          <w:sz w:val="18"/>
          <w:szCs w:val="18"/>
        </w:rPr>
        <w:t>, Commonwealth of Australia, Department of Health and Ageing, Monograph Series No.64, p65.</w:t>
      </w:r>
    </w:p>
  </w:endnote>
  <w:endnote w:id="3">
    <w:p w14:paraId="2F143071" w14:textId="77777777" w:rsidR="00D44427" w:rsidRPr="0059518C" w:rsidRDefault="00D44427" w:rsidP="00B83FFD">
      <w:pPr>
        <w:pStyle w:val="EndnoteText"/>
        <w:spacing w:after="120"/>
        <w:ind w:left="426" w:hanging="426"/>
        <w:rPr>
          <w:rFonts w:ascii="Arial" w:hAnsi="Arial" w:cs="Arial"/>
          <w:color w:val="0000FF"/>
          <w:sz w:val="18"/>
          <w:szCs w:val="18"/>
        </w:rPr>
      </w:pPr>
      <w:r w:rsidRPr="00C813B0">
        <w:rPr>
          <w:rStyle w:val="EndnoteReference"/>
          <w:rFonts w:ascii="Arial" w:hAnsi="Arial" w:cs="Arial"/>
          <w:sz w:val="18"/>
          <w:szCs w:val="18"/>
          <w:vertAlign w:val="baseline"/>
        </w:rPr>
        <w:endnoteRef/>
      </w:r>
      <w:r w:rsidRPr="00C813B0">
        <w:rPr>
          <w:rFonts w:ascii="Arial" w:hAnsi="Arial" w:cs="Arial"/>
          <w:sz w:val="18"/>
          <w:szCs w:val="18"/>
        </w:rPr>
        <w:tab/>
      </w:r>
      <w:r w:rsidRPr="00C813B0">
        <w:rPr>
          <w:rStyle w:val="EndnoteReference"/>
          <w:rFonts w:ascii="Arial" w:hAnsi="Arial" w:cs="Arial"/>
          <w:sz w:val="18"/>
          <w:szCs w:val="18"/>
          <w:vertAlign w:val="baseline"/>
        </w:rPr>
        <w:t>COAG National Healthcare Agreement.</w:t>
      </w:r>
      <w:r w:rsidRPr="00C813B0">
        <w:rPr>
          <w:rFonts w:ascii="Arial" w:hAnsi="Arial" w:cs="Arial"/>
          <w:sz w:val="18"/>
          <w:szCs w:val="18"/>
        </w:rPr>
        <w:t xml:space="preserve"> Available at: </w:t>
      </w:r>
      <w:hyperlink r:id="rId2" w:history="1">
        <w:r w:rsidRPr="00C813B0">
          <w:rPr>
            <w:rStyle w:val="Hyperlink"/>
            <w:rFonts w:ascii="Arial" w:hAnsi="Arial" w:cs="Arial"/>
            <w:sz w:val="18"/>
            <w:szCs w:val="18"/>
          </w:rPr>
          <w:t>https://www.coag.gov.au/node/439</w:t>
        </w:r>
      </w:hyperlink>
      <w:r w:rsidR="0059518C" w:rsidRPr="0059518C">
        <w:rPr>
          <w:rStyle w:val="Hyperlink"/>
          <w:rFonts w:ascii="Arial" w:hAnsi="Arial" w:cs="Arial"/>
          <w:sz w:val="18"/>
          <w:szCs w:val="18"/>
          <w:u w:val="none"/>
        </w:rPr>
        <w:t>.</w:t>
      </w:r>
    </w:p>
  </w:endnote>
  <w:endnote w:id="4">
    <w:p w14:paraId="349323FC" w14:textId="77777777" w:rsidR="00D44427" w:rsidRPr="00C813B0" w:rsidRDefault="00D44427" w:rsidP="00B83FFD">
      <w:pPr>
        <w:pStyle w:val="EndnoteText"/>
        <w:spacing w:after="120"/>
        <w:ind w:left="426" w:hanging="426"/>
        <w:rPr>
          <w:rFonts w:ascii="Arial" w:hAnsi="Arial" w:cs="Arial"/>
          <w:sz w:val="18"/>
          <w:szCs w:val="18"/>
        </w:rPr>
      </w:pPr>
      <w:r w:rsidRPr="00C813B0">
        <w:rPr>
          <w:rStyle w:val="EndnoteReference"/>
          <w:rFonts w:ascii="Arial" w:hAnsi="Arial" w:cs="Arial"/>
          <w:sz w:val="18"/>
          <w:szCs w:val="18"/>
          <w:vertAlign w:val="baseline"/>
        </w:rPr>
        <w:endnoteRef/>
      </w:r>
      <w:r w:rsidRPr="00C813B0">
        <w:rPr>
          <w:rFonts w:ascii="Arial" w:hAnsi="Arial" w:cs="Arial"/>
          <w:sz w:val="18"/>
          <w:szCs w:val="18"/>
        </w:rPr>
        <w:tab/>
        <w:t>Rate from ABS, 2008 National Aboriginal and Torres Strait Islander Social Survey, used as a baseline figure by the COAG Reform Council.</w:t>
      </w:r>
    </w:p>
  </w:endnote>
  <w:endnote w:id="5">
    <w:p w14:paraId="0BD85896" w14:textId="77777777" w:rsidR="00D44427" w:rsidRPr="00C813B0" w:rsidRDefault="00D44427" w:rsidP="00B83FFD">
      <w:pPr>
        <w:pStyle w:val="EndnoteText"/>
        <w:tabs>
          <w:tab w:val="left" w:pos="284"/>
        </w:tabs>
        <w:spacing w:after="120"/>
        <w:ind w:left="426" w:hanging="426"/>
        <w:rPr>
          <w:rFonts w:ascii="Arial" w:hAnsi="Arial" w:cs="Arial"/>
          <w:sz w:val="18"/>
          <w:szCs w:val="18"/>
        </w:rPr>
      </w:pPr>
      <w:r w:rsidRPr="00C813B0">
        <w:rPr>
          <w:rStyle w:val="EndnoteReference"/>
          <w:rFonts w:ascii="Arial" w:hAnsi="Arial" w:cs="Arial"/>
          <w:sz w:val="18"/>
          <w:szCs w:val="18"/>
          <w:vertAlign w:val="baseline"/>
        </w:rPr>
        <w:endnoteRef/>
      </w:r>
      <w:r w:rsidRPr="00C813B0">
        <w:rPr>
          <w:rFonts w:ascii="Arial" w:hAnsi="Arial" w:cs="Arial"/>
          <w:color w:val="4A4A4A"/>
          <w:sz w:val="18"/>
          <w:szCs w:val="18"/>
          <w:shd w:val="clear" w:color="auto" w:fill="FFFFFF"/>
        </w:rPr>
        <w:tab/>
      </w:r>
      <w:r w:rsidR="009F1CC3">
        <w:rPr>
          <w:rFonts w:ascii="Arial" w:hAnsi="Arial" w:cs="Arial"/>
          <w:color w:val="4A4A4A"/>
          <w:sz w:val="18"/>
          <w:szCs w:val="18"/>
          <w:shd w:val="clear" w:color="auto" w:fill="FFFFFF"/>
        </w:rPr>
        <w:tab/>
      </w:r>
      <w:r w:rsidRPr="00C813B0">
        <w:rPr>
          <w:rStyle w:val="EndnoteReference"/>
          <w:rFonts w:ascii="Arial" w:hAnsi="Arial" w:cs="Arial"/>
          <w:sz w:val="18"/>
          <w:szCs w:val="18"/>
          <w:vertAlign w:val="baseline"/>
        </w:rPr>
        <w:t>5206.0 Australian National Accounts: National Income, Expenditure and Product, Dec 2015 Available at:</w:t>
      </w:r>
      <w:r w:rsidR="00177A37" w:rsidRPr="00C813B0">
        <w:rPr>
          <w:rFonts w:ascii="Arial" w:hAnsi="Arial" w:cs="Arial"/>
          <w:sz w:val="18"/>
          <w:szCs w:val="18"/>
        </w:rPr>
        <w:t xml:space="preserve"> </w:t>
      </w:r>
      <w:r w:rsidRPr="00C813B0">
        <w:rPr>
          <w:rStyle w:val="EndnoteReference"/>
          <w:rFonts w:ascii="Arial" w:hAnsi="Arial" w:cs="Arial"/>
          <w:sz w:val="18"/>
          <w:szCs w:val="18"/>
          <w:vertAlign w:val="baseline"/>
        </w:rPr>
        <w:t>Australian National Accounts: National Income, Expenditure and Product.</w:t>
      </w:r>
      <w:r w:rsidRPr="00C813B0">
        <w:rPr>
          <w:rFonts w:ascii="Arial" w:hAnsi="Arial" w:cs="Arial"/>
          <w:sz w:val="18"/>
          <w:szCs w:val="18"/>
        </w:rPr>
        <w:t xml:space="preserve"> </w:t>
      </w:r>
      <w:r w:rsidRPr="00C813B0">
        <w:rPr>
          <w:rStyle w:val="EndnoteReference"/>
          <w:rFonts w:ascii="Arial" w:hAnsi="Arial" w:cs="Arial"/>
          <w:sz w:val="18"/>
          <w:szCs w:val="18"/>
          <w:vertAlign w:val="baseline"/>
        </w:rPr>
        <w:t>Available at:</w:t>
      </w:r>
      <w:r w:rsidRPr="00C813B0">
        <w:rPr>
          <w:rFonts w:ascii="Arial" w:hAnsi="Arial" w:cs="Arial"/>
          <w:sz w:val="18"/>
          <w:szCs w:val="18"/>
        </w:rPr>
        <w:t xml:space="preserve"> </w:t>
      </w:r>
      <w:hyperlink r:id="rId3" w:history="1">
        <w:r w:rsidRPr="00C813B0">
          <w:rPr>
            <w:rStyle w:val="Hyperlink"/>
            <w:rFonts w:ascii="Arial" w:hAnsi="Arial" w:cs="Arial"/>
            <w:sz w:val="18"/>
            <w:szCs w:val="18"/>
          </w:rPr>
          <w:t>http://www.abs.gov.au/AUSSTATS/abs@.nsf/DetailsPage/5206.0Dec%202015?OpenDocument</w:t>
        </w:r>
      </w:hyperlink>
      <w:r w:rsidR="0059518C" w:rsidRPr="0059518C">
        <w:rPr>
          <w:rStyle w:val="Hyperlink"/>
          <w:rFonts w:ascii="Arial" w:hAnsi="Arial" w:cs="Arial"/>
          <w:sz w:val="18"/>
          <w:szCs w:val="18"/>
          <w:u w:val="none"/>
        </w:rPr>
        <w:t>.</w:t>
      </w:r>
    </w:p>
  </w:endnote>
  <w:endnote w:id="6">
    <w:p w14:paraId="05CB2466" w14:textId="77777777" w:rsidR="00EA13FD" w:rsidRPr="00C813B0" w:rsidRDefault="00EA13FD" w:rsidP="00B83FFD">
      <w:pPr>
        <w:pStyle w:val="EndnoteText"/>
        <w:spacing w:after="120"/>
        <w:ind w:left="426" w:hanging="426"/>
        <w:rPr>
          <w:rFonts w:ascii="Arial" w:hAnsi="Arial" w:cs="Arial"/>
          <w:sz w:val="18"/>
          <w:szCs w:val="18"/>
        </w:rPr>
      </w:pPr>
      <w:r w:rsidRPr="00C813B0">
        <w:rPr>
          <w:rStyle w:val="EndnoteReference"/>
          <w:rFonts w:ascii="Arial" w:hAnsi="Arial" w:cs="Arial"/>
          <w:sz w:val="18"/>
          <w:szCs w:val="18"/>
          <w:vertAlign w:val="baseline"/>
        </w:rPr>
        <w:endnoteRef/>
      </w:r>
      <w:r w:rsidRPr="00C813B0">
        <w:rPr>
          <w:rFonts w:ascii="Arial" w:hAnsi="Arial" w:cs="Arial"/>
          <w:sz w:val="18"/>
          <w:szCs w:val="18"/>
        </w:rPr>
        <w:tab/>
        <w:t>These estimates are subject to a number of limitations, particularly if used in isolation to monitor Australia’s progress in reducing the affordability of tobacco products. They do not necessarily reflect the variable price of a particular tobacco product paid by a consumer at the retail level.</w:t>
      </w:r>
    </w:p>
  </w:endnote>
  <w:endnote w:id="7">
    <w:p w14:paraId="5D400F7B" w14:textId="77777777" w:rsidR="00C813B0" w:rsidRPr="00C813B0" w:rsidRDefault="00EA13FD" w:rsidP="00B83FFD">
      <w:pPr>
        <w:pStyle w:val="EndnoteText"/>
        <w:spacing w:after="120"/>
        <w:ind w:left="426" w:hanging="426"/>
        <w:rPr>
          <w:rFonts w:ascii="Arial" w:hAnsi="Arial" w:cs="Arial"/>
          <w:sz w:val="18"/>
          <w:szCs w:val="18"/>
        </w:rPr>
      </w:pPr>
      <w:r w:rsidRPr="00C813B0">
        <w:rPr>
          <w:rStyle w:val="EndnoteReference"/>
          <w:rFonts w:ascii="Arial" w:hAnsi="Arial" w:cs="Arial"/>
          <w:sz w:val="18"/>
          <w:szCs w:val="18"/>
          <w:vertAlign w:val="baseline"/>
        </w:rPr>
        <w:endnoteRef/>
      </w:r>
      <w:r w:rsidRPr="00C813B0">
        <w:rPr>
          <w:rFonts w:ascii="Arial" w:hAnsi="Arial" w:cs="Arial"/>
          <w:sz w:val="18"/>
          <w:szCs w:val="18"/>
        </w:rPr>
        <w:tab/>
        <w:t xml:space="preserve">Estimates based on market share (volume) data as at 2015 from Euromonitor International. Further information is available at: </w:t>
      </w:r>
      <w:hyperlink r:id="rId4" w:history="1">
        <w:r w:rsidR="00C813B0" w:rsidRPr="00C813B0">
          <w:rPr>
            <w:rStyle w:val="Hyperlink"/>
            <w:rFonts w:ascii="Arial" w:hAnsi="Arial" w:cs="Arial"/>
            <w:sz w:val="18"/>
            <w:szCs w:val="18"/>
          </w:rPr>
          <w:t>http://www.tobaccoinaustralia.org.au/chapter-10-tobacco-industry/10-6-market-share-and-brand-share</w:t>
        </w:r>
      </w:hyperlink>
      <w:r w:rsidR="0059518C" w:rsidRPr="0059518C">
        <w:rPr>
          <w:rStyle w:val="Hyperlink"/>
          <w:rFonts w:ascii="Arial" w:hAnsi="Arial" w:cs="Arial"/>
          <w:sz w:val="18"/>
          <w:szCs w:val="18"/>
          <w:u w:val="none"/>
        </w:rPr>
        <w:t>.</w:t>
      </w:r>
    </w:p>
  </w:endnote>
  <w:endnote w:id="8">
    <w:p w14:paraId="7D9EC4E3" w14:textId="77777777" w:rsidR="00EA13FD" w:rsidRPr="00C813B0" w:rsidRDefault="00EA13FD" w:rsidP="00B83FFD">
      <w:pPr>
        <w:pStyle w:val="EndnoteText"/>
        <w:spacing w:after="120"/>
        <w:ind w:left="426" w:hanging="426"/>
        <w:rPr>
          <w:rFonts w:ascii="Arial" w:hAnsi="Arial" w:cs="Arial"/>
          <w:sz w:val="18"/>
          <w:szCs w:val="18"/>
        </w:rPr>
      </w:pPr>
      <w:r w:rsidRPr="00C813B0">
        <w:rPr>
          <w:rStyle w:val="EndnoteReference"/>
          <w:rFonts w:ascii="Arial" w:hAnsi="Arial" w:cs="Arial"/>
          <w:sz w:val="18"/>
          <w:szCs w:val="18"/>
          <w:vertAlign w:val="baseline"/>
        </w:rPr>
        <w:endnoteRef/>
      </w:r>
      <w:r w:rsidRPr="00C813B0">
        <w:rPr>
          <w:rFonts w:ascii="Arial" w:hAnsi="Arial" w:cs="Arial"/>
          <w:sz w:val="18"/>
          <w:szCs w:val="18"/>
        </w:rPr>
        <w:tab/>
        <w:t xml:space="preserve">Estimates based on recommended retail price list of Winfield 25s, Longbeach 30s, Horizon 30s JPS 26s and Peter Jackson 25s, available at: </w:t>
      </w:r>
      <w:hyperlink r:id="rId5" w:history="1">
        <w:r w:rsidR="0059518C" w:rsidRPr="00876695">
          <w:rPr>
            <w:rStyle w:val="Hyperlink"/>
            <w:rFonts w:ascii="Arial" w:hAnsi="Arial" w:cs="Arial"/>
            <w:sz w:val="18"/>
            <w:szCs w:val="18"/>
          </w:rPr>
          <w:t>http://wholesale.pattersonroad.com.au/rrp_lists_1.isp</w:t>
        </w:r>
      </w:hyperlink>
      <w:r w:rsidR="0059518C">
        <w:rPr>
          <w:rFonts w:ascii="Arial" w:hAnsi="Arial" w:cs="Arial"/>
          <w:sz w:val="18"/>
          <w:szCs w:val="18"/>
        </w:rPr>
        <w:t>.</w:t>
      </w:r>
    </w:p>
  </w:endnote>
  <w:endnote w:id="9">
    <w:p w14:paraId="4EF4252F" w14:textId="77777777" w:rsidR="0059518C" w:rsidRPr="00C813B0" w:rsidRDefault="00EA13FD" w:rsidP="00B83FFD">
      <w:pPr>
        <w:pStyle w:val="EndnoteText"/>
        <w:spacing w:after="120"/>
        <w:ind w:left="426" w:hanging="426"/>
        <w:rPr>
          <w:rFonts w:ascii="Arial" w:hAnsi="Arial" w:cs="Arial"/>
          <w:sz w:val="18"/>
          <w:szCs w:val="18"/>
        </w:rPr>
      </w:pPr>
      <w:r w:rsidRPr="00C813B0">
        <w:rPr>
          <w:rStyle w:val="EndnoteReference"/>
          <w:rFonts w:ascii="Arial" w:hAnsi="Arial" w:cs="Arial"/>
          <w:sz w:val="18"/>
          <w:szCs w:val="18"/>
          <w:vertAlign w:val="baseline"/>
        </w:rPr>
        <w:endnoteRef/>
      </w:r>
      <w:r w:rsidRPr="00C813B0">
        <w:rPr>
          <w:rFonts w:ascii="Arial" w:hAnsi="Arial" w:cs="Arial"/>
          <w:sz w:val="18"/>
          <w:szCs w:val="18"/>
        </w:rPr>
        <w:tab/>
        <w:t xml:space="preserve">Estimates based on the recommended retail price list for 50g packs of Champion Ruby, Winfield, Drum and White Ox, available at: </w:t>
      </w:r>
      <w:hyperlink r:id="rId6" w:history="1">
        <w:r w:rsidR="0059518C" w:rsidRPr="00876695">
          <w:rPr>
            <w:rStyle w:val="Hyperlink"/>
            <w:rFonts w:ascii="Arial" w:hAnsi="Arial" w:cs="Arial"/>
            <w:sz w:val="18"/>
            <w:szCs w:val="18"/>
          </w:rPr>
          <w:t>http://wholesale.pattersonroad.com.au/rrp_tobacco.jsp</w:t>
        </w:r>
      </w:hyperlink>
      <w:r w:rsidR="0059518C">
        <w:rPr>
          <w:rFonts w:ascii="Arial" w:hAnsi="Arial" w:cs="Arial"/>
          <w:sz w:val="18"/>
          <w:szCs w:val="18"/>
        </w:rPr>
        <w:t>.</w:t>
      </w:r>
    </w:p>
  </w:endnote>
  <w:endnote w:id="10">
    <w:p w14:paraId="07436B7F" w14:textId="77777777" w:rsidR="00D44427" w:rsidRPr="0059518C" w:rsidRDefault="00D44427" w:rsidP="00B83FFD">
      <w:pPr>
        <w:pStyle w:val="EndnoteText"/>
        <w:spacing w:after="120"/>
        <w:ind w:left="426" w:hanging="426"/>
        <w:rPr>
          <w:rFonts w:ascii="Arial" w:hAnsi="Arial" w:cs="Arial"/>
          <w:sz w:val="18"/>
          <w:szCs w:val="18"/>
        </w:rPr>
      </w:pPr>
      <w:r w:rsidRPr="00C813B0">
        <w:rPr>
          <w:rStyle w:val="EndnoteReference"/>
          <w:rFonts w:ascii="Arial" w:hAnsi="Arial" w:cs="Arial"/>
          <w:sz w:val="18"/>
          <w:szCs w:val="18"/>
          <w:vertAlign w:val="baseline"/>
        </w:rPr>
        <w:endnoteRef/>
      </w:r>
      <w:r w:rsidRPr="00C813B0">
        <w:rPr>
          <w:rFonts w:ascii="Arial" w:hAnsi="Arial" w:cs="Arial"/>
          <w:sz w:val="18"/>
          <w:szCs w:val="18"/>
        </w:rPr>
        <w:tab/>
        <w:t>ABS National Health Survey: First Results 2014-15. Available at:</w:t>
      </w:r>
      <w:r w:rsidRPr="00C813B0">
        <w:rPr>
          <w:rFonts w:ascii="Arial" w:hAnsi="Arial" w:cs="Arial"/>
          <w:i/>
          <w:sz w:val="18"/>
          <w:szCs w:val="18"/>
        </w:rPr>
        <w:t xml:space="preserve"> </w:t>
      </w:r>
      <w:hyperlink r:id="rId7" w:history="1">
        <w:r w:rsidRPr="00C813B0">
          <w:rPr>
            <w:rStyle w:val="Hyperlink"/>
            <w:rFonts w:ascii="Arial" w:hAnsi="Arial" w:cs="Arial"/>
            <w:sz w:val="18"/>
            <w:szCs w:val="18"/>
          </w:rPr>
          <w:t>http://www.abs.gov.au/AUSSTATS/abs@.nsf/DetailsPage/4364.0.55.0012014-15?OpenDocument</w:t>
        </w:r>
      </w:hyperlink>
      <w:r w:rsidR="0059518C" w:rsidRPr="0059518C">
        <w:rPr>
          <w:rStyle w:val="Hyperlink"/>
          <w:rFonts w:ascii="Arial" w:hAnsi="Arial" w:cs="Arial"/>
          <w:sz w:val="18"/>
          <w:szCs w:val="18"/>
          <w:u w:val="none"/>
        </w:rPr>
        <w:t>.</w:t>
      </w:r>
    </w:p>
  </w:endnote>
  <w:endnote w:id="11">
    <w:p w14:paraId="407F9E6F" w14:textId="77777777" w:rsidR="00D44427" w:rsidRPr="0059518C" w:rsidRDefault="00D44427" w:rsidP="00B83FFD">
      <w:pPr>
        <w:pStyle w:val="EndnoteText"/>
        <w:spacing w:after="120"/>
        <w:ind w:left="426" w:hanging="426"/>
        <w:rPr>
          <w:rFonts w:ascii="Arial" w:hAnsi="Arial" w:cs="Arial"/>
          <w:sz w:val="18"/>
          <w:szCs w:val="18"/>
        </w:rPr>
      </w:pPr>
      <w:r w:rsidRPr="00C813B0">
        <w:rPr>
          <w:rStyle w:val="EndnoteReference"/>
          <w:rFonts w:ascii="Arial" w:hAnsi="Arial" w:cs="Arial"/>
          <w:sz w:val="18"/>
          <w:szCs w:val="18"/>
          <w:vertAlign w:val="baseline"/>
        </w:rPr>
        <w:endnoteRef/>
      </w:r>
      <w:r w:rsidRPr="00C813B0">
        <w:rPr>
          <w:rFonts w:ascii="Arial" w:hAnsi="Arial" w:cs="Arial"/>
          <w:sz w:val="18"/>
          <w:szCs w:val="18"/>
        </w:rPr>
        <w:tab/>
      </w:r>
      <w:r w:rsidRPr="00C813B0">
        <w:rPr>
          <w:rStyle w:val="EndnoteReference"/>
          <w:rFonts w:ascii="Arial" w:hAnsi="Arial" w:cs="Arial"/>
          <w:sz w:val="18"/>
          <w:szCs w:val="18"/>
          <w:vertAlign w:val="baseline"/>
        </w:rPr>
        <w:t>These figures are reported as age-standardised rates, which are used to measure progress against the COAG benchmark for</w:t>
      </w:r>
      <w:r w:rsidRPr="00C813B0">
        <w:rPr>
          <w:rFonts w:ascii="Arial" w:hAnsi="Arial" w:cs="Arial"/>
          <w:sz w:val="18"/>
          <w:szCs w:val="18"/>
        </w:rPr>
        <w:t xml:space="preserve"> </w:t>
      </w:r>
      <w:r w:rsidRPr="00C813B0">
        <w:rPr>
          <w:rStyle w:val="EndnoteReference"/>
          <w:rFonts w:ascii="Arial" w:hAnsi="Arial" w:cs="Arial"/>
          <w:sz w:val="18"/>
          <w:szCs w:val="18"/>
          <w:vertAlign w:val="baseline"/>
        </w:rPr>
        <w:t xml:space="preserve">tobacco. Information about how the COAG benchmark for tobacco is calculated is available at </w:t>
      </w:r>
      <w:hyperlink r:id="rId8" w:history="1">
        <w:r w:rsidRPr="00C813B0">
          <w:rPr>
            <w:rStyle w:val="Hyperlink"/>
            <w:rFonts w:ascii="Arial" w:hAnsi="Arial" w:cs="Arial"/>
            <w:sz w:val="18"/>
            <w:szCs w:val="18"/>
          </w:rPr>
          <w:t>http://meteor.aihw.gov.au/content/index.phtml/itemId/629977</w:t>
        </w:r>
      </w:hyperlink>
      <w:r w:rsidR="0059518C" w:rsidRPr="0059518C">
        <w:rPr>
          <w:rStyle w:val="Hyperlink"/>
          <w:rFonts w:ascii="Arial" w:hAnsi="Arial" w:cs="Arial"/>
          <w:sz w:val="18"/>
          <w:szCs w:val="18"/>
          <w:u w:val="none"/>
        </w:rPr>
        <w:t>.</w:t>
      </w:r>
    </w:p>
  </w:endnote>
  <w:endnote w:id="12">
    <w:p w14:paraId="7AEDE41C" w14:textId="77777777" w:rsidR="00D44427" w:rsidRPr="00C813B0" w:rsidRDefault="00D44427" w:rsidP="00B83FFD">
      <w:pPr>
        <w:pStyle w:val="EndnoteText"/>
        <w:spacing w:after="120"/>
        <w:ind w:left="426" w:hanging="426"/>
        <w:rPr>
          <w:rFonts w:ascii="Arial" w:hAnsi="Arial" w:cs="Arial"/>
          <w:sz w:val="18"/>
          <w:szCs w:val="18"/>
        </w:rPr>
      </w:pPr>
      <w:r w:rsidRPr="00C813B0">
        <w:rPr>
          <w:rStyle w:val="EndnoteReference"/>
          <w:rFonts w:ascii="Arial" w:hAnsi="Arial" w:cs="Arial"/>
          <w:sz w:val="18"/>
          <w:szCs w:val="18"/>
          <w:vertAlign w:val="baseline"/>
        </w:rPr>
        <w:endnoteRef/>
      </w:r>
      <w:r w:rsidRPr="00C813B0">
        <w:rPr>
          <w:rFonts w:ascii="Arial" w:hAnsi="Arial" w:cs="Arial"/>
          <w:sz w:val="18"/>
          <w:szCs w:val="18"/>
        </w:rPr>
        <w:tab/>
      </w:r>
      <w:r w:rsidRPr="00C813B0">
        <w:rPr>
          <w:rFonts w:ascii="Arial" w:hAnsi="Arial" w:cs="Arial"/>
          <w:color w:val="000000"/>
          <w:sz w:val="18"/>
          <w:szCs w:val="18"/>
        </w:rPr>
        <w:t>Findings from the 2013 NDSHS show that in Australia daily smokers aged 14 years and over declined from 24.3% in 1991 to 12.8% in 2013.</w:t>
      </w:r>
    </w:p>
  </w:endnote>
  <w:endnote w:id="13">
    <w:p w14:paraId="1354F392" w14:textId="77777777" w:rsidR="00D44427" w:rsidRPr="00C813B0" w:rsidRDefault="00D44427" w:rsidP="00B83FFD">
      <w:pPr>
        <w:pStyle w:val="EndnoteText"/>
        <w:spacing w:after="120"/>
        <w:ind w:left="426" w:hanging="426"/>
        <w:rPr>
          <w:rFonts w:ascii="Arial" w:hAnsi="Arial" w:cs="Arial"/>
          <w:sz w:val="18"/>
          <w:szCs w:val="18"/>
        </w:rPr>
      </w:pPr>
      <w:r w:rsidRPr="00C813B0">
        <w:rPr>
          <w:rStyle w:val="EndnoteReference"/>
          <w:rFonts w:ascii="Arial" w:hAnsi="Arial" w:cs="Arial"/>
          <w:sz w:val="18"/>
          <w:szCs w:val="18"/>
          <w:vertAlign w:val="baseline"/>
        </w:rPr>
        <w:endnoteRef/>
      </w:r>
      <w:r w:rsidRPr="00C813B0">
        <w:rPr>
          <w:rFonts w:ascii="Arial" w:hAnsi="Arial" w:cs="Arial"/>
          <w:sz w:val="18"/>
          <w:szCs w:val="18"/>
        </w:rPr>
        <w:tab/>
      </w:r>
      <w:r w:rsidRPr="00C813B0">
        <w:rPr>
          <w:rStyle w:val="EndnoteReference"/>
          <w:rFonts w:ascii="Arial" w:hAnsi="Arial" w:cs="Arial"/>
          <w:sz w:val="18"/>
          <w:szCs w:val="18"/>
          <w:vertAlign w:val="baseline"/>
        </w:rPr>
        <w:t>As the NHS and NDSHS are different surveys and have been conducted at different points in time, it is not appropriate to directly compare specific results from the two surveys. However, when looking at trends over the last two decades, findings from both surveys clearly show a marked decline in daily smoking prevalence in the general population.</w:t>
      </w:r>
    </w:p>
  </w:endnote>
  <w:endnote w:id="14">
    <w:p w14:paraId="3D10E302" w14:textId="77777777" w:rsidR="00D44427" w:rsidRPr="00C813B0" w:rsidRDefault="00D44427" w:rsidP="00B83FFD">
      <w:pPr>
        <w:pStyle w:val="EndnoteText"/>
        <w:spacing w:after="120"/>
        <w:ind w:left="426" w:hanging="426"/>
        <w:rPr>
          <w:rFonts w:ascii="Arial" w:hAnsi="Arial" w:cs="Arial"/>
          <w:sz w:val="18"/>
          <w:szCs w:val="18"/>
        </w:rPr>
      </w:pPr>
      <w:r w:rsidRPr="00C813B0">
        <w:rPr>
          <w:rStyle w:val="EndnoteReference"/>
          <w:rFonts w:ascii="Arial" w:hAnsi="Arial" w:cs="Arial"/>
          <w:sz w:val="18"/>
          <w:szCs w:val="18"/>
          <w:vertAlign w:val="baseline"/>
        </w:rPr>
        <w:endnoteRef/>
      </w:r>
      <w:r w:rsidRPr="00C813B0">
        <w:rPr>
          <w:rFonts w:ascii="Arial" w:hAnsi="Arial" w:cs="Arial"/>
          <w:sz w:val="18"/>
          <w:szCs w:val="18"/>
        </w:rPr>
        <w:tab/>
        <w:t xml:space="preserve">National Drug Strategy Household Survey (NDSHS) 2016 key findings. Available at: </w:t>
      </w:r>
      <w:hyperlink r:id="rId9" w:history="1">
        <w:r w:rsidRPr="00C813B0">
          <w:rPr>
            <w:rStyle w:val="Hyperlink"/>
            <w:rFonts w:ascii="Arial" w:hAnsi="Arial" w:cs="Arial"/>
            <w:sz w:val="18"/>
            <w:szCs w:val="18"/>
          </w:rPr>
          <w:t>http://www.aihw.gov.au/alcohol-and- other-drugs/data-sources/ndshs-2016/key-findings/</w:t>
        </w:r>
      </w:hyperlink>
      <w:r w:rsidR="0059518C" w:rsidRPr="0059518C">
        <w:rPr>
          <w:rStyle w:val="Hyperlink"/>
          <w:rFonts w:ascii="Arial" w:hAnsi="Arial" w:cs="Arial"/>
          <w:sz w:val="18"/>
          <w:szCs w:val="18"/>
          <w:u w:val="none"/>
        </w:rPr>
        <w:t>.</w:t>
      </w:r>
    </w:p>
  </w:endnote>
  <w:endnote w:id="15">
    <w:p w14:paraId="4BE19BB1" w14:textId="77777777" w:rsidR="009A76AC" w:rsidRPr="00C813B0" w:rsidRDefault="009A76AC" w:rsidP="00B83FFD">
      <w:pPr>
        <w:pStyle w:val="EndnoteText"/>
        <w:spacing w:after="120"/>
        <w:ind w:left="426" w:hanging="426"/>
        <w:rPr>
          <w:rStyle w:val="EndnoteReference"/>
          <w:rFonts w:ascii="Arial" w:hAnsi="Arial" w:cs="Arial"/>
          <w:sz w:val="18"/>
          <w:szCs w:val="18"/>
          <w:vertAlign w:val="baseline"/>
        </w:rPr>
      </w:pPr>
      <w:r w:rsidRPr="00C813B0">
        <w:rPr>
          <w:rStyle w:val="EndnoteReference"/>
          <w:rFonts w:ascii="Arial" w:hAnsi="Arial" w:cs="Arial"/>
          <w:sz w:val="18"/>
          <w:szCs w:val="18"/>
          <w:vertAlign w:val="baseline"/>
        </w:rPr>
        <w:endnoteRef/>
      </w:r>
      <w:r w:rsidRPr="00C813B0">
        <w:rPr>
          <w:rFonts w:ascii="Arial" w:hAnsi="Arial" w:cs="Arial"/>
          <w:sz w:val="18"/>
          <w:szCs w:val="18"/>
        </w:rPr>
        <w:tab/>
      </w:r>
      <w:r w:rsidRPr="00C813B0">
        <w:rPr>
          <w:rStyle w:val="EndnoteReference"/>
          <w:rFonts w:ascii="Arial" w:hAnsi="Arial" w:cs="Arial"/>
          <w:sz w:val="18"/>
          <w:szCs w:val="18"/>
          <w:vertAlign w:val="baseline"/>
        </w:rPr>
        <w:t>Figures for 1991, 1993, and 1995 are from AIHW unpublished data. 1998 to 2010 data is from the 2010 NDSHS report, Supplementary table, released on the AIHW website, 5 November 2010. 2013 data available at the AIHW website.</w:t>
      </w:r>
    </w:p>
  </w:endnote>
  <w:endnote w:id="16">
    <w:p w14:paraId="291EB895" w14:textId="77777777" w:rsidR="009A76AC" w:rsidRPr="00C813B0" w:rsidRDefault="009A76AC" w:rsidP="00B83FFD">
      <w:pPr>
        <w:pStyle w:val="EndnoteText"/>
        <w:spacing w:after="120"/>
        <w:ind w:left="426" w:hanging="426"/>
        <w:rPr>
          <w:rStyle w:val="EndnoteReference"/>
          <w:rFonts w:ascii="Arial" w:hAnsi="Arial" w:cs="Arial"/>
          <w:sz w:val="18"/>
          <w:szCs w:val="18"/>
          <w:vertAlign w:val="baseline"/>
        </w:rPr>
      </w:pPr>
      <w:r w:rsidRPr="00C813B0">
        <w:rPr>
          <w:rStyle w:val="EndnoteReference"/>
          <w:rFonts w:ascii="Arial" w:hAnsi="Arial" w:cs="Arial"/>
          <w:sz w:val="18"/>
          <w:szCs w:val="18"/>
          <w:vertAlign w:val="baseline"/>
        </w:rPr>
        <w:endnoteRef/>
      </w:r>
      <w:r w:rsidRPr="00C813B0">
        <w:rPr>
          <w:rFonts w:ascii="Arial" w:hAnsi="Arial" w:cs="Arial"/>
          <w:sz w:val="18"/>
          <w:szCs w:val="18"/>
        </w:rPr>
        <w:tab/>
      </w:r>
      <w:r w:rsidRPr="00C813B0">
        <w:rPr>
          <w:rStyle w:val="EndnoteReference"/>
          <w:rFonts w:ascii="Arial" w:hAnsi="Arial" w:cs="Arial"/>
          <w:sz w:val="18"/>
          <w:szCs w:val="18"/>
          <w:vertAlign w:val="baseline"/>
        </w:rPr>
        <w:t>A</w:t>
      </w:r>
      <w:r w:rsidRPr="00C813B0">
        <w:rPr>
          <w:rFonts w:ascii="Arial" w:hAnsi="Arial" w:cs="Arial"/>
          <w:sz w:val="18"/>
          <w:szCs w:val="18"/>
        </w:rPr>
        <w:t>IHW</w:t>
      </w:r>
      <w:r w:rsidRPr="00C813B0">
        <w:rPr>
          <w:rStyle w:val="EndnoteReference"/>
          <w:rFonts w:ascii="Arial" w:hAnsi="Arial" w:cs="Arial"/>
          <w:sz w:val="18"/>
          <w:szCs w:val="18"/>
          <w:vertAlign w:val="baseline"/>
        </w:rPr>
        <w:t xml:space="preserve"> N</w:t>
      </w:r>
      <w:r w:rsidRPr="00C813B0">
        <w:rPr>
          <w:rFonts w:ascii="Arial" w:hAnsi="Arial" w:cs="Arial"/>
          <w:sz w:val="18"/>
          <w:szCs w:val="18"/>
        </w:rPr>
        <w:t xml:space="preserve">DSHS </w:t>
      </w:r>
      <w:r w:rsidRPr="00C813B0">
        <w:rPr>
          <w:rStyle w:val="EndnoteReference"/>
          <w:rFonts w:ascii="Arial" w:hAnsi="Arial" w:cs="Arial"/>
          <w:sz w:val="18"/>
          <w:szCs w:val="18"/>
          <w:vertAlign w:val="baseline"/>
        </w:rPr>
        <w:t>data between1991 to 2013. Data available at: AIHW</w:t>
      </w:r>
      <w:r w:rsidRPr="00C813B0">
        <w:rPr>
          <w:rFonts w:ascii="Arial" w:hAnsi="Arial" w:cs="Arial"/>
          <w:sz w:val="18"/>
          <w:szCs w:val="18"/>
        </w:rPr>
        <w:t xml:space="preserve"> </w:t>
      </w:r>
      <w:r w:rsidRPr="00C813B0">
        <w:rPr>
          <w:rStyle w:val="EndnoteReference"/>
          <w:rFonts w:ascii="Arial" w:hAnsi="Arial" w:cs="Arial"/>
          <w:sz w:val="18"/>
          <w:szCs w:val="18"/>
          <w:vertAlign w:val="baseline"/>
        </w:rPr>
        <w:t>website</w:t>
      </w:r>
      <w:r w:rsidR="0059518C">
        <w:rPr>
          <w:rFonts w:ascii="Arial" w:hAnsi="Arial" w:cs="Arial"/>
          <w:sz w:val="18"/>
          <w:szCs w:val="18"/>
        </w:rPr>
        <w:t>.</w:t>
      </w:r>
    </w:p>
  </w:endnote>
  <w:endnote w:id="17">
    <w:p w14:paraId="1A9BF975" w14:textId="77777777" w:rsidR="009A76AC" w:rsidRPr="0059518C" w:rsidRDefault="009A76AC" w:rsidP="00B83FFD">
      <w:pPr>
        <w:pStyle w:val="EndnoteText"/>
        <w:spacing w:after="120"/>
        <w:ind w:left="426" w:hanging="426"/>
        <w:rPr>
          <w:rFonts w:ascii="Arial" w:hAnsi="Arial" w:cs="Arial"/>
          <w:sz w:val="18"/>
          <w:szCs w:val="18"/>
        </w:rPr>
      </w:pPr>
      <w:r w:rsidRPr="00C813B0">
        <w:rPr>
          <w:rStyle w:val="EndnoteReference"/>
          <w:rFonts w:ascii="Arial" w:hAnsi="Arial" w:cs="Arial"/>
          <w:sz w:val="18"/>
          <w:szCs w:val="18"/>
          <w:vertAlign w:val="baseline"/>
        </w:rPr>
        <w:endnoteRef/>
      </w:r>
      <w:r w:rsidRPr="00C813B0">
        <w:rPr>
          <w:rFonts w:ascii="Arial" w:hAnsi="Arial" w:cs="Arial"/>
          <w:sz w:val="18"/>
          <w:szCs w:val="18"/>
        </w:rPr>
        <w:tab/>
        <w:t xml:space="preserve">ABS National Aboriginal and Torres Strait Islander Social Survey, 2014–15, released 28 April 2016. Available at: </w:t>
      </w:r>
      <w:hyperlink r:id="rId10" w:history="1">
        <w:r w:rsidRPr="00C813B0">
          <w:rPr>
            <w:rStyle w:val="Hyperlink"/>
            <w:rFonts w:ascii="Arial" w:hAnsi="Arial" w:cs="Arial"/>
            <w:sz w:val="18"/>
            <w:szCs w:val="18"/>
          </w:rPr>
          <w:t>http://www.abs.gov.au/AUSSTATS/abs@.nsf/Lookup/4714.0Main+Features22014-15?OpenDocument</w:t>
        </w:r>
      </w:hyperlink>
      <w:r w:rsidR="0059518C" w:rsidRPr="0059518C">
        <w:rPr>
          <w:rStyle w:val="Hyperlink"/>
          <w:rFonts w:ascii="Arial" w:hAnsi="Arial" w:cs="Arial"/>
          <w:sz w:val="18"/>
          <w:szCs w:val="18"/>
          <w:u w:val="none"/>
        </w:rPr>
        <w:t>.</w:t>
      </w:r>
    </w:p>
  </w:endnote>
  <w:endnote w:id="18">
    <w:p w14:paraId="6CBDC25C" w14:textId="77777777" w:rsidR="00D44427" w:rsidRPr="00C813B0" w:rsidRDefault="00D44427" w:rsidP="00B83FFD">
      <w:pPr>
        <w:pStyle w:val="EndnoteText"/>
        <w:spacing w:after="120"/>
        <w:ind w:left="426" w:hanging="426"/>
        <w:rPr>
          <w:rFonts w:ascii="Arial" w:hAnsi="Arial" w:cs="Arial"/>
          <w:sz w:val="18"/>
          <w:szCs w:val="18"/>
        </w:rPr>
      </w:pPr>
      <w:r w:rsidRPr="00C813B0">
        <w:rPr>
          <w:rStyle w:val="EndnoteReference"/>
          <w:rFonts w:ascii="Arial" w:hAnsi="Arial" w:cs="Arial"/>
          <w:sz w:val="18"/>
          <w:szCs w:val="18"/>
          <w:vertAlign w:val="baseline"/>
        </w:rPr>
        <w:endnoteRef/>
      </w:r>
      <w:r w:rsidRPr="00C813B0">
        <w:rPr>
          <w:rFonts w:ascii="Arial" w:hAnsi="Arial" w:cs="Arial"/>
          <w:sz w:val="18"/>
          <w:szCs w:val="18"/>
        </w:rPr>
        <w:tab/>
        <w:t>Australian Secondary School Students</w:t>
      </w:r>
      <w:r w:rsidR="00177A37" w:rsidRPr="00C813B0">
        <w:rPr>
          <w:rFonts w:ascii="Arial" w:hAnsi="Arial" w:cs="Arial"/>
          <w:sz w:val="18"/>
          <w:szCs w:val="18"/>
        </w:rPr>
        <w:t>’</w:t>
      </w:r>
      <w:r w:rsidRPr="00C813B0">
        <w:rPr>
          <w:rFonts w:ascii="Arial" w:hAnsi="Arial" w:cs="Arial"/>
          <w:sz w:val="18"/>
          <w:szCs w:val="18"/>
        </w:rPr>
        <w:t xml:space="preserve"> use of tobacco. Available at: </w:t>
      </w:r>
      <w:hyperlink r:id="rId11" w:history="1">
        <w:r w:rsidRPr="00C813B0">
          <w:rPr>
            <w:rStyle w:val="Hyperlink"/>
            <w:rFonts w:ascii="Arial" w:hAnsi="Arial" w:cs="Arial"/>
            <w:sz w:val="18"/>
            <w:szCs w:val="18"/>
          </w:rPr>
          <w:t>http://www.nationaldrugstrategy.gov.au/internet/drugstrategy/Publishing.nsf/content/BCBF6B2C638E1202CA257ACD0020E35C/$File/Tobacco%20Report%202014.PDF</w:t>
        </w:r>
      </w:hyperlink>
      <w:r w:rsidR="0059518C" w:rsidRPr="0059518C">
        <w:rPr>
          <w:rStyle w:val="Hyperlink"/>
          <w:rFonts w:ascii="Arial" w:hAnsi="Arial" w:cs="Arial"/>
          <w:sz w:val="18"/>
          <w:szCs w:val="18"/>
          <w:u w:val="none"/>
        </w:rPr>
        <w:t>.</w:t>
      </w:r>
    </w:p>
  </w:endnote>
  <w:endnote w:id="19">
    <w:p w14:paraId="46D640DA" w14:textId="77777777" w:rsidR="00D44427" w:rsidRPr="00C813B0" w:rsidRDefault="00D44427" w:rsidP="00B83FFD">
      <w:pPr>
        <w:pStyle w:val="EndnoteText"/>
        <w:spacing w:after="120"/>
        <w:ind w:left="426" w:hanging="426"/>
        <w:rPr>
          <w:rStyle w:val="EndnoteReference"/>
          <w:rFonts w:ascii="Arial" w:hAnsi="Arial" w:cs="Arial"/>
          <w:sz w:val="18"/>
          <w:szCs w:val="18"/>
          <w:vertAlign w:val="baseline"/>
        </w:rPr>
      </w:pPr>
      <w:r w:rsidRPr="00C813B0">
        <w:rPr>
          <w:rStyle w:val="EndnoteReference"/>
          <w:rFonts w:ascii="Arial" w:hAnsi="Arial" w:cs="Arial"/>
          <w:sz w:val="18"/>
          <w:szCs w:val="18"/>
          <w:vertAlign w:val="baseline"/>
        </w:rPr>
        <w:endnoteRef/>
      </w:r>
      <w:r w:rsidRPr="00C813B0">
        <w:rPr>
          <w:rFonts w:ascii="Arial" w:hAnsi="Arial" w:cs="Arial"/>
          <w:sz w:val="18"/>
          <w:szCs w:val="18"/>
        </w:rPr>
        <w:tab/>
      </w:r>
      <w:r w:rsidRPr="00C813B0">
        <w:rPr>
          <w:rStyle w:val="EndnoteReference"/>
          <w:rFonts w:ascii="Arial" w:hAnsi="Arial" w:cs="Arial"/>
          <w:sz w:val="18"/>
          <w:szCs w:val="18"/>
          <w:vertAlign w:val="baseline"/>
        </w:rPr>
        <w:t>Data Source: National Drug Strategy Household Survey reports: 1991, 1993, 1995, 1998 to 2013.</w:t>
      </w:r>
    </w:p>
  </w:endnote>
  <w:endnote w:id="20">
    <w:p w14:paraId="2482C7BC" w14:textId="77777777" w:rsidR="00D44427" w:rsidRPr="00C813B0" w:rsidRDefault="00D44427" w:rsidP="00B83FFD">
      <w:pPr>
        <w:pStyle w:val="EndnoteText"/>
        <w:spacing w:after="120"/>
        <w:ind w:left="426" w:hanging="426"/>
        <w:rPr>
          <w:rStyle w:val="EndnoteReference"/>
          <w:rFonts w:ascii="Arial" w:hAnsi="Arial" w:cs="Arial"/>
          <w:sz w:val="18"/>
          <w:szCs w:val="18"/>
          <w:vertAlign w:val="baseline"/>
        </w:rPr>
      </w:pPr>
      <w:r w:rsidRPr="00C813B0">
        <w:rPr>
          <w:rStyle w:val="EndnoteReference"/>
          <w:rFonts w:ascii="Arial" w:hAnsi="Arial" w:cs="Arial"/>
          <w:sz w:val="18"/>
          <w:szCs w:val="18"/>
          <w:vertAlign w:val="baseline"/>
        </w:rPr>
        <w:endnoteRef/>
      </w:r>
      <w:r w:rsidRPr="00C813B0">
        <w:rPr>
          <w:rFonts w:ascii="Arial" w:hAnsi="Arial" w:cs="Arial"/>
          <w:sz w:val="18"/>
          <w:szCs w:val="18"/>
        </w:rPr>
        <w:tab/>
      </w:r>
      <w:hyperlink r:id="rId12" w:tooltip="External website link: Australian Institute of Health and Welfare (2011). 2010 National Drug Strategy Household Survey report. Drug statistics series no. 25. Cat. No. PHE 145.   Canberra: AIHW" w:history="1">
        <w:r w:rsidRPr="00C813B0">
          <w:rPr>
            <w:rStyle w:val="EndnoteReference"/>
            <w:rFonts w:ascii="Arial" w:hAnsi="Arial" w:cs="Arial"/>
            <w:sz w:val="18"/>
            <w:szCs w:val="18"/>
            <w:vertAlign w:val="baseline"/>
          </w:rPr>
          <w:t>A</w:t>
        </w:r>
        <w:r w:rsidRPr="00C813B0">
          <w:rPr>
            <w:rFonts w:ascii="Arial" w:hAnsi="Arial" w:cs="Arial"/>
            <w:sz w:val="18"/>
            <w:szCs w:val="18"/>
          </w:rPr>
          <w:t>ustralian Institute of Health and Welfare</w:t>
        </w:r>
        <w:r w:rsidRPr="00C813B0">
          <w:rPr>
            <w:rStyle w:val="EndnoteReference"/>
            <w:rFonts w:ascii="Arial" w:hAnsi="Arial" w:cs="Arial"/>
            <w:sz w:val="18"/>
            <w:szCs w:val="18"/>
            <w:vertAlign w:val="baseline"/>
          </w:rPr>
          <w:t xml:space="preserve"> (2011). 2010</w:t>
        </w:r>
        <w:r w:rsidR="001D64A9">
          <w:rPr>
            <w:rStyle w:val="EndnoteReference"/>
            <w:rFonts w:ascii="Arial" w:hAnsi="Arial" w:cs="Arial"/>
            <w:sz w:val="18"/>
            <w:szCs w:val="18"/>
            <w:vertAlign w:val="baseline"/>
          </w:rPr>
          <w:t xml:space="preserve"> </w:t>
        </w:r>
        <w:r w:rsidRPr="00C813B0">
          <w:rPr>
            <w:rStyle w:val="EndnoteReference"/>
            <w:rFonts w:ascii="Arial" w:hAnsi="Arial" w:cs="Arial"/>
            <w:sz w:val="18"/>
            <w:szCs w:val="18"/>
            <w:vertAlign w:val="baseline"/>
          </w:rPr>
          <w:t>National Drug Strategy Household Survey report. Drug statistics series no. 25. Cat. No. PHE 145. Canberra: AIHW</w:t>
        </w:r>
      </w:hyperlink>
      <w:r w:rsidRPr="00C813B0">
        <w:rPr>
          <w:rStyle w:val="EndnoteReference"/>
          <w:rFonts w:ascii="Arial" w:hAnsi="Arial" w:cs="Arial"/>
          <w:sz w:val="18"/>
          <w:szCs w:val="18"/>
          <w:vertAlign w:val="baseline"/>
        </w:rPr>
        <w:t>. Table 3.5: Tobacco smoking status, people aged 14years or older, by sex and state/territory, 2010. Online Table A7.1, Tobacco smoking status, people aged 14 years or older, by sex and state/territory, 2013 (age-standardised per cent). Available at:</w:t>
      </w:r>
      <w:r w:rsidRPr="00C813B0">
        <w:rPr>
          <w:rStyle w:val="Hyperlink"/>
          <w:rFonts w:ascii="Arial" w:hAnsi="Arial" w:cs="Arial"/>
          <w:sz w:val="18"/>
          <w:szCs w:val="18"/>
        </w:rPr>
        <w:t xml:space="preserve"> </w:t>
      </w:r>
      <w:hyperlink r:id="rId13" w:tooltip="External website link: http://www.aihw.gov.au/publication-detail/?id=32212254712" w:history="1">
        <w:r w:rsidRPr="00C813B0">
          <w:rPr>
            <w:rStyle w:val="Hyperlink"/>
            <w:rFonts w:ascii="Arial" w:hAnsi="Arial" w:cs="Arial"/>
            <w:sz w:val="18"/>
            <w:szCs w:val="18"/>
          </w:rPr>
          <w:t>http://www.aihw.gov.au/publication-detail/?id=32212254712</w:t>
        </w:r>
      </w:hyperlink>
      <w:r w:rsidR="0059518C" w:rsidRPr="0059518C">
        <w:rPr>
          <w:rStyle w:val="Hyperlink"/>
          <w:rFonts w:ascii="Arial" w:hAnsi="Arial" w:cs="Arial"/>
          <w:sz w:val="18"/>
          <w:szCs w:val="18"/>
          <w:u w:val="none"/>
        </w:rPr>
        <w:t>.</w:t>
      </w:r>
    </w:p>
  </w:endnote>
  <w:endnote w:id="21">
    <w:p w14:paraId="48353749" w14:textId="77777777" w:rsidR="00D44427" w:rsidRPr="00C813B0" w:rsidRDefault="00D44427" w:rsidP="00D71CCD">
      <w:pPr>
        <w:pStyle w:val="EndnoteText"/>
        <w:spacing w:after="120"/>
        <w:ind w:left="426" w:hanging="426"/>
        <w:rPr>
          <w:rFonts w:ascii="Arial" w:hAnsi="Arial" w:cs="Arial"/>
          <w:sz w:val="18"/>
          <w:szCs w:val="18"/>
        </w:rPr>
      </w:pPr>
      <w:r w:rsidRPr="00C813B0">
        <w:rPr>
          <w:rStyle w:val="EndnoteReference"/>
          <w:rFonts w:ascii="Arial" w:hAnsi="Arial" w:cs="Arial"/>
          <w:sz w:val="18"/>
          <w:szCs w:val="18"/>
          <w:vertAlign w:val="baseline"/>
        </w:rPr>
        <w:endnoteRef/>
      </w:r>
      <w:r w:rsidRPr="00C813B0">
        <w:rPr>
          <w:rStyle w:val="EndnoteReference"/>
          <w:rFonts w:ascii="Arial" w:hAnsi="Arial" w:cs="Arial"/>
          <w:sz w:val="18"/>
          <w:szCs w:val="18"/>
          <w:vertAlign w:val="baseline"/>
        </w:rPr>
        <w:tab/>
        <w:t xml:space="preserve">Australian Institute of Health and Welfare (2014). 2013 National Drug Strategy Household Survey detailed report. Online </w:t>
      </w:r>
      <w:r w:rsidRPr="00C813B0">
        <w:rPr>
          <w:rFonts w:ascii="Arial" w:hAnsi="Arial" w:cs="Arial"/>
          <w:sz w:val="18"/>
          <w:szCs w:val="18"/>
        </w:rPr>
        <w:t xml:space="preserve"> </w:t>
      </w:r>
      <w:r w:rsidRPr="00C813B0">
        <w:rPr>
          <w:rStyle w:val="EndnoteReference"/>
          <w:rFonts w:ascii="Arial" w:hAnsi="Arial" w:cs="Arial"/>
          <w:sz w:val="18"/>
          <w:szCs w:val="18"/>
          <w:vertAlign w:val="baseline"/>
        </w:rPr>
        <w:t>Table A7.1, Tobacco smoking status, people aged 14 years or older, by sex and state/territory, 2013 (age-standardised</w:t>
      </w:r>
      <w:r w:rsidRPr="00C813B0">
        <w:rPr>
          <w:rFonts w:ascii="Arial" w:hAnsi="Arial" w:cs="Arial"/>
          <w:sz w:val="18"/>
          <w:szCs w:val="18"/>
        </w:rPr>
        <w:t xml:space="preserve">). </w:t>
      </w:r>
      <w:r w:rsidRPr="00C813B0">
        <w:rPr>
          <w:rStyle w:val="EndnoteReference"/>
          <w:rFonts w:ascii="Arial" w:hAnsi="Arial" w:cs="Arial"/>
          <w:sz w:val="18"/>
          <w:szCs w:val="18"/>
          <w:vertAlign w:val="baseline"/>
        </w:rPr>
        <w:t>Available at:</w:t>
      </w:r>
      <w:r w:rsidRPr="00C813B0">
        <w:rPr>
          <w:rFonts w:ascii="Arial" w:hAnsi="Arial" w:cs="Arial"/>
          <w:sz w:val="18"/>
          <w:szCs w:val="18"/>
        </w:rPr>
        <w:t xml:space="preserve"> </w:t>
      </w:r>
      <w:hyperlink r:id="rId14" w:tooltip="External website link: http://www.aihw.gov.au/alcohol-and-other-drugs/ndshs-2013/" w:history="1">
        <w:r w:rsidRPr="00C813B0">
          <w:rPr>
            <w:rStyle w:val="Hyperlink"/>
            <w:rFonts w:ascii="Arial" w:hAnsi="Arial" w:cs="Arial"/>
            <w:sz w:val="18"/>
            <w:szCs w:val="18"/>
          </w:rPr>
          <w:t>http://www.aihw.gov.au/alcohol-and-other-drugs/ndshs-2013</w:t>
        </w:r>
      </w:hyperlink>
      <w:r w:rsidR="0059518C" w:rsidRPr="0059518C">
        <w:rPr>
          <w:rStyle w:val="Hyperlink"/>
          <w:rFonts w:ascii="Arial" w:hAnsi="Arial" w:cs="Arial"/>
          <w:sz w:val="18"/>
          <w:szCs w:val="18"/>
          <w:u w:val="none"/>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30CBE" w14:textId="4ACF35DC" w:rsidR="00B26FA3" w:rsidRDefault="00B26FA3" w:rsidP="00B26FA3">
    <w:pPr>
      <w:pStyle w:val="Footer"/>
      <w:pBdr>
        <w:top w:val="double" w:sz="4" w:space="1" w:color="auto"/>
      </w:pBdr>
      <w:jc w:val="center"/>
    </w:pPr>
    <w:r w:rsidRPr="00B26FA3">
      <w:t xml:space="preserve">Page </w:t>
    </w:r>
    <w:r w:rsidRPr="00B26FA3">
      <w:fldChar w:fldCharType="begin"/>
    </w:r>
    <w:r w:rsidRPr="00B26FA3">
      <w:instrText xml:space="preserve"> PAGE  \* Arabic  \* MERGEFORMAT </w:instrText>
    </w:r>
    <w:r w:rsidRPr="00B26FA3">
      <w:fldChar w:fldCharType="separate"/>
    </w:r>
    <w:r w:rsidR="00DF5C4C">
      <w:rPr>
        <w:noProof/>
      </w:rPr>
      <w:t>2</w:t>
    </w:r>
    <w:r w:rsidRPr="00B26FA3">
      <w:fldChar w:fldCharType="end"/>
    </w:r>
    <w:r w:rsidRPr="00B26FA3">
      <w:t xml:space="preserve"> of </w:t>
    </w:r>
    <w:fldSimple w:instr=" NUMPAGES  \* Arabic  \* MERGEFORMAT ">
      <w:r w:rsidR="00DF5C4C">
        <w:rPr>
          <w:noProof/>
        </w:rPr>
        <w:t>9</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A9367" w14:textId="0EB6594C" w:rsidR="00DF5C4C" w:rsidRDefault="00DF5C4C" w:rsidP="00DF5C4C">
    <w:pPr>
      <w:pStyle w:val="Footer"/>
      <w:pBdr>
        <w:top w:val="double" w:sz="4" w:space="1" w:color="auto"/>
      </w:pBdr>
      <w:jc w:val="center"/>
    </w:pPr>
    <w:r w:rsidRPr="00B26FA3">
      <w:t xml:space="preserve">Page </w:t>
    </w:r>
    <w:r w:rsidRPr="00B26FA3">
      <w:fldChar w:fldCharType="begin"/>
    </w:r>
    <w:r w:rsidRPr="00B26FA3">
      <w:instrText xml:space="preserve"> PAGE  \* Arabic  \* MERGEFORMAT </w:instrText>
    </w:r>
    <w:r w:rsidRPr="00B26FA3">
      <w:fldChar w:fldCharType="separate"/>
    </w:r>
    <w:r>
      <w:rPr>
        <w:noProof/>
      </w:rPr>
      <w:t>1</w:t>
    </w:r>
    <w:r w:rsidRPr="00B26FA3">
      <w:fldChar w:fldCharType="end"/>
    </w:r>
    <w:r w:rsidRPr="00B26FA3">
      <w:t xml:space="preserve"> of </w:t>
    </w:r>
    <w:r>
      <w:fldChar w:fldCharType="begin"/>
    </w:r>
    <w:r>
      <w:instrText xml:space="preserve"> NUMPAGES  \* Arabic  \* MERGEFORMAT </w:instrText>
    </w:r>
    <w: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D9D57" w14:textId="77777777" w:rsidR="008347BD" w:rsidRDefault="008347BD" w:rsidP="00A810E6">
      <w:r>
        <w:separator/>
      </w:r>
    </w:p>
  </w:footnote>
  <w:footnote w:type="continuationSeparator" w:id="0">
    <w:p w14:paraId="1F908C89" w14:textId="77777777" w:rsidR="008347BD" w:rsidRDefault="008347BD" w:rsidP="00A81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D0F66" w14:textId="501D89DE" w:rsidR="00B26FA3" w:rsidRDefault="00B26FA3">
    <w:pPr>
      <w:pStyle w:val="Header"/>
    </w:pPr>
    <w:r>
      <w:rPr>
        <w:noProof/>
      </w:rPr>
      <w:drawing>
        <wp:inline distT="0" distB="0" distL="0" distR="0" wp14:anchorId="605A38AF" wp14:editId="003D70D0">
          <wp:extent cx="2628900" cy="631963"/>
          <wp:effectExtent l="0" t="0" r="0" b="0"/>
          <wp:docPr id="1" name="Picture 1" descr="Australian Government,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5019" cy="635838"/>
                  </a:xfrm>
                  <a:prstGeom prst="rect">
                    <a:avLst/>
                  </a:prstGeom>
                </pic:spPr>
              </pic:pic>
            </a:graphicData>
          </a:graphic>
        </wp:inline>
      </w:drawing>
    </w:r>
  </w:p>
  <w:p w14:paraId="183EED3B" w14:textId="77777777" w:rsidR="00B26FA3" w:rsidRDefault="00B26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5A5D"/>
    <w:multiLevelType w:val="hybridMultilevel"/>
    <w:tmpl w:val="F8380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A0617E"/>
    <w:multiLevelType w:val="hybridMultilevel"/>
    <w:tmpl w:val="D03AD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FF2F41"/>
    <w:multiLevelType w:val="hybridMultilevel"/>
    <w:tmpl w:val="35B49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D40ED8"/>
    <w:multiLevelType w:val="hybridMultilevel"/>
    <w:tmpl w:val="76DC45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177FC3"/>
    <w:multiLevelType w:val="hybridMultilevel"/>
    <w:tmpl w:val="50646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6B6303"/>
    <w:multiLevelType w:val="hybridMultilevel"/>
    <w:tmpl w:val="4F863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01F45"/>
    <w:multiLevelType w:val="hybridMultilevel"/>
    <w:tmpl w:val="8500BA44"/>
    <w:lvl w:ilvl="0" w:tplc="0C090001">
      <w:start w:val="1"/>
      <w:numFmt w:val="bullet"/>
      <w:lvlText w:val=""/>
      <w:lvlJc w:val="left"/>
      <w:pPr>
        <w:ind w:left="2062" w:hanging="360"/>
      </w:pPr>
      <w:rPr>
        <w:rFonts w:ascii="Symbol" w:hAnsi="Symbol" w:hint="default"/>
      </w:rPr>
    </w:lvl>
    <w:lvl w:ilvl="1" w:tplc="0C090003" w:tentative="1">
      <w:start w:val="1"/>
      <w:numFmt w:val="bullet"/>
      <w:lvlText w:val="o"/>
      <w:lvlJc w:val="left"/>
      <w:pPr>
        <w:ind w:left="2782" w:hanging="360"/>
      </w:pPr>
      <w:rPr>
        <w:rFonts w:ascii="Courier New" w:hAnsi="Courier New" w:cs="Courier New" w:hint="default"/>
      </w:rPr>
    </w:lvl>
    <w:lvl w:ilvl="2" w:tplc="0C090005" w:tentative="1">
      <w:start w:val="1"/>
      <w:numFmt w:val="bullet"/>
      <w:lvlText w:val=""/>
      <w:lvlJc w:val="left"/>
      <w:pPr>
        <w:ind w:left="3502" w:hanging="360"/>
      </w:pPr>
      <w:rPr>
        <w:rFonts w:ascii="Wingdings" w:hAnsi="Wingdings" w:hint="default"/>
      </w:rPr>
    </w:lvl>
    <w:lvl w:ilvl="3" w:tplc="0C090001" w:tentative="1">
      <w:start w:val="1"/>
      <w:numFmt w:val="bullet"/>
      <w:lvlText w:val=""/>
      <w:lvlJc w:val="left"/>
      <w:pPr>
        <w:ind w:left="4222" w:hanging="360"/>
      </w:pPr>
      <w:rPr>
        <w:rFonts w:ascii="Symbol" w:hAnsi="Symbol" w:hint="default"/>
      </w:rPr>
    </w:lvl>
    <w:lvl w:ilvl="4" w:tplc="0C090003" w:tentative="1">
      <w:start w:val="1"/>
      <w:numFmt w:val="bullet"/>
      <w:lvlText w:val="o"/>
      <w:lvlJc w:val="left"/>
      <w:pPr>
        <w:ind w:left="4942" w:hanging="360"/>
      </w:pPr>
      <w:rPr>
        <w:rFonts w:ascii="Courier New" w:hAnsi="Courier New" w:cs="Courier New" w:hint="default"/>
      </w:rPr>
    </w:lvl>
    <w:lvl w:ilvl="5" w:tplc="0C090005" w:tentative="1">
      <w:start w:val="1"/>
      <w:numFmt w:val="bullet"/>
      <w:lvlText w:val=""/>
      <w:lvlJc w:val="left"/>
      <w:pPr>
        <w:ind w:left="5662" w:hanging="360"/>
      </w:pPr>
      <w:rPr>
        <w:rFonts w:ascii="Wingdings" w:hAnsi="Wingdings" w:hint="default"/>
      </w:rPr>
    </w:lvl>
    <w:lvl w:ilvl="6" w:tplc="0C090001" w:tentative="1">
      <w:start w:val="1"/>
      <w:numFmt w:val="bullet"/>
      <w:lvlText w:val=""/>
      <w:lvlJc w:val="left"/>
      <w:pPr>
        <w:ind w:left="6382" w:hanging="360"/>
      </w:pPr>
      <w:rPr>
        <w:rFonts w:ascii="Symbol" w:hAnsi="Symbol" w:hint="default"/>
      </w:rPr>
    </w:lvl>
    <w:lvl w:ilvl="7" w:tplc="0C090003" w:tentative="1">
      <w:start w:val="1"/>
      <w:numFmt w:val="bullet"/>
      <w:lvlText w:val="o"/>
      <w:lvlJc w:val="left"/>
      <w:pPr>
        <w:ind w:left="7102" w:hanging="360"/>
      </w:pPr>
      <w:rPr>
        <w:rFonts w:ascii="Courier New" w:hAnsi="Courier New" w:cs="Courier New" w:hint="default"/>
      </w:rPr>
    </w:lvl>
    <w:lvl w:ilvl="8" w:tplc="0C090005" w:tentative="1">
      <w:start w:val="1"/>
      <w:numFmt w:val="bullet"/>
      <w:lvlText w:val=""/>
      <w:lvlJc w:val="left"/>
      <w:pPr>
        <w:ind w:left="7822" w:hanging="360"/>
      </w:pPr>
      <w:rPr>
        <w:rFonts w:ascii="Wingdings" w:hAnsi="Wingdings" w:hint="default"/>
      </w:rPr>
    </w:lvl>
  </w:abstractNum>
  <w:abstractNum w:abstractNumId="7" w15:restartNumberingAfterBreak="0">
    <w:nsid w:val="1DBD17C3"/>
    <w:multiLevelType w:val="hybridMultilevel"/>
    <w:tmpl w:val="ABE27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6667A4"/>
    <w:multiLevelType w:val="multilevel"/>
    <w:tmpl w:val="9EAE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B7036B"/>
    <w:multiLevelType w:val="hybridMultilevel"/>
    <w:tmpl w:val="B7048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49729E"/>
    <w:multiLevelType w:val="hybridMultilevel"/>
    <w:tmpl w:val="F2E2642C"/>
    <w:lvl w:ilvl="0" w:tplc="313AEF3C">
      <w:start w:val="1"/>
      <w:numFmt w:val="bullet"/>
      <w:lvlText w:val=""/>
      <w:lvlJc w:val="left"/>
      <w:pPr>
        <w:tabs>
          <w:tab w:val="num" w:pos="567"/>
        </w:tabs>
        <w:ind w:left="567" w:hanging="567"/>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9B77C8"/>
    <w:multiLevelType w:val="hybridMultilevel"/>
    <w:tmpl w:val="097C5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C66DD8"/>
    <w:multiLevelType w:val="hybridMultilevel"/>
    <w:tmpl w:val="2BC0EEA0"/>
    <w:lvl w:ilvl="0" w:tplc="F54AC004">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CF24996"/>
    <w:multiLevelType w:val="multilevel"/>
    <w:tmpl w:val="A9E8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5E0F38"/>
    <w:multiLevelType w:val="hybridMultilevel"/>
    <w:tmpl w:val="FFB08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C04A3D"/>
    <w:multiLevelType w:val="hybridMultilevel"/>
    <w:tmpl w:val="B49C5F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B05447D"/>
    <w:multiLevelType w:val="hybridMultilevel"/>
    <w:tmpl w:val="4B0C5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167438"/>
    <w:multiLevelType w:val="multilevel"/>
    <w:tmpl w:val="B024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C3585C"/>
    <w:multiLevelType w:val="multilevel"/>
    <w:tmpl w:val="3980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6D2ECA"/>
    <w:multiLevelType w:val="hybridMultilevel"/>
    <w:tmpl w:val="5E5A34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F57664"/>
    <w:multiLevelType w:val="multilevel"/>
    <w:tmpl w:val="7B226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A10567"/>
    <w:multiLevelType w:val="multilevel"/>
    <w:tmpl w:val="FF5C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C744F4"/>
    <w:multiLevelType w:val="multilevel"/>
    <w:tmpl w:val="2D6A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623325"/>
    <w:multiLevelType w:val="multilevel"/>
    <w:tmpl w:val="3A3ED17A"/>
    <w:lvl w:ilvl="0">
      <w:start w:val="1"/>
      <w:numFmt w:val="bullet"/>
      <w:lvlText w:val=""/>
      <w:lvlJc w:val="left"/>
      <w:pPr>
        <w:tabs>
          <w:tab w:val="num" w:pos="520"/>
        </w:tabs>
        <w:ind w:left="520" w:hanging="520"/>
      </w:pPr>
      <w:rPr>
        <w:rFonts w:ascii="Symbol" w:hAnsi="Symbol" w:hint="default"/>
      </w:rPr>
    </w:lvl>
    <w:lvl w:ilvl="1">
      <w:start w:val="1"/>
      <w:numFmt w:val="bullet"/>
      <w:lvlText w:val=""/>
      <w:lvlJc w:val="left"/>
      <w:pPr>
        <w:tabs>
          <w:tab w:val="num" w:pos="1040"/>
        </w:tabs>
        <w:ind w:left="1040" w:hanging="520"/>
      </w:pPr>
      <w:rPr>
        <w:rFonts w:ascii="Symbol" w:hAnsi="Symbol" w:hint="default"/>
      </w:rPr>
    </w:lvl>
    <w:lvl w:ilvl="2">
      <w:start w:val="1"/>
      <w:numFmt w:val="bullet"/>
      <w:lvlText w:val=":"/>
      <w:lvlJc w:val="left"/>
      <w:pPr>
        <w:tabs>
          <w:tab w:val="num" w:pos="1560"/>
        </w:tabs>
        <w:ind w:left="1560" w:hanging="520"/>
      </w:pPr>
      <w:rPr>
        <w:rFonts w:ascii="Times New Roman" w:hAnsi="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6D687F06"/>
    <w:multiLevelType w:val="multilevel"/>
    <w:tmpl w:val="BC92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DD59EE"/>
    <w:multiLevelType w:val="hybridMultilevel"/>
    <w:tmpl w:val="96607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E40138"/>
    <w:multiLevelType w:val="hybridMultilevel"/>
    <w:tmpl w:val="E7E4B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670668"/>
    <w:multiLevelType w:val="multilevel"/>
    <w:tmpl w:val="EAFEC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F848A0"/>
    <w:multiLevelType w:val="hybridMultilevel"/>
    <w:tmpl w:val="D1100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996095"/>
    <w:multiLevelType w:val="multilevel"/>
    <w:tmpl w:val="1AF6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941D9C"/>
    <w:multiLevelType w:val="hybridMultilevel"/>
    <w:tmpl w:val="5BC64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A1862"/>
    <w:multiLevelType w:val="hybridMultilevel"/>
    <w:tmpl w:val="5FC22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F248ED"/>
    <w:multiLevelType w:val="multilevel"/>
    <w:tmpl w:val="CD445F70"/>
    <w:name w:val="StandardBulletedList"/>
    <w:lvl w:ilvl="0">
      <w:start w:val="1"/>
      <w:numFmt w:val="bullet"/>
      <w:pStyle w:val="Bullet"/>
      <w:lvlText w:val="•"/>
      <w:lvlJc w:val="left"/>
      <w:pPr>
        <w:tabs>
          <w:tab w:val="num" w:pos="520"/>
        </w:tabs>
        <w:ind w:left="520" w:hanging="520"/>
      </w:pPr>
      <w:rPr>
        <w:rFonts w:ascii="Times New Roman" w:hAnsi="Times New Roman"/>
      </w:rPr>
    </w:lvl>
    <w:lvl w:ilvl="1">
      <w:start w:val="1"/>
      <w:numFmt w:val="bullet"/>
      <w:lvlText w:val="–"/>
      <w:lvlJc w:val="left"/>
      <w:pPr>
        <w:tabs>
          <w:tab w:val="num" w:pos="1040"/>
        </w:tabs>
        <w:ind w:left="1040" w:hanging="520"/>
      </w:pPr>
      <w:rPr>
        <w:rFonts w:ascii="Times New Roman" w:hAnsi="Times New Roman"/>
      </w:rPr>
    </w:lvl>
    <w:lvl w:ilvl="2">
      <w:start w:val="1"/>
      <w:numFmt w:val="bullet"/>
      <w:pStyle w:val="DoubleDot"/>
      <w:lvlText w:val=":"/>
      <w:lvlJc w:val="left"/>
      <w:pPr>
        <w:tabs>
          <w:tab w:val="num" w:pos="1560"/>
        </w:tabs>
        <w:ind w:left="1560" w:hanging="520"/>
      </w:pPr>
      <w:rPr>
        <w:rFonts w:ascii="Times New Roman" w:hAnsi="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22"/>
  </w:num>
  <w:num w:numId="2">
    <w:abstractNumId w:val="29"/>
  </w:num>
  <w:num w:numId="3">
    <w:abstractNumId w:val="21"/>
  </w:num>
  <w:num w:numId="4">
    <w:abstractNumId w:val="27"/>
  </w:num>
  <w:num w:numId="5">
    <w:abstractNumId w:val="20"/>
  </w:num>
  <w:num w:numId="6">
    <w:abstractNumId w:val="17"/>
  </w:num>
  <w:num w:numId="7">
    <w:abstractNumId w:val="24"/>
  </w:num>
  <w:num w:numId="8">
    <w:abstractNumId w:val="18"/>
  </w:num>
  <w:num w:numId="9">
    <w:abstractNumId w:val="8"/>
  </w:num>
  <w:num w:numId="10">
    <w:abstractNumId w:val="11"/>
  </w:num>
  <w:num w:numId="11">
    <w:abstractNumId w:val="7"/>
  </w:num>
  <w:num w:numId="12">
    <w:abstractNumId w:val="4"/>
  </w:num>
  <w:num w:numId="13">
    <w:abstractNumId w:val="32"/>
  </w:num>
  <w:num w:numId="14">
    <w:abstractNumId w:val="23"/>
  </w:num>
  <w:num w:numId="15">
    <w:abstractNumId w:val="12"/>
  </w:num>
  <w:num w:numId="16">
    <w:abstractNumId w:val="3"/>
  </w:num>
  <w:num w:numId="17">
    <w:abstractNumId w:val="19"/>
  </w:num>
  <w:num w:numId="18">
    <w:abstractNumId w:val="15"/>
  </w:num>
  <w:num w:numId="19">
    <w:abstractNumId w:val="6"/>
  </w:num>
  <w:num w:numId="20">
    <w:abstractNumId w:val="26"/>
  </w:num>
  <w:num w:numId="21">
    <w:abstractNumId w:val="13"/>
  </w:num>
  <w:num w:numId="22">
    <w:abstractNumId w:val="5"/>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0"/>
  </w:num>
  <w:num w:numId="26">
    <w:abstractNumId w:val="14"/>
  </w:num>
  <w:num w:numId="27">
    <w:abstractNumId w:val="25"/>
  </w:num>
  <w:num w:numId="28">
    <w:abstractNumId w:val="31"/>
  </w:num>
  <w:num w:numId="29">
    <w:abstractNumId w:val="9"/>
  </w:num>
  <w:num w:numId="30">
    <w:abstractNumId w:val="16"/>
  </w:num>
  <w:num w:numId="31">
    <w:abstractNumId w:val="28"/>
  </w:num>
  <w:num w:numId="32">
    <w:abstractNumId w:val="1"/>
  </w:num>
  <w:num w:numId="33">
    <w:abstractNumId w:val="30"/>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137"/>
    <w:rsid w:val="0000014A"/>
    <w:rsid w:val="00003743"/>
    <w:rsid w:val="0001029D"/>
    <w:rsid w:val="00020A6D"/>
    <w:rsid w:val="00021DB4"/>
    <w:rsid w:val="00023590"/>
    <w:rsid w:val="00027D69"/>
    <w:rsid w:val="00060D5F"/>
    <w:rsid w:val="00067456"/>
    <w:rsid w:val="000A76AF"/>
    <w:rsid w:val="000E7FD6"/>
    <w:rsid w:val="00106AB7"/>
    <w:rsid w:val="00124D4E"/>
    <w:rsid w:val="00147D6F"/>
    <w:rsid w:val="00177A37"/>
    <w:rsid w:val="001A139F"/>
    <w:rsid w:val="001B3443"/>
    <w:rsid w:val="001B6E48"/>
    <w:rsid w:val="001D0C31"/>
    <w:rsid w:val="001D64A9"/>
    <w:rsid w:val="001E6888"/>
    <w:rsid w:val="001E7580"/>
    <w:rsid w:val="001F3D87"/>
    <w:rsid w:val="001F5886"/>
    <w:rsid w:val="00200C2B"/>
    <w:rsid w:val="0022107B"/>
    <w:rsid w:val="0024733A"/>
    <w:rsid w:val="00267575"/>
    <w:rsid w:val="002702E6"/>
    <w:rsid w:val="002858B3"/>
    <w:rsid w:val="0029584A"/>
    <w:rsid w:val="002A66F9"/>
    <w:rsid w:val="002C6D68"/>
    <w:rsid w:val="002F3AE3"/>
    <w:rsid w:val="002F51E1"/>
    <w:rsid w:val="0030786C"/>
    <w:rsid w:val="0035020E"/>
    <w:rsid w:val="003514A7"/>
    <w:rsid w:val="00364100"/>
    <w:rsid w:val="00366E1C"/>
    <w:rsid w:val="00373A1A"/>
    <w:rsid w:val="00393A75"/>
    <w:rsid w:val="00393D8C"/>
    <w:rsid w:val="00394C51"/>
    <w:rsid w:val="003B10A4"/>
    <w:rsid w:val="003B4506"/>
    <w:rsid w:val="003C181E"/>
    <w:rsid w:val="003D17F9"/>
    <w:rsid w:val="003D70F0"/>
    <w:rsid w:val="003D7750"/>
    <w:rsid w:val="003F2FF2"/>
    <w:rsid w:val="00410638"/>
    <w:rsid w:val="0043546F"/>
    <w:rsid w:val="00462550"/>
    <w:rsid w:val="00473F18"/>
    <w:rsid w:val="004867E2"/>
    <w:rsid w:val="004A286F"/>
    <w:rsid w:val="004B7EE6"/>
    <w:rsid w:val="004C103E"/>
    <w:rsid w:val="004D2776"/>
    <w:rsid w:val="004F2F1B"/>
    <w:rsid w:val="004F3FF1"/>
    <w:rsid w:val="0050589F"/>
    <w:rsid w:val="00517820"/>
    <w:rsid w:val="005364FD"/>
    <w:rsid w:val="00556751"/>
    <w:rsid w:val="00584995"/>
    <w:rsid w:val="00590929"/>
    <w:rsid w:val="0059518C"/>
    <w:rsid w:val="005C2C53"/>
    <w:rsid w:val="005C58A2"/>
    <w:rsid w:val="005D6D6B"/>
    <w:rsid w:val="005F4787"/>
    <w:rsid w:val="005F5C10"/>
    <w:rsid w:val="006222FB"/>
    <w:rsid w:val="006321A2"/>
    <w:rsid w:val="0064622F"/>
    <w:rsid w:val="00663653"/>
    <w:rsid w:val="00677E39"/>
    <w:rsid w:val="00694397"/>
    <w:rsid w:val="006C51BE"/>
    <w:rsid w:val="006D3732"/>
    <w:rsid w:val="006E337D"/>
    <w:rsid w:val="006E3A31"/>
    <w:rsid w:val="006E70D4"/>
    <w:rsid w:val="006F20DF"/>
    <w:rsid w:val="00721009"/>
    <w:rsid w:val="00724EA4"/>
    <w:rsid w:val="007276FA"/>
    <w:rsid w:val="007578B4"/>
    <w:rsid w:val="007611E5"/>
    <w:rsid w:val="00796D8A"/>
    <w:rsid w:val="007A41FB"/>
    <w:rsid w:val="007B38DF"/>
    <w:rsid w:val="0082549A"/>
    <w:rsid w:val="008264EB"/>
    <w:rsid w:val="008313D2"/>
    <w:rsid w:val="00832BB3"/>
    <w:rsid w:val="008341A7"/>
    <w:rsid w:val="008347BD"/>
    <w:rsid w:val="008557FE"/>
    <w:rsid w:val="00870DEC"/>
    <w:rsid w:val="008863A1"/>
    <w:rsid w:val="00893138"/>
    <w:rsid w:val="008B132F"/>
    <w:rsid w:val="008B7C36"/>
    <w:rsid w:val="008C36F9"/>
    <w:rsid w:val="008C78F8"/>
    <w:rsid w:val="008E05E0"/>
    <w:rsid w:val="008E482A"/>
    <w:rsid w:val="008F26CC"/>
    <w:rsid w:val="008F30A6"/>
    <w:rsid w:val="008F5FD2"/>
    <w:rsid w:val="008F6ACE"/>
    <w:rsid w:val="00902A65"/>
    <w:rsid w:val="009260B7"/>
    <w:rsid w:val="00927137"/>
    <w:rsid w:val="009279F5"/>
    <w:rsid w:val="00936E7D"/>
    <w:rsid w:val="009414C2"/>
    <w:rsid w:val="0094594D"/>
    <w:rsid w:val="00950FC5"/>
    <w:rsid w:val="00964C67"/>
    <w:rsid w:val="0098070E"/>
    <w:rsid w:val="00990D58"/>
    <w:rsid w:val="009A76AC"/>
    <w:rsid w:val="009F163A"/>
    <w:rsid w:val="009F1CC3"/>
    <w:rsid w:val="00A0680B"/>
    <w:rsid w:val="00A23ED3"/>
    <w:rsid w:val="00A4512D"/>
    <w:rsid w:val="00A51FBE"/>
    <w:rsid w:val="00A705AF"/>
    <w:rsid w:val="00A769A1"/>
    <w:rsid w:val="00A810E6"/>
    <w:rsid w:val="00A84AC0"/>
    <w:rsid w:val="00AB3FAA"/>
    <w:rsid w:val="00AC32E2"/>
    <w:rsid w:val="00AC6A89"/>
    <w:rsid w:val="00AD74F7"/>
    <w:rsid w:val="00AE6038"/>
    <w:rsid w:val="00B10BA2"/>
    <w:rsid w:val="00B26FA3"/>
    <w:rsid w:val="00B30345"/>
    <w:rsid w:val="00B42851"/>
    <w:rsid w:val="00B53798"/>
    <w:rsid w:val="00B720E9"/>
    <w:rsid w:val="00B74713"/>
    <w:rsid w:val="00B80450"/>
    <w:rsid w:val="00B83FFD"/>
    <w:rsid w:val="00B871B4"/>
    <w:rsid w:val="00BA292B"/>
    <w:rsid w:val="00BD1F39"/>
    <w:rsid w:val="00BD3897"/>
    <w:rsid w:val="00C03E70"/>
    <w:rsid w:val="00C157D5"/>
    <w:rsid w:val="00C22138"/>
    <w:rsid w:val="00C327C5"/>
    <w:rsid w:val="00C77070"/>
    <w:rsid w:val="00C813B0"/>
    <w:rsid w:val="00C82E62"/>
    <w:rsid w:val="00CA27BC"/>
    <w:rsid w:val="00CB5B1A"/>
    <w:rsid w:val="00CC1239"/>
    <w:rsid w:val="00CC6ACE"/>
    <w:rsid w:val="00CD0CF9"/>
    <w:rsid w:val="00CD3C8E"/>
    <w:rsid w:val="00CF4978"/>
    <w:rsid w:val="00D04AB3"/>
    <w:rsid w:val="00D06947"/>
    <w:rsid w:val="00D11213"/>
    <w:rsid w:val="00D23799"/>
    <w:rsid w:val="00D32D13"/>
    <w:rsid w:val="00D36748"/>
    <w:rsid w:val="00D42CD4"/>
    <w:rsid w:val="00D44427"/>
    <w:rsid w:val="00D71CCD"/>
    <w:rsid w:val="00D813AE"/>
    <w:rsid w:val="00D85E13"/>
    <w:rsid w:val="00D917F2"/>
    <w:rsid w:val="00DA1173"/>
    <w:rsid w:val="00DB15CA"/>
    <w:rsid w:val="00DB6D5B"/>
    <w:rsid w:val="00DC0706"/>
    <w:rsid w:val="00DC17F7"/>
    <w:rsid w:val="00DD0EC2"/>
    <w:rsid w:val="00DE4AD6"/>
    <w:rsid w:val="00DF301B"/>
    <w:rsid w:val="00DF5C4C"/>
    <w:rsid w:val="00E07A47"/>
    <w:rsid w:val="00E209A0"/>
    <w:rsid w:val="00E3384E"/>
    <w:rsid w:val="00E70DF4"/>
    <w:rsid w:val="00E87FE6"/>
    <w:rsid w:val="00E95135"/>
    <w:rsid w:val="00EA13FD"/>
    <w:rsid w:val="00EB12C0"/>
    <w:rsid w:val="00EC1C18"/>
    <w:rsid w:val="00EE1465"/>
    <w:rsid w:val="00F31FA3"/>
    <w:rsid w:val="00F36927"/>
    <w:rsid w:val="00F369CD"/>
    <w:rsid w:val="00F4249A"/>
    <w:rsid w:val="00F53D81"/>
    <w:rsid w:val="00F54DE3"/>
    <w:rsid w:val="00FA6B70"/>
    <w:rsid w:val="00FA6BCE"/>
    <w:rsid w:val="00FD7A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EE8DB"/>
  <w15:docId w15:val="{466764E6-0105-4AFB-B67A-913774ED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CCD"/>
    <w:pPr>
      <w:spacing w:after="240"/>
    </w:pPr>
    <w:rPr>
      <w:rFonts w:asciiTheme="minorHAnsi" w:hAnsiTheme="minorHAnsi"/>
      <w:sz w:val="22"/>
      <w:szCs w:val="24"/>
    </w:rPr>
  </w:style>
  <w:style w:type="paragraph" w:styleId="Heading1">
    <w:name w:val="heading 1"/>
    <w:basedOn w:val="Normal"/>
    <w:next w:val="Normal"/>
    <w:link w:val="Heading1Char"/>
    <w:qFormat/>
    <w:rsid w:val="00893138"/>
    <w:pPr>
      <w:keepNext/>
      <w:outlineLvl w:val="0"/>
    </w:pPr>
    <w:rPr>
      <w:rFonts w:ascii="Arial" w:hAnsi="Arial" w:cs="Arial"/>
      <w:b/>
      <w:bCs/>
      <w:kern w:val="28"/>
      <w:sz w:val="52"/>
      <w:szCs w:val="32"/>
    </w:rPr>
  </w:style>
  <w:style w:type="paragraph" w:styleId="Heading2">
    <w:name w:val="heading 2"/>
    <w:basedOn w:val="Normal"/>
    <w:next w:val="Normal"/>
    <w:link w:val="Heading2Char"/>
    <w:qFormat/>
    <w:rsid w:val="007611E5"/>
    <w:pPr>
      <w:keepNext/>
      <w:spacing w:before="360"/>
      <w:outlineLvl w:val="1"/>
    </w:pPr>
    <w:rPr>
      <w:rFonts w:ascii="Arial" w:hAnsi="Arial" w:cs="Arial"/>
      <w:b/>
      <w:bCs/>
      <w:iCs/>
      <w:sz w:val="36"/>
      <w:szCs w:val="28"/>
    </w:rPr>
  </w:style>
  <w:style w:type="paragraph" w:styleId="Heading3">
    <w:name w:val="heading 3"/>
    <w:basedOn w:val="Normal"/>
    <w:next w:val="Normal"/>
    <w:link w:val="Heading3Char"/>
    <w:qFormat/>
    <w:rsid w:val="007611E5"/>
    <w:pPr>
      <w:keepNext/>
      <w:spacing w:before="360"/>
      <w:outlineLvl w:val="2"/>
    </w:pPr>
    <w:rPr>
      <w:rFonts w:ascii="Arial" w:hAnsi="Arial" w:cs="Arial"/>
      <w:b/>
      <w:bCs/>
      <w:sz w:val="28"/>
      <w:szCs w:val="26"/>
    </w:rPr>
  </w:style>
  <w:style w:type="paragraph" w:styleId="Heading4">
    <w:name w:val="heading 4"/>
    <w:basedOn w:val="Normal"/>
    <w:next w:val="Normal"/>
    <w:link w:val="Heading4Char"/>
    <w:qFormat/>
    <w:rsid w:val="001E7580"/>
    <w:pPr>
      <w:keepNext/>
      <w:spacing w:before="240" w:after="60"/>
      <w:outlineLvl w:val="3"/>
    </w:pPr>
    <w:rPr>
      <w:rFonts w:ascii="Arial" w:hAnsi="Arial"/>
      <w:b/>
      <w:bCs/>
      <w:sz w:val="24"/>
      <w:szCs w:val="28"/>
    </w:rPr>
  </w:style>
  <w:style w:type="paragraph" w:styleId="Heading5">
    <w:name w:val="heading 5"/>
    <w:basedOn w:val="Normal"/>
    <w:next w:val="Normal"/>
    <w:link w:val="Heading5Char"/>
    <w:qFormat/>
    <w:rsid w:val="00893138"/>
    <w:pPr>
      <w:keepNext/>
      <w:spacing w:before="240" w:after="60"/>
      <w:outlineLvl w:val="4"/>
    </w:pPr>
    <w:rPr>
      <w:b/>
      <w:bCs/>
      <w:iCs/>
      <w:szCs w:val="26"/>
    </w:rPr>
  </w:style>
  <w:style w:type="paragraph" w:styleId="Heading6">
    <w:name w:val="heading 6"/>
    <w:basedOn w:val="Normal"/>
    <w:next w:val="Normal"/>
    <w:link w:val="Heading6Char"/>
    <w:qFormat/>
    <w:rsid w:val="00893138"/>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893138"/>
    <w:rPr>
      <w:i/>
      <w:iCs/>
    </w:rPr>
  </w:style>
  <w:style w:type="character" w:styleId="Strong">
    <w:name w:val="Strong"/>
    <w:basedOn w:val="DefaultParagraphFont"/>
    <w:qFormat/>
    <w:rsid w:val="00893138"/>
    <w:rPr>
      <w:b/>
      <w:bCs/>
    </w:rPr>
  </w:style>
  <w:style w:type="paragraph" w:styleId="Subtitle">
    <w:name w:val="Subtitle"/>
    <w:basedOn w:val="Normal"/>
    <w:next w:val="Normal"/>
    <w:link w:val="SubtitleChar"/>
    <w:qFormat/>
    <w:rsid w:val="00893138"/>
    <w:pPr>
      <w:numPr>
        <w:ilvl w:val="1"/>
      </w:numPr>
    </w:pPr>
    <w:rPr>
      <w:rFonts w:asciiTheme="majorHAnsi" w:eastAsiaTheme="majorEastAsia" w:hAnsiTheme="majorHAnsi" w:cstheme="majorBidi"/>
      <w:iCs/>
      <w:spacing w:val="15"/>
      <w:sz w:val="24"/>
    </w:rPr>
  </w:style>
  <w:style w:type="character" w:customStyle="1" w:styleId="SubtitleChar">
    <w:name w:val="Subtitle Char"/>
    <w:basedOn w:val="DefaultParagraphFont"/>
    <w:link w:val="Subtitle"/>
    <w:rsid w:val="00893138"/>
    <w:rPr>
      <w:rFonts w:asciiTheme="majorHAnsi" w:eastAsiaTheme="majorEastAsia" w:hAnsiTheme="majorHAnsi" w:cstheme="majorBidi"/>
      <w:iCs/>
      <w:spacing w:val="15"/>
      <w:sz w:val="24"/>
      <w:szCs w:val="24"/>
    </w:rPr>
  </w:style>
  <w:style w:type="paragraph" w:styleId="Title">
    <w:name w:val="Title"/>
    <w:basedOn w:val="Normal"/>
    <w:next w:val="Normal"/>
    <w:link w:val="TitleChar"/>
    <w:qFormat/>
    <w:rsid w:val="00893138"/>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893138"/>
    <w:rPr>
      <w:rFonts w:ascii="Arial" w:eastAsiaTheme="majorEastAsia" w:hAnsi="Arial" w:cstheme="majorBidi"/>
      <w:b/>
      <w:kern w:val="28"/>
      <w:sz w:val="32"/>
      <w:szCs w:val="52"/>
    </w:rPr>
  </w:style>
  <w:style w:type="paragraph" w:styleId="NoSpacing">
    <w:name w:val="No Spacing"/>
    <w:uiPriority w:val="1"/>
    <w:qFormat/>
    <w:rsid w:val="00893138"/>
    <w:rPr>
      <w:sz w:val="24"/>
      <w:szCs w:val="24"/>
    </w:rPr>
  </w:style>
  <w:style w:type="character" w:styleId="SubtleEmphasis">
    <w:name w:val="Subtle Emphasis"/>
    <w:basedOn w:val="DefaultParagraphFont"/>
    <w:uiPriority w:val="19"/>
    <w:qFormat/>
    <w:rsid w:val="00893138"/>
    <w:rPr>
      <w:i/>
      <w:iCs/>
      <w:color w:val="808080" w:themeColor="text1" w:themeTint="7F"/>
    </w:rPr>
  </w:style>
  <w:style w:type="character" w:styleId="IntenseEmphasis">
    <w:name w:val="Intense Emphasis"/>
    <w:basedOn w:val="DefaultParagraphFont"/>
    <w:uiPriority w:val="21"/>
    <w:qFormat/>
    <w:rsid w:val="00893138"/>
    <w:rPr>
      <w:b/>
      <w:bCs/>
      <w:i/>
      <w:iCs/>
      <w:color w:val="4F81BD" w:themeColor="accent1"/>
    </w:rPr>
  </w:style>
  <w:style w:type="paragraph" w:styleId="Quote">
    <w:name w:val="Quote"/>
    <w:basedOn w:val="Normal"/>
    <w:next w:val="Normal"/>
    <w:link w:val="QuoteChar"/>
    <w:uiPriority w:val="29"/>
    <w:qFormat/>
    <w:rsid w:val="00893138"/>
    <w:rPr>
      <w:rFonts w:ascii="Times New Roman" w:hAnsi="Times New Roman"/>
      <w:i/>
      <w:iCs/>
      <w:color w:val="000000" w:themeColor="text1"/>
      <w:sz w:val="24"/>
    </w:rPr>
  </w:style>
  <w:style w:type="character" w:customStyle="1" w:styleId="QuoteChar">
    <w:name w:val="Quote Char"/>
    <w:basedOn w:val="DefaultParagraphFont"/>
    <w:link w:val="Quote"/>
    <w:uiPriority w:val="29"/>
    <w:rsid w:val="00893138"/>
    <w:rPr>
      <w:i/>
      <w:iCs/>
      <w:color w:val="000000" w:themeColor="text1"/>
      <w:sz w:val="24"/>
      <w:szCs w:val="24"/>
    </w:rPr>
  </w:style>
  <w:style w:type="paragraph" w:styleId="IntenseQuote">
    <w:name w:val="Intense Quote"/>
    <w:basedOn w:val="Normal"/>
    <w:next w:val="Normal"/>
    <w:link w:val="IntenseQuoteChar"/>
    <w:uiPriority w:val="30"/>
    <w:qFormat/>
    <w:rsid w:val="00893138"/>
    <w:pPr>
      <w:pBdr>
        <w:bottom w:val="single" w:sz="4" w:space="4" w:color="4F81BD" w:themeColor="accent1"/>
      </w:pBdr>
      <w:spacing w:before="200" w:after="280"/>
      <w:ind w:left="936" w:right="936"/>
    </w:pPr>
    <w:rPr>
      <w:rFonts w:ascii="Times New Roman" w:hAnsi="Times New Roman"/>
      <w:b/>
      <w:bCs/>
      <w:i/>
      <w:iCs/>
      <w:color w:val="4F81BD" w:themeColor="accent1"/>
      <w:sz w:val="24"/>
    </w:rPr>
  </w:style>
  <w:style w:type="character" w:customStyle="1" w:styleId="IntenseQuoteChar">
    <w:name w:val="Intense Quote Char"/>
    <w:basedOn w:val="DefaultParagraphFont"/>
    <w:link w:val="IntenseQuote"/>
    <w:uiPriority w:val="30"/>
    <w:rsid w:val="00893138"/>
    <w:rPr>
      <w:b/>
      <w:bCs/>
      <w:i/>
      <w:iCs/>
      <w:color w:val="4F81BD" w:themeColor="accent1"/>
      <w:sz w:val="24"/>
      <w:szCs w:val="24"/>
    </w:rPr>
  </w:style>
  <w:style w:type="character" w:styleId="SubtleReference">
    <w:name w:val="Subtle Reference"/>
    <w:basedOn w:val="DefaultParagraphFont"/>
    <w:uiPriority w:val="31"/>
    <w:qFormat/>
    <w:rsid w:val="00893138"/>
    <w:rPr>
      <w:smallCaps/>
      <w:color w:val="C0504D" w:themeColor="accent2"/>
      <w:u w:val="single"/>
    </w:rPr>
  </w:style>
  <w:style w:type="character" w:styleId="IntenseReference">
    <w:name w:val="Intense Reference"/>
    <w:basedOn w:val="DefaultParagraphFont"/>
    <w:uiPriority w:val="32"/>
    <w:qFormat/>
    <w:rsid w:val="00893138"/>
    <w:rPr>
      <w:b/>
      <w:bCs/>
      <w:i/>
      <w:smallCaps/>
      <w:color w:val="C0504D" w:themeColor="accent2"/>
      <w:spacing w:val="5"/>
      <w:u w:val="none"/>
    </w:rPr>
  </w:style>
  <w:style w:type="character" w:styleId="BookTitle">
    <w:name w:val="Book Title"/>
    <w:basedOn w:val="DefaultParagraphFont"/>
    <w:uiPriority w:val="33"/>
    <w:qFormat/>
    <w:rsid w:val="00893138"/>
    <w:rPr>
      <w:b/>
      <w:bCs/>
      <w:smallCaps/>
      <w:spacing w:val="5"/>
    </w:rPr>
  </w:style>
  <w:style w:type="paragraph" w:styleId="ListParagraph">
    <w:name w:val="List Paragraph"/>
    <w:aliases w:val="List Paragraph1,List Paragraph11,Recommendation,Bullet 1,CV text,Dot pt,F5 List Paragraph,Indicator Text,L,List Paragraph Char Char Char,List Paragraph111,List Paragraph2,MAIN CONTENT,Normal numbered,Numbered Para 1,Table text,FooterText"/>
    <w:basedOn w:val="Normal"/>
    <w:link w:val="ListParagraphChar"/>
    <w:uiPriority w:val="34"/>
    <w:qFormat/>
    <w:rsid w:val="00893138"/>
    <w:pPr>
      <w:ind w:left="720"/>
      <w:contextualSpacing/>
    </w:pPr>
  </w:style>
  <w:style w:type="paragraph" w:styleId="BalloonText">
    <w:name w:val="Balloon Text"/>
    <w:basedOn w:val="Normal"/>
    <w:link w:val="BalloonTextChar"/>
    <w:rsid w:val="00927137"/>
    <w:rPr>
      <w:rFonts w:ascii="Tahoma" w:hAnsi="Tahoma" w:cs="Tahoma"/>
      <w:sz w:val="16"/>
      <w:szCs w:val="16"/>
    </w:rPr>
  </w:style>
  <w:style w:type="character" w:customStyle="1" w:styleId="BalloonTextChar">
    <w:name w:val="Balloon Text Char"/>
    <w:basedOn w:val="DefaultParagraphFont"/>
    <w:link w:val="BalloonText"/>
    <w:rsid w:val="00927137"/>
    <w:rPr>
      <w:rFonts w:ascii="Tahoma" w:hAnsi="Tahoma" w:cs="Tahoma"/>
      <w:sz w:val="16"/>
      <w:szCs w:val="16"/>
      <w:lang w:eastAsia="en-US"/>
    </w:rPr>
  </w:style>
  <w:style w:type="paragraph" w:styleId="FootnoteText">
    <w:name w:val="footnote text"/>
    <w:aliases w:val="(NECG) Footnote Text,Normal + Times: 9 Point,Footnote,Fußnote,Footnote Text Char Char Char Char,Footnote Text Char Char,Footnote Text Char Char Char Char Char,Footnote Text Char Char Char Char Char Char Char Char,ADB,Car,FOOTNOTES,Fu§note"/>
    <w:basedOn w:val="Normal"/>
    <w:link w:val="FootnoteTextChar"/>
    <w:rsid w:val="00A810E6"/>
    <w:rPr>
      <w:szCs w:val="20"/>
      <w:lang w:val="en-US"/>
    </w:rPr>
  </w:style>
  <w:style w:type="character" w:customStyle="1" w:styleId="FootnoteTextChar">
    <w:name w:val="Footnote Text Char"/>
    <w:aliases w:val="(NECG) Footnote Text Char,Normal + Times: 9 Point Char,Footnote Char,Fußnote Char,Footnote Text Char Char Char Char Char1,Footnote Text Char Char Char,Footnote Text Char Char Char Char Char Char,ADB Char,Car Char,FOOTNOTES Char"/>
    <w:basedOn w:val="DefaultParagraphFont"/>
    <w:link w:val="FootnoteText"/>
    <w:rsid w:val="00A810E6"/>
    <w:rPr>
      <w:lang w:val="en-US" w:eastAsia="en-US"/>
    </w:rPr>
  </w:style>
  <w:style w:type="character" w:customStyle="1" w:styleId="ListParagraphChar">
    <w:name w:val="List Paragraph Char"/>
    <w:aliases w:val="List Paragraph1 Char,List Paragraph11 Char,Recommendation Char,Bullet 1 Char,CV text Char,Dot pt Char,F5 List Paragraph Char,Indicator Text Char,L Char,List Paragraph Char Char Char Char,List Paragraph111 Char,List Paragraph2 Char"/>
    <w:basedOn w:val="DefaultParagraphFont"/>
    <w:link w:val="ListParagraph"/>
    <w:uiPriority w:val="34"/>
    <w:qFormat/>
    <w:locked/>
    <w:rsid w:val="00A810E6"/>
    <w:rPr>
      <w:rFonts w:asciiTheme="minorHAnsi" w:hAnsiTheme="minorHAnsi"/>
      <w:sz w:val="22"/>
      <w:szCs w:val="24"/>
    </w:rPr>
  </w:style>
  <w:style w:type="character" w:styleId="Hyperlink">
    <w:name w:val="Hyperlink"/>
    <w:rsid w:val="00A810E6"/>
    <w:rPr>
      <w:color w:val="0000FF"/>
      <w:u w:val="single"/>
    </w:rPr>
  </w:style>
  <w:style w:type="paragraph" w:styleId="EndnoteText">
    <w:name w:val="endnote text"/>
    <w:basedOn w:val="Normal"/>
    <w:link w:val="EndnoteTextChar"/>
    <w:rsid w:val="00A810E6"/>
    <w:rPr>
      <w:szCs w:val="20"/>
    </w:rPr>
  </w:style>
  <w:style w:type="character" w:customStyle="1" w:styleId="EndnoteTextChar">
    <w:name w:val="Endnote Text Char"/>
    <w:basedOn w:val="DefaultParagraphFont"/>
    <w:link w:val="EndnoteText"/>
    <w:rsid w:val="00A810E6"/>
    <w:rPr>
      <w:lang w:eastAsia="en-US"/>
    </w:rPr>
  </w:style>
  <w:style w:type="character" w:styleId="EndnoteReference">
    <w:name w:val="endnote reference"/>
    <w:basedOn w:val="DefaultParagraphFont"/>
    <w:rsid w:val="00A810E6"/>
    <w:rPr>
      <w:vertAlign w:val="superscript"/>
    </w:rPr>
  </w:style>
  <w:style w:type="character" w:styleId="CommentReference">
    <w:name w:val="annotation reference"/>
    <w:basedOn w:val="DefaultParagraphFont"/>
    <w:rsid w:val="00C77070"/>
    <w:rPr>
      <w:sz w:val="16"/>
      <w:szCs w:val="16"/>
    </w:rPr>
  </w:style>
  <w:style w:type="paragraph" w:styleId="CommentText">
    <w:name w:val="annotation text"/>
    <w:basedOn w:val="Normal"/>
    <w:link w:val="CommentTextChar"/>
    <w:rsid w:val="00C77070"/>
    <w:rPr>
      <w:szCs w:val="20"/>
    </w:rPr>
  </w:style>
  <w:style w:type="character" w:customStyle="1" w:styleId="CommentTextChar">
    <w:name w:val="Comment Text Char"/>
    <w:basedOn w:val="DefaultParagraphFont"/>
    <w:link w:val="CommentText"/>
    <w:rsid w:val="00C77070"/>
    <w:rPr>
      <w:lang w:eastAsia="en-US"/>
    </w:rPr>
  </w:style>
  <w:style w:type="paragraph" w:styleId="CommentSubject">
    <w:name w:val="annotation subject"/>
    <w:basedOn w:val="CommentText"/>
    <w:next w:val="CommentText"/>
    <w:link w:val="CommentSubjectChar"/>
    <w:rsid w:val="00C77070"/>
    <w:rPr>
      <w:b/>
      <w:bCs/>
    </w:rPr>
  </w:style>
  <w:style w:type="character" w:customStyle="1" w:styleId="CommentSubjectChar">
    <w:name w:val="Comment Subject Char"/>
    <w:basedOn w:val="CommentTextChar"/>
    <w:link w:val="CommentSubject"/>
    <w:rsid w:val="00C77070"/>
    <w:rPr>
      <w:b/>
      <w:bCs/>
      <w:lang w:eastAsia="en-US"/>
    </w:rPr>
  </w:style>
  <w:style w:type="paragraph" w:customStyle="1" w:styleId="Bullet">
    <w:name w:val="Bullet"/>
    <w:basedOn w:val="Normal"/>
    <w:link w:val="BulletChar"/>
    <w:rsid w:val="00677E39"/>
    <w:pPr>
      <w:numPr>
        <w:numId w:val="13"/>
      </w:numPr>
      <w:spacing w:after="200" w:line="276" w:lineRule="auto"/>
    </w:pPr>
    <w:rPr>
      <w:szCs w:val="22"/>
    </w:rPr>
  </w:style>
  <w:style w:type="character" w:customStyle="1" w:styleId="BulletChar">
    <w:name w:val="Bullet Char"/>
    <w:basedOn w:val="DefaultParagraphFont"/>
    <w:link w:val="Bullet"/>
    <w:locked/>
    <w:rsid w:val="00677E39"/>
    <w:rPr>
      <w:rFonts w:asciiTheme="minorHAnsi" w:hAnsiTheme="minorHAnsi"/>
      <w:sz w:val="22"/>
      <w:szCs w:val="22"/>
      <w:lang w:eastAsia="en-US"/>
    </w:rPr>
  </w:style>
  <w:style w:type="paragraph" w:customStyle="1" w:styleId="DoubleDot">
    <w:name w:val="Double Dot"/>
    <w:basedOn w:val="Normal"/>
    <w:rsid w:val="00677E39"/>
    <w:pPr>
      <w:numPr>
        <w:ilvl w:val="2"/>
        <w:numId w:val="13"/>
      </w:numPr>
      <w:spacing w:after="200" w:line="276" w:lineRule="auto"/>
    </w:pPr>
    <w:rPr>
      <w:szCs w:val="22"/>
    </w:rPr>
  </w:style>
  <w:style w:type="table" w:styleId="TableGrid">
    <w:name w:val="Table Grid"/>
    <w:basedOn w:val="TableNormal"/>
    <w:uiPriority w:val="59"/>
    <w:rsid w:val="00A51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611E5"/>
    <w:rPr>
      <w:rFonts w:ascii="Arial" w:hAnsi="Arial" w:cs="Arial"/>
      <w:b/>
      <w:bCs/>
      <w:sz w:val="28"/>
      <w:szCs w:val="26"/>
    </w:rPr>
  </w:style>
  <w:style w:type="paragraph" w:styleId="Revision">
    <w:name w:val="Revision"/>
    <w:hidden/>
    <w:uiPriority w:val="99"/>
    <w:semiHidden/>
    <w:rsid w:val="002702E6"/>
    <w:rPr>
      <w:sz w:val="24"/>
      <w:szCs w:val="24"/>
      <w:lang w:eastAsia="en-US"/>
    </w:rPr>
  </w:style>
  <w:style w:type="character" w:styleId="FollowedHyperlink">
    <w:name w:val="FollowedHyperlink"/>
    <w:basedOn w:val="DefaultParagraphFont"/>
    <w:rsid w:val="00C813B0"/>
    <w:rPr>
      <w:color w:val="800080" w:themeColor="followedHyperlink"/>
      <w:u w:val="single"/>
    </w:rPr>
  </w:style>
  <w:style w:type="paragraph" w:styleId="Caption">
    <w:name w:val="caption"/>
    <w:basedOn w:val="Normal"/>
    <w:next w:val="Normal"/>
    <w:semiHidden/>
    <w:unhideWhenUsed/>
    <w:qFormat/>
    <w:rsid w:val="00C03E70"/>
    <w:pPr>
      <w:spacing w:after="200"/>
    </w:pPr>
    <w:rPr>
      <w:i/>
      <w:iCs/>
      <w:color w:val="1F497D" w:themeColor="text2"/>
      <w:sz w:val="18"/>
      <w:szCs w:val="18"/>
    </w:rPr>
  </w:style>
  <w:style w:type="paragraph" w:customStyle="1" w:styleId="Introparagraph">
    <w:name w:val="Intro paragraph"/>
    <w:basedOn w:val="Normal"/>
    <w:link w:val="IntroparagraphChar"/>
    <w:qFormat/>
    <w:rsid w:val="00893138"/>
    <w:rPr>
      <w:sz w:val="26"/>
    </w:rPr>
  </w:style>
  <w:style w:type="character" w:customStyle="1" w:styleId="IntroparagraphChar">
    <w:name w:val="Intro paragraph Char"/>
    <w:basedOn w:val="DefaultParagraphFont"/>
    <w:link w:val="Introparagraph"/>
    <w:rsid w:val="00893138"/>
    <w:rPr>
      <w:rFonts w:asciiTheme="minorHAnsi" w:hAnsiTheme="minorHAnsi"/>
      <w:sz w:val="26"/>
      <w:szCs w:val="24"/>
    </w:rPr>
  </w:style>
  <w:style w:type="paragraph" w:customStyle="1" w:styleId="Onthispagemenu">
    <w:name w:val="On this page menu"/>
    <w:basedOn w:val="Normal"/>
    <w:qFormat/>
    <w:rsid w:val="00893138"/>
    <w:pPr>
      <w:pBdr>
        <w:left w:val="single" w:sz="24" w:space="4" w:color="365F91" w:themeColor="accent1" w:themeShade="BF"/>
      </w:pBdr>
      <w:ind w:left="284"/>
    </w:pPr>
    <w:rPr>
      <w:b/>
      <w:sz w:val="24"/>
    </w:rPr>
  </w:style>
  <w:style w:type="character" w:customStyle="1" w:styleId="Heading1Char">
    <w:name w:val="Heading 1 Char"/>
    <w:basedOn w:val="DefaultParagraphFont"/>
    <w:link w:val="Heading1"/>
    <w:rsid w:val="00893138"/>
    <w:rPr>
      <w:rFonts w:ascii="Arial" w:hAnsi="Arial" w:cs="Arial"/>
      <w:b/>
      <w:bCs/>
      <w:kern w:val="28"/>
      <w:sz w:val="52"/>
      <w:szCs w:val="32"/>
    </w:rPr>
  </w:style>
  <w:style w:type="character" w:customStyle="1" w:styleId="Heading2Char">
    <w:name w:val="Heading 2 Char"/>
    <w:basedOn w:val="DefaultParagraphFont"/>
    <w:link w:val="Heading2"/>
    <w:rsid w:val="007611E5"/>
    <w:rPr>
      <w:rFonts w:ascii="Arial" w:hAnsi="Arial" w:cs="Arial"/>
      <w:b/>
      <w:bCs/>
      <w:iCs/>
      <w:sz w:val="36"/>
      <w:szCs w:val="28"/>
    </w:rPr>
  </w:style>
  <w:style w:type="character" w:customStyle="1" w:styleId="Heading4Char">
    <w:name w:val="Heading 4 Char"/>
    <w:basedOn w:val="DefaultParagraphFont"/>
    <w:link w:val="Heading4"/>
    <w:rsid w:val="001E7580"/>
    <w:rPr>
      <w:rFonts w:ascii="Arial" w:hAnsi="Arial"/>
      <w:b/>
      <w:bCs/>
      <w:sz w:val="24"/>
      <w:szCs w:val="28"/>
    </w:rPr>
  </w:style>
  <w:style w:type="character" w:customStyle="1" w:styleId="Heading5Char">
    <w:name w:val="Heading 5 Char"/>
    <w:basedOn w:val="DefaultParagraphFont"/>
    <w:link w:val="Heading5"/>
    <w:rsid w:val="00893138"/>
    <w:rPr>
      <w:rFonts w:asciiTheme="minorHAnsi" w:hAnsiTheme="minorHAnsi"/>
      <w:b/>
      <w:bCs/>
      <w:iCs/>
      <w:sz w:val="22"/>
      <w:szCs w:val="26"/>
    </w:rPr>
  </w:style>
  <w:style w:type="character" w:customStyle="1" w:styleId="Heading6Char">
    <w:name w:val="Heading 6 Char"/>
    <w:basedOn w:val="DefaultParagraphFont"/>
    <w:link w:val="Heading6"/>
    <w:rsid w:val="00893138"/>
    <w:rPr>
      <w:rFonts w:asciiTheme="minorHAnsi" w:hAnsiTheme="minorHAnsi"/>
      <w:b/>
      <w:bCs/>
      <w:i/>
      <w:sz w:val="22"/>
      <w:szCs w:val="22"/>
    </w:rPr>
  </w:style>
  <w:style w:type="paragraph" w:customStyle="1" w:styleId="StyleCaptionArialBlack">
    <w:name w:val="Style Caption + Arial Black"/>
    <w:basedOn w:val="Caption"/>
    <w:rsid w:val="001E7580"/>
    <w:pPr>
      <w:keepNext/>
    </w:pPr>
    <w:rPr>
      <w:rFonts w:ascii="Arial" w:hAnsi="Arial"/>
      <w:color w:val="000000"/>
    </w:rPr>
  </w:style>
  <w:style w:type="paragraph" w:styleId="Header">
    <w:name w:val="header"/>
    <w:basedOn w:val="Normal"/>
    <w:link w:val="HeaderChar"/>
    <w:unhideWhenUsed/>
    <w:rsid w:val="00B26FA3"/>
    <w:pPr>
      <w:tabs>
        <w:tab w:val="center" w:pos="4513"/>
        <w:tab w:val="right" w:pos="9026"/>
      </w:tabs>
      <w:spacing w:after="0"/>
    </w:pPr>
  </w:style>
  <w:style w:type="character" w:customStyle="1" w:styleId="HeaderChar">
    <w:name w:val="Header Char"/>
    <w:basedOn w:val="DefaultParagraphFont"/>
    <w:link w:val="Header"/>
    <w:rsid w:val="00B26FA3"/>
    <w:rPr>
      <w:rFonts w:asciiTheme="minorHAnsi" w:hAnsiTheme="minorHAnsi"/>
      <w:sz w:val="22"/>
      <w:szCs w:val="24"/>
    </w:rPr>
  </w:style>
  <w:style w:type="paragraph" w:styleId="Footer">
    <w:name w:val="footer"/>
    <w:basedOn w:val="Normal"/>
    <w:link w:val="FooterChar"/>
    <w:uiPriority w:val="99"/>
    <w:unhideWhenUsed/>
    <w:rsid w:val="00B26FA3"/>
    <w:pPr>
      <w:tabs>
        <w:tab w:val="center" w:pos="4513"/>
        <w:tab w:val="right" w:pos="9026"/>
      </w:tabs>
      <w:spacing w:after="0"/>
    </w:pPr>
  </w:style>
  <w:style w:type="character" w:customStyle="1" w:styleId="FooterChar">
    <w:name w:val="Footer Char"/>
    <w:basedOn w:val="DefaultParagraphFont"/>
    <w:link w:val="Footer"/>
    <w:uiPriority w:val="99"/>
    <w:rsid w:val="00B26FA3"/>
    <w:rPr>
      <w:rFonts w:asciiTheme="minorHAnsi"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938091">
      <w:bodyDiv w:val="1"/>
      <w:marLeft w:val="0"/>
      <w:marRight w:val="0"/>
      <w:marTop w:val="0"/>
      <w:marBottom w:val="0"/>
      <w:divBdr>
        <w:top w:val="none" w:sz="0" w:space="0" w:color="auto"/>
        <w:left w:val="none" w:sz="0" w:space="0" w:color="auto"/>
        <w:bottom w:val="none" w:sz="0" w:space="0" w:color="auto"/>
        <w:right w:val="none" w:sz="0" w:space="0" w:color="auto"/>
      </w:divBdr>
      <w:divsChild>
        <w:div w:id="279410579">
          <w:marLeft w:val="0"/>
          <w:marRight w:val="0"/>
          <w:marTop w:val="0"/>
          <w:marBottom w:val="360"/>
          <w:divBdr>
            <w:top w:val="none" w:sz="0" w:space="0" w:color="auto"/>
            <w:left w:val="none" w:sz="0" w:space="0" w:color="auto"/>
            <w:bottom w:val="dotted" w:sz="6" w:space="0" w:color="CCCCCC"/>
            <w:right w:val="none" w:sz="0" w:space="0" w:color="auto"/>
          </w:divBdr>
          <w:divsChild>
            <w:div w:id="942764407">
              <w:marLeft w:val="0"/>
              <w:marRight w:val="0"/>
              <w:marTop w:val="0"/>
              <w:marBottom w:val="0"/>
              <w:divBdr>
                <w:top w:val="none" w:sz="0" w:space="0" w:color="auto"/>
                <w:left w:val="none" w:sz="0" w:space="0" w:color="auto"/>
                <w:bottom w:val="none" w:sz="0" w:space="0" w:color="auto"/>
                <w:right w:val="none" w:sz="0" w:space="0" w:color="auto"/>
              </w:divBdr>
            </w:div>
          </w:divsChild>
        </w:div>
        <w:div w:id="2040425095">
          <w:marLeft w:val="0"/>
          <w:marRight w:val="0"/>
          <w:marTop w:val="0"/>
          <w:marBottom w:val="0"/>
          <w:divBdr>
            <w:top w:val="none" w:sz="0" w:space="0" w:color="C4DEEE"/>
            <w:left w:val="none" w:sz="0" w:space="0" w:color="C4DEEE"/>
            <w:bottom w:val="none" w:sz="0" w:space="0" w:color="C4DEEE"/>
            <w:right w:val="none" w:sz="0" w:space="0" w:color="C4DEEE"/>
          </w:divBdr>
        </w:div>
        <w:div w:id="1698043146">
          <w:marLeft w:val="0"/>
          <w:marRight w:val="0"/>
          <w:marTop w:val="0"/>
          <w:marBottom w:val="0"/>
          <w:divBdr>
            <w:top w:val="none" w:sz="0" w:space="0" w:color="C4DEEE"/>
            <w:left w:val="none" w:sz="0" w:space="0" w:color="C4DEEE"/>
            <w:bottom w:val="none" w:sz="0" w:space="0" w:color="C4DEEE"/>
            <w:right w:val="none" w:sz="0" w:space="0" w:color="C4DEEE"/>
          </w:divBdr>
        </w:div>
        <w:div w:id="518274129">
          <w:marLeft w:val="0"/>
          <w:marRight w:val="0"/>
          <w:marTop w:val="0"/>
          <w:marBottom w:val="0"/>
          <w:divBdr>
            <w:top w:val="none" w:sz="0" w:space="0" w:color="C4DEEE"/>
            <w:left w:val="none" w:sz="0" w:space="0" w:color="C4DEEE"/>
            <w:bottom w:val="none" w:sz="0" w:space="0" w:color="C4DEEE"/>
            <w:right w:val="none" w:sz="0" w:space="0" w:color="C4DEEE"/>
          </w:divBdr>
        </w:div>
        <w:div w:id="2120368710">
          <w:marLeft w:val="0"/>
          <w:marRight w:val="0"/>
          <w:marTop w:val="0"/>
          <w:marBottom w:val="0"/>
          <w:divBdr>
            <w:top w:val="none" w:sz="0" w:space="0" w:color="C4DEEE"/>
            <w:left w:val="none" w:sz="0" w:space="0" w:color="C4DEEE"/>
            <w:bottom w:val="none" w:sz="0" w:space="0" w:color="C4DEEE"/>
            <w:right w:val="none" w:sz="0" w:space="0" w:color="C4DEEE"/>
          </w:divBdr>
        </w:div>
        <w:div w:id="510724177">
          <w:marLeft w:val="0"/>
          <w:marRight w:val="0"/>
          <w:marTop w:val="0"/>
          <w:marBottom w:val="0"/>
          <w:divBdr>
            <w:top w:val="none" w:sz="0" w:space="0" w:color="C4DEEE"/>
            <w:left w:val="none" w:sz="0" w:space="0" w:color="C4DEEE"/>
            <w:bottom w:val="none" w:sz="0" w:space="0" w:color="C4DEEE"/>
            <w:right w:val="none" w:sz="0" w:space="0" w:color="C4DEEE"/>
          </w:divBdr>
        </w:div>
        <w:div w:id="340354821">
          <w:marLeft w:val="0"/>
          <w:marRight w:val="0"/>
          <w:marTop w:val="0"/>
          <w:marBottom w:val="0"/>
          <w:divBdr>
            <w:top w:val="none" w:sz="0" w:space="0" w:color="C4DEEE"/>
            <w:left w:val="none" w:sz="0" w:space="0" w:color="C4DEEE"/>
            <w:bottom w:val="none" w:sz="0" w:space="0" w:color="C4DEEE"/>
            <w:right w:val="none" w:sz="0" w:space="0" w:color="C4DEEE"/>
          </w:divBdr>
        </w:div>
        <w:div w:id="1344629569">
          <w:marLeft w:val="0"/>
          <w:marRight w:val="0"/>
          <w:marTop w:val="0"/>
          <w:marBottom w:val="0"/>
          <w:divBdr>
            <w:top w:val="none" w:sz="0" w:space="0" w:color="C4DEEE"/>
            <w:left w:val="none" w:sz="0" w:space="0" w:color="C4DEEE"/>
            <w:bottom w:val="none" w:sz="0" w:space="0" w:color="C4DEEE"/>
            <w:right w:val="none" w:sz="0" w:space="0" w:color="C4DEEE"/>
          </w:divBdr>
        </w:div>
        <w:div w:id="1349143333">
          <w:marLeft w:val="0"/>
          <w:marRight w:val="0"/>
          <w:marTop w:val="0"/>
          <w:marBottom w:val="0"/>
          <w:divBdr>
            <w:top w:val="none" w:sz="0" w:space="0" w:color="C4DEEE"/>
            <w:left w:val="none" w:sz="0" w:space="0" w:color="C4DEEE"/>
            <w:bottom w:val="none" w:sz="0" w:space="0" w:color="C4DEEE"/>
            <w:right w:val="none" w:sz="0" w:space="0" w:color="C4DEEE"/>
          </w:divBdr>
        </w:div>
        <w:div w:id="1822455686">
          <w:marLeft w:val="0"/>
          <w:marRight w:val="0"/>
          <w:marTop w:val="0"/>
          <w:marBottom w:val="0"/>
          <w:divBdr>
            <w:top w:val="none" w:sz="0" w:space="0" w:color="C4DEEE"/>
            <w:left w:val="none" w:sz="0" w:space="0" w:color="C4DEEE"/>
            <w:bottom w:val="none" w:sz="0" w:space="0" w:color="C4DEEE"/>
            <w:right w:val="none" w:sz="0" w:space="0" w:color="C4DEEE"/>
          </w:divBdr>
        </w:div>
        <w:div w:id="26109343">
          <w:marLeft w:val="0"/>
          <w:marRight w:val="0"/>
          <w:marTop w:val="0"/>
          <w:marBottom w:val="0"/>
          <w:divBdr>
            <w:top w:val="none" w:sz="0" w:space="0" w:color="C4DEEE"/>
            <w:left w:val="none" w:sz="0" w:space="0" w:color="C4DEEE"/>
            <w:bottom w:val="none" w:sz="0" w:space="0" w:color="C4DEEE"/>
            <w:right w:val="none" w:sz="0" w:space="0" w:color="C4DEEE"/>
          </w:divBdr>
        </w:div>
        <w:div w:id="478112105">
          <w:marLeft w:val="0"/>
          <w:marRight w:val="0"/>
          <w:marTop w:val="0"/>
          <w:marBottom w:val="0"/>
          <w:divBdr>
            <w:top w:val="none" w:sz="0" w:space="0" w:color="C4DEEE"/>
            <w:left w:val="none" w:sz="0" w:space="0" w:color="C4DEEE"/>
            <w:bottom w:val="none" w:sz="0" w:space="0" w:color="C4DEEE"/>
            <w:right w:val="none" w:sz="0" w:space="0" w:color="C4DEEE"/>
          </w:divBdr>
        </w:div>
        <w:div w:id="2066173802">
          <w:marLeft w:val="0"/>
          <w:marRight w:val="0"/>
          <w:marTop w:val="0"/>
          <w:marBottom w:val="0"/>
          <w:divBdr>
            <w:top w:val="none" w:sz="0" w:space="0" w:color="C4DEEE"/>
            <w:left w:val="none" w:sz="0" w:space="0" w:color="C4DEEE"/>
            <w:bottom w:val="none" w:sz="0" w:space="0" w:color="C4DEEE"/>
            <w:right w:val="none" w:sz="0" w:space="0" w:color="C4DEEE"/>
          </w:divBdr>
        </w:div>
        <w:div w:id="602490845">
          <w:marLeft w:val="0"/>
          <w:marRight w:val="0"/>
          <w:marTop w:val="0"/>
          <w:marBottom w:val="0"/>
          <w:divBdr>
            <w:top w:val="none" w:sz="0" w:space="0" w:color="C4DEEE"/>
            <w:left w:val="none" w:sz="0" w:space="0" w:color="C4DEEE"/>
            <w:bottom w:val="none" w:sz="0" w:space="0" w:color="C4DEEE"/>
            <w:right w:val="none" w:sz="0" w:space="0" w:color="C4DEEE"/>
          </w:divBdr>
        </w:div>
        <w:div w:id="2145005317">
          <w:marLeft w:val="0"/>
          <w:marRight w:val="0"/>
          <w:marTop w:val="0"/>
          <w:marBottom w:val="0"/>
          <w:divBdr>
            <w:top w:val="none" w:sz="0" w:space="0" w:color="C4DEEE"/>
            <w:left w:val="none" w:sz="0" w:space="0" w:color="C4DEEE"/>
            <w:bottom w:val="none" w:sz="0" w:space="0" w:color="C4DEEE"/>
            <w:right w:val="none" w:sz="0" w:space="0" w:color="C4DEEE"/>
          </w:divBdr>
        </w:div>
        <w:div w:id="1628505158">
          <w:marLeft w:val="0"/>
          <w:marRight w:val="0"/>
          <w:marTop w:val="0"/>
          <w:marBottom w:val="0"/>
          <w:divBdr>
            <w:top w:val="none" w:sz="0" w:space="0" w:color="C4DEEE"/>
            <w:left w:val="none" w:sz="0" w:space="0" w:color="C4DEEE"/>
            <w:bottom w:val="none" w:sz="0" w:space="0" w:color="C4DEEE"/>
            <w:right w:val="none" w:sz="0" w:space="0" w:color="C4DEEE"/>
          </w:divBdr>
        </w:div>
        <w:div w:id="53503733">
          <w:marLeft w:val="0"/>
          <w:marRight w:val="0"/>
          <w:marTop w:val="0"/>
          <w:marBottom w:val="0"/>
          <w:divBdr>
            <w:top w:val="none" w:sz="0" w:space="0" w:color="C4DEEE"/>
            <w:left w:val="none" w:sz="0" w:space="0" w:color="C4DEEE"/>
            <w:bottom w:val="none" w:sz="0" w:space="0" w:color="C4DEEE"/>
            <w:right w:val="none" w:sz="0" w:space="0" w:color="C4DEEE"/>
          </w:divBdr>
        </w:div>
        <w:div w:id="1514759774">
          <w:marLeft w:val="0"/>
          <w:marRight w:val="0"/>
          <w:marTop w:val="0"/>
          <w:marBottom w:val="0"/>
          <w:divBdr>
            <w:top w:val="none" w:sz="0" w:space="0" w:color="C4DEEE"/>
            <w:left w:val="none" w:sz="0" w:space="0" w:color="C4DEEE"/>
            <w:bottom w:val="none" w:sz="0" w:space="0" w:color="C4DEEE"/>
            <w:right w:val="none" w:sz="0" w:space="0" w:color="C4DEEE"/>
          </w:divBdr>
        </w:div>
        <w:div w:id="1164709039">
          <w:marLeft w:val="0"/>
          <w:marRight w:val="0"/>
          <w:marTop w:val="0"/>
          <w:marBottom w:val="0"/>
          <w:divBdr>
            <w:top w:val="none" w:sz="0" w:space="0" w:color="C4DEEE"/>
            <w:left w:val="none" w:sz="0" w:space="0" w:color="C4DEEE"/>
            <w:bottom w:val="none" w:sz="0" w:space="0" w:color="C4DEEE"/>
            <w:right w:val="none" w:sz="0" w:space="0" w:color="C4DEEE"/>
          </w:divBdr>
        </w:div>
      </w:divsChild>
    </w:div>
    <w:div w:id="1095133055">
      <w:bodyDiv w:val="1"/>
      <w:marLeft w:val="0"/>
      <w:marRight w:val="0"/>
      <w:marTop w:val="0"/>
      <w:marBottom w:val="0"/>
      <w:divBdr>
        <w:top w:val="none" w:sz="0" w:space="0" w:color="auto"/>
        <w:left w:val="none" w:sz="0" w:space="0" w:color="auto"/>
        <w:bottom w:val="none" w:sz="0" w:space="0" w:color="auto"/>
        <w:right w:val="none" w:sz="0" w:space="0" w:color="auto"/>
      </w:divBdr>
    </w:div>
    <w:div w:id="1335255627">
      <w:bodyDiv w:val="1"/>
      <w:marLeft w:val="0"/>
      <w:marRight w:val="0"/>
      <w:marTop w:val="0"/>
      <w:marBottom w:val="0"/>
      <w:divBdr>
        <w:top w:val="none" w:sz="0" w:space="0" w:color="auto"/>
        <w:left w:val="none" w:sz="0" w:space="0" w:color="auto"/>
        <w:bottom w:val="none" w:sz="0" w:space="0" w:color="auto"/>
        <w:right w:val="none" w:sz="0" w:space="0" w:color="auto"/>
      </w:divBdr>
    </w:div>
    <w:div w:id="2008631856">
      <w:bodyDiv w:val="1"/>
      <w:marLeft w:val="0"/>
      <w:marRight w:val="0"/>
      <w:marTop w:val="0"/>
      <w:marBottom w:val="0"/>
      <w:divBdr>
        <w:top w:val="none" w:sz="0" w:space="0" w:color="auto"/>
        <w:left w:val="none" w:sz="0" w:space="0" w:color="auto"/>
        <w:bottom w:val="none" w:sz="0" w:space="0" w:color="auto"/>
        <w:right w:val="none" w:sz="0" w:space="0" w:color="auto"/>
      </w:divBdr>
    </w:div>
    <w:div w:id="2033459106">
      <w:bodyDiv w:val="1"/>
      <w:marLeft w:val="0"/>
      <w:marRight w:val="0"/>
      <w:marTop w:val="0"/>
      <w:marBottom w:val="0"/>
      <w:divBdr>
        <w:top w:val="none" w:sz="0" w:space="0" w:color="auto"/>
        <w:left w:val="none" w:sz="0" w:space="0" w:color="auto"/>
        <w:bottom w:val="none" w:sz="0" w:space="0" w:color="auto"/>
        <w:right w:val="none" w:sz="0" w:space="0" w:color="auto"/>
      </w:divBdr>
      <w:divsChild>
        <w:div w:id="1479299371">
          <w:marLeft w:val="0"/>
          <w:marRight w:val="0"/>
          <w:marTop w:val="0"/>
          <w:marBottom w:val="360"/>
          <w:divBdr>
            <w:top w:val="none" w:sz="0" w:space="0" w:color="auto"/>
            <w:left w:val="none" w:sz="0" w:space="0" w:color="auto"/>
            <w:bottom w:val="dotted" w:sz="6" w:space="0" w:color="CCCCCC"/>
            <w:right w:val="none" w:sz="0" w:space="0" w:color="auto"/>
          </w:divBdr>
          <w:divsChild>
            <w:div w:id="220212670">
              <w:marLeft w:val="0"/>
              <w:marRight w:val="0"/>
              <w:marTop w:val="0"/>
              <w:marBottom w:val="0"/>
              <w:divBdr>
                <w:top w:val="none" w:sz="0" w:space="0" w:color="auto"/>
                <w:left w:val="none" w:sz="0" w:space="0" w:color="auto"/>
                <w:bottom w:val="none" w:sz="0" w:space="0" w:color="auto"/>
                <w:right w:val="none" w:sz="0" w:space="0" w:color="auto"/>
              </w:divBdr>
            </w:div>
          </w:divsChild>
        </w:div>
        <w:div w:id="1151675036">
          <w:marLeft w:val="0"/>
          <w:marRight w:val="0"/>
          <w:marTop w:val="0"/>
          <w:marBottom w:val="0"/>
          <w:divBdr>
            <w:top w:val="none" w:sz="0" w:space="0" w:color="C4DEEE"/>
            <w:left w:val="none" w:sz="0" w:space="0" w:color="C4DEEE"/>
            <w:bottom w:val="none" w:sz="0" w:space="0" w:color="C4DEEE"/>
            <w:right w:val="none" w:sz="0" w:space="0" w:color="C4DEEE"/>
          </w:divBdr>
        </w:div>
        <w:div w:id="1065836315">
          <w:marLeft w:val="0"/>
          <w:marRight w:val="0"/>
          <w:marTop w:val="0"/>
          <w:marBottom w:val="0"/>
          <w:divBdr>
            <w:top w:val="none" w:sz="0" w:space="0" w:color="C4DEEE"/>
            <w:left w:val="none" w:sz="0" w:space="0" w:color="C4DEEE"/>
            <w:bottom w:val="none" w:sz="0" w:space="0" w:color="C4DEEE"/>
            <w:right w:val="none" w:sz="0" w:space="0" w:color="C4DEEE"/>
          </w:divBdr>
        </w:div>
        <w:div w:id="697662972">
          <w:marLeft w:val="0"/>
          <w:marRight w:val="0"/>
          <w:marTop w:val="0"/>
          <w:marBottom w:val="0"/>
          <w:divBdr>
            <w:top w:val="none" w:sz="0" w:space="0" w:color="C4DEEE"/>
            <w:left w:val="none" w:sz="0" w:space="0" w:color="C4DEEE"/>
            <w:bottom w:val="none" w:sz="0" w:space="0" w:color="C4DEEE"/>
            <w:right w:val="none" w:sz="0" w:space="0" w:color="C4DEEE"/>
          </w:divBdr>
        </w:div>
        <w:div w:id="1540776245">
          <w:marLeft w:val="0"/>
          <w:marRight w:val="0"/>
          <w:marTop w:val="0"/>
          <w:marBottom w:val="0"/>
          <w:divBdr>
            <w:top w:val="none" w:sz="0" w:space="0" w:color="C4DEEE"/>
            <w:left w:val="none" w:sz="0" w:space="0" w:color="C4DEEE"/>
            <w:bottom w:val="none" w:sz="0" w:space="0" w:color="C4DEEE"/>
            <w:right w:val="none" w:sz="0" w:space="0" w:color="C4DEEE"/>
          </w:divBdr>
        </w:div>
        <w:div w:id="1582525942">
          <w:marLeft w:val="0"/>
          <w:marRight w:val="0"/>
          <w:marTop w:val="0"/>
          <w:marBottom w:val="0"/>
          <w:divBdr>
            <w:top w:val="none" w:sz="0" w:space="0" w:color="C4DEEE"/>
            <w:left w:val="none" w:sz="0" w:space="0" w:color="C4DEEE"/>
            <w:bottom w:val="none" w:sz="0" w:space="0" w:color="C4DEEE"/>
            <w:right w:val="none" w:sz="0" w:space="0" w:color="C4DEEE"/>
          </w:divBdr>
        </w:div>
        <w:div w:id="564728279">
          <w:marLeft w:val="0"/>
          <w:marRight w:val="0"/>
          <w:marTop w:val="0"/>
          <w:marBottom w:val="0"/>
          <w:divBdr>
            <w:top w:val="none" w:sz="0" w:space="0" w:color="C4DEEE"/>
            <w:left w:val="none" w:sz="0" w:space="0" w:color="C4DEEE"/>
            <w:bottom w:val="none" w:sz="0" w:space="0" w:color="C4DEEE"/>
            <w:right w:val="none" w:sz="0" w:space="0" w:color="C4DEEE"/>
          </w:divBdr>
        </w:div>
        <w:div w:id="48889901">
          <w:marLeft w:val="0"/>
          <w:marRight w:val="0"/>
          <w:marTop w:val="0"/>
          <w:marBottom w:val="0"/>
          <w:divBdr>
            <w:top w:val="none" w:sz="0" w:space="0" w:color="C4DEEE"/>
            <w:left w:val="none" w:sz="0" w:space="0" w:color="C4DEEE"/>
            <w:bottom w:val="none" w:sz="0" w:space="0" w:color="C4DEEE"/>
            <w:right w:val="none" w:sz="0" w:space="0" w:color="C4DEEE"/>
          </w:divBdr>
        </w:div>
        <w:div w:id="1184592263">
          <w:marLeft w:val="0"/>
          <w:marRight w:val="0"/>
          <w:marTop w:val="0"/>
          <w:marBottom w:val="0"/>
          <w:divBdr>
            <w:top w:val="none" w:sz="0" w:space="0" w:color="C4DEEE"/>
            <w:left w:val="none" w:sz="0" w:space="0" w:color="C4DEEE"/>
            <w:bottom w:val="none" w:sz="0" w:space="0" w:color="C4DEEE"/>
            <w:right w:val="none" w:sz="0" w:space="0" w:color="C4DEEE"/>
          </w:divBdr>
        </w:div>
        <w:div w:id="6716852">
          <w:marLeft w:val="0"/>
          <w:marRight w:val="0"/>
          <w:marTop w:val="0"/>
          <w:marBottom w:val="0"/>
          <w:divBdr>
            <w:top w:val="none" w:sz="0" w:space="0" w:color="C4DEEE"/>
            <w:left w:val="none" w:sz="0" w:space="0" w:color="C4DEEE"/>
            <w:bottom w:val="none" w:sz="0" w:space="0" w:color="C4DEEE"/>
            <w:right w:val="none" w:sz="0" w:space="0" w:color="C4DEEE"/>
          </w:divBdr>
        </w:div>
        <w:div w:id="226888926">
          <w:marLeft w:val="0"/>
          <w:marRight w:val="0"/>
          <w:marTop w:val="0"/>
          <w:marBottom w:val="0"/>
          <w:divBdr>
            <w:top w:val="none" w:sz="0" w:space="0" w:color="C4DEEE"/>
            <w:left w:val="none" w:sz="0" w:space="0" w:color="C4DEEE"/>
            <w:bottom w:val="none" w:sz="0" w:space="0" w:color="C4DEEE"/>
            <w:right w:val="none" w:sz="0" w:space="0" w:color="C4DEEE"/>
          </w:divBdr>
        </w:div>
        <w:div w:id="516045109">
          <w:marLeft w:val="0"/>
          <w:marRight w:val="0"/>
          <w:marTop w:val="0"/>
          <w:marBottom w:val="0"/>
          <w:divBdr>
            <w:top w:val="none" w:sz="0" w:space="0" w:color="C4DEEE"/>
            <w:left w:val="none" w:sz="0" w:space="0" w:color="C4DEEE"/>
            <w:bottom w:val="none" w:sz="0" w:space="0" w:color="C4DEEE"/>
            <w:right w:val="none" w:sz="0" w:space="0" w:color="C4DEEE"/>
          </w:divBdr>
        </w:div>
        <w:div w:id="897326820">
          <w:marLeft w:val="0"/>
          <w:marRight w:val="0"/>
          <w:marTop w:val="0"/>
          <w:marBottom w:val="0"/>
          <w:divBdr>
            <w:top w:val="none" w:sz="0" w:space="0" w:color="C4DEEE"/>
            <w:left w:val="none" w:sz="0" w:space="0" w:color="C4DEEE"/>
            <w:bottom w:val="none" w:sz="0" w:space="0" w:color="C4DEEE"/>
            <w:right w:val="none" w:sz="0" w:space="0" w:color="C4DEEE"/>
          </w:divBdr>
        </w:div>
        <w:div w:id="761528758">
          <w:marLeft w:val="0"/>
          <w:marRight w:val="0"/>
          <w:marTop w:val="0"/>
          <w:marBottom w:val="0"/>
          <w:divBdr>
            <w:top w:val="none" w:sz="0" w:space="0" w:color="C4DEEE"/>
            <w:left w:val="none" w:sz="0" w:space="0" w:color="C4DEEE"/>
            <w:bottom w:val="none" w:sz="0" w:space="0" w:color="C4DEEE"/>
            <w:right w:val="none" w:sz="0" w:space="0" w:color="C4DEEE"/>
          </w:divBdr>
        </w:div>
        <w:div w:id="558983256">
          <w:marLeft w:val="0"/>
          <w:marRight w:val="0"/>
          <w:marTop w:val="0"/>
          <w:marBottom w:val="0"/>
          <w:divBdr>
            <w:top w:val="none" w:sz="0" w:space="0" w:color="C4DEEE"/>
            <w:left w:val="none" w:sz="0" w:space="0" w:color="C4DEEE"/>
            <w:bottom w:val="none" w:sz="0" w:space="0" w:color="C4DEEE"/>
            <w:right w:val="none" w:sz="0" w:space="0" w:color="C4DEEE"/>
          </w:divBdr>
        </w:div>
        <w:div w:id="268046507">
          <w:marLeft w:val="0"/>
          <w:marRight w:val="0"/>
          <w:marTop w:val="0"/>
          <w:marBottom w:val="0"/>
          <w:divBdr>
            <w:top w:val="none" w:sz="0" w:space="0" w:color="C4DEEE"/>
            <w:left w:val="none" w:sz="0" w:space="0" w:color="C4DEEE"/>
            <w:bottom w:val="none" w:sz="0" w:space="0" w:color="C4DEEE"/>
            <w:right w:val="none" w:sz="0" w:space="0" w:color="C4DEEE"/>
          </w:divBdr>
        </w:div>
        <w:div w:id="1776561463">
          <w:marLeft w:val="0"/>
          <w:marRight w:val="0"/>
          <w:marTop w:val="0"/>
          <w:marBottom w:val="0"/>
          <w:divBdr>
            <w:top w:val="none" w:sz="0" w:space="0" w:color="C4DEEE"/>
            <w:left w:val="none" w:sz="0" w:space="0" w:color="C4DEEE"/>
            <w:bottom w:val="none" w:sz="0" w:space="0" w:color="C4DEEE"/>
            <w:right w:val="none" w:sz="0" w:space="0" w:color="C4DEEE"/>
          </w:divBdr>
        </w:div>
        <w:div w:id="426539973">
          <w:marLeft w:val="0"/>
          <w:marRight w:val="0"/>
          <w:marTop w:val="0"/>
          <w:marBottom w:val="0"/>
          <w:divBdr>
            <w:top w:val="none" w:sz="0" w:space="0" w:color="C4DEEE"/>
            <w:left w:val="none" w:sz="0" w:space="0" w:color="C4DEEE"/>
            <w:bottom w:val="none" w:sz="0" w:space="0" w:color="C4DEEE"/>
            <w:right w:val="none" w:sz="0" w:space="0" w:color="C4DEEE"/>
          </w:divBdr>
        </w:div>
        <w:div w:id="1401248443">
          <w:marLeft w:val="0"/>
          <w:marRight w:val="0"/>
          <w:marTop w:val="0"/>
          <w:marBottom w:val="0"/>
          <w:divBdr>
            <w:top w:val="none" w:sz="0" w:space="0" w:color="C4DEEE"/>
            <w:left w:val="none" w:sz="0" w:space="0" w:color="C4DEEE"/>
            <w:bottom w:val="none" w:sz="0" w:space="0" w:color="C4DEEE"/>
            <w:right w:val="none" w:sz="0" w:space="0" w:color="C4DEEE"/>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internet/main/publishing.nsf/Content/FC15906B0C751E89CA257CF8008349EE/$File/Figure%201%20tobacco.TX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f.gov.au/entering-and-leaving-australia/duty-free" TargetMode="External"/><Relationship Id="rId5" Type="http://schemas.openxmlformats.org/officeDocument/2006/relationships/numbering" Target="numbering.xml"/><Relationship Id="rId15" Type="http://schemas.openxmlformats.org/officeDocument/2006/relationships/hyperlink" Target="http://www.quitnow.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gov.au/internet/main/publishing.nsf/Content/tobacco-plain-packaging-evaluation"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meteor.aihw.gov.au/content/index.phtml/itemId/629977" TargetMode="External"/><Relationship Id="rId13" Type="http://schemas.openxmlformats.org/officeDocument/2006/relationships/hyperlink" Target="http://www.aihw.gov.au/publication-detail/?id=32212254712" TargetMode="External"/><Relationship Id="rId3" Type="http://schemas.openxmlformats.org/officeDocument/2006/relationships/hyperlink" Target="http://www.abs.gov.au/AUSSTATS/abs@.nsf/DetailsPage/5206.0Dec%202015?OpenDocument" TargetMode="External"/><Relationship Id="rId7" Type="http://schemas.openxmlformats.org/officeDocument/2006/relationships/hyperlink" Target="http://www.abs.gov.au/AUSSTATS/abs@.nsf/DetailsPage/4364.0.55.0012014-15?OpenDocument" TargetMode="External"/><Relationship Id="rId12" Type="http://schemas.openxmlformats.org/officeDocument/2006/relationships/hyperlink" Target="http://www.aihw.gov.au/publication-detail/?id=32212254712" TargetMode="External"/><Relationship Id="rId2" Type="http://schemas.openxmlformats.org/officeDocument/2006/relationships/hyperlink" Target="https://www.coag.gov.au/node/439" TargetMode="External"/><Relationship Id="rId1" Type="http://schemas.openxmlformats.org/officeDocument/2006/relationships/hyperlink" Target="http://www.aihw.gov.au/WorkArea/DownloadAsset.aspx?id=60129556107" TargetMode="External"/><Relationship Id="rId6" Type="http://schemas.openxmlformats.org/officeDocument/2006/relationships/hyperlink" Target="http://wholesale.pattersonroad.com.au/rrp_tobacco.jsp" TargetMode="External"/><Relationship Id="rId11" Type="http://schemas.openxmlformats.org/officeDocument/2006/relationships/hyperlink" Target="http://www.nationaldrugstrategy.gov.au/internet/drugstrategy/Publishing.nsf/content/BCBF6B2C638E1202CA257ACD0020E35C/$File/Tobacco%20Report%202014.PDF" TargetMode="External"/><Relationship Id="rId5" Type="http://schemas.openxmlformats.org/officeDocument/2006/relationships/hyperlink" Target="http://wholesale.pattersonroad.com.au/rrp_lists_1.isp" TargetMode="External"/><Relationship Id="rId10" Type="http://schemas.openxmlformats.org/officeDocument/2006/relationships/hyperlink" Target="http://www.abs.gov.au/AUSSTATS/abs@.nsf/Lookup/4714.0Main+Features22014-15?OpenDocument" TargetMode="External"/><Relationship Id="rId4" Type="http://schemas.openxmlformats.org/officeDocument/2006/relationships/hyperlink" Target="http://www.tobaccoinaustralia.org.au/chapter-10-tobacco-industry/10-6-market-share-and-brand-share" TargetMode="External"/><Relationship Id="rId9" Type="http://schemas.openxmlformats.org/officeDocument/2006/relationships/hyperlink" Target="http://www.aihw.gov.au/alcohol-and-%20other-drugs/data-sources/ndshs-2016/key-findings/" TargetMode="External"/><Relationship Id="rId14" Type="http://schemas.openxmlformats.org/officeDocument/2006/relationships/hyperlink" Target="http://www.aihw.gov.au/alcohol-and-other-drugs/ndshs-20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B2B58ED-033B-4CE6-8EBD-4F352C0BC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FB6B659-5BA0-4993-A041-F7E1F12C2620}">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purl.org/dc/dcmitype/"/>
  </ds:schemaRefs>
</ds:datastoreItem>
</file>

<file path=customXml/itemProps3.xml><?xml version="1.0" encoding="utf-8"?>
<ds:datastoreItem xmlns:ds="http://schemas.openxmlformats.org/officeDocument/2006/customXml" ds:itemID="{39ADFB81-88C4-4C7B-856D-081E62294EAB}">
  <ds:schemaRefs>
    <ds:schemaRef ds:uri="http://schemas.microsoft.com/sharepoint/v3/contenttype/forms"/>
  </ds:schemaRefs>
</ds:datastoreItem>
</file>

<file path=customXml/itemProps4.xml><?xml version="1.0" encoding="utf-8"?>
<ds:datastoreItem xmlns:ds="http://schemas.openxmlformats.org/officeDocument/2006/customXml" ds:itemID="{D7DACE4A-13D3-402D-AAC5-C6BC0F70F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9</Pages>
  <Words>2818</Words>
  <Characters>16067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tobacco-control-key-facts-and-figures</dc:title>
  <dc:creator>WASAGA-THOMPSON, Jean</dc:creator>
  <cp:lastModifiedBy>McCay, Meryl</cp:lastModifiedBy>
  <cp:revision>15</cp:revision>
  <cp:lastPrinted>2017-07-25T06:36:00Z</cp:lastPrinted>
  <dcterms:created xsi:type="dcterms:W3CDTF">2019-02-27T04:47:00Z</dcterms:created>
  <dcterms:modified xsi:type="dcterms:W3CDTF">2019-03-14T05:56:00Z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