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45D37" w14:textId="77777777" w:rsidR="00B46411" w:rsidRDefault="00B46411" w:rsidP="00B46411">
      <w:pPr>
        <w:spacing w:before="360"/>
        <w:jc w:val="center"/>
      </w:pPr>
      <w:r>
        <w:rPr>
          <w:caps/>
          <w:noProof/>
          <w:lang w:eastAsia="en-AU"/>
        </w:rPr>
        <w:drawing>
          <wp:inline distT="0" distB="0" distL="0" distR="0" wp14:anchorId="3C39CBC4" wp14:editId="104B03A9">
            <wp:extent cx="2466975" cy="1371600"/>
            <wp:effectExtent l="0" t="0" r="9525" b="0"/>
            <wp:docPr id="1" name="Picture 1" descr="Australian Government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1368DE93" w14:textId="77777777" w:rsidR="00B46411" w:rsidRPr="00EC5BA5" w:rsidRDefault="00B46411" w:rsidP="00EC5BA5">
      <w:pPr>
        <w:pStyle w:val="Title"/>
        <w:spacing w:before="1000"/>
      </w:pPr>
      <w:r w:rsidRPr="00EC5BA5">
        <w:t>Australian Government response to the House of Representatives Standing Committee on Health report:</w:t>
      </w:r>
    </w:p>
    <w:p w14:paraId="392F6DD7" w14:textId="77777777" w:rsidR="00EA7BDC" w:rsidRPr="00EC5BA5" w:rsidRDefault="00B46411" w:rsidP="00EC5BA5">
      <w:pPr>
        <w:pStyle w:val="Title"/>
      </w:pPr>
      <w:r w:rsidRPr="00EC5BA5">
        <w:t>The Silent Disease</w:t>
      </w:r>
      <w:r w:rsidR="00594986" w:rsidRPr="00EC5BA5">
        <w:t xml:space="preserve"> </w:t>
      </w:r>
      <w:r w:rsidRPr="00EC5BA5">
        <w:t>Inquiry into Hepatitis C in Australia</w:t>
      </w:r>
    </w:p>
    <w:p w14:paraId="6B95B309" w14:textId="77777777" w:rsidR="00594986" w:rsidRDefault="00F41DB7" w:rsidP="00EC5BA5">
      <w:pPr>
        <w:spacing w:before="7000"/>
        <w:jc w:val="right"/>
      </w:pPr>
      <w:r>
        <w:t>November</w:t>
      </w:r>
      <w:r w:rsidR="00286945">
        <w:t xml:space="preserve"> 2016</w:t>
      </w:r>
    </w:p>
    <w:p w14:paraId="6902499E" w14:textId="77777777" w:rsidR="009C194B" w:rsidRDefault="009C194B" w:rsidP="009C194B">
      <w:pPr>
        <w:pStyle w:val="Heading1"/>
        <w:pageBreakBefore/>
      </w:pPr>
      <w:r>
        <w:lastRenderedPageBreak/>
        <w:t>LIST OF ABBREVIATIONS</w:t>
      </w:r>
    </w:p>
    <w:p w14:paraId="17CF1B3A" w14:textId="77777777" w:rsidR="009C194B" w:rsidRDefault="009C194B" w:rsidP="009C194B">
      <w:pPr>
        <w:ind w:left="1134" w:hanging="1134"/>
      </w:pPr>
      <w:r>
        <w:t>AHPPC</w:t>
      </w:r>
      <w:r>
        <w:tab/>
      </w:r>
      <w:r w:rsidRPr="009C194B">
        <w:t>Australian Health Protection Principal Committee</w:t>
      </w:r>
    </w:p>
    <w:p w14:paraId="7F5437F7" w14:textId="77777777" w:rsidR="009C194B" w:rsidRDefault="009C194B" w:rsidP="009C194B">
      <w:pPr>
        <w:ind w:left="1134" w:hanging="1134"/>
      </w:pPr>
      <w:r>
        <w:t>AIHW</w:t>
      </w:r>
      <w:r>
        <w:tab/>
      </w:r>
      <w:r w:rsidRPr="009C194B">
        <w:t>Australian Institute of Health and Welfare</w:t>
      </w:r>
    </w:p>
    <w:p w14:paraId="5CF3EBE6" w14:textId="77777777" w:rsidR="009C194B" w:rsidRDefault="009C194B" w:rsidP="009C194B">
      <w:pPr>
        <w:ind w:left="1134" w:hanging="1134"/>
      </w:pPr>
      <w:r>
        <w:t>ARTG</w:t>
      </w:r>
      <w:r>
        <w:tab/>
      </w:r>
      <w:r w:rsidRPr="009C194B">
        <w:t>Australian Register of Therapeutic Goods</w:t>
      </w:r>
    </w:p>
    <w:p w14:paraId="14ADC96C" w14:textId="77777777" w:rsidR="009C194B" w:rsidRDefault="009C194B" w:rsidP="009C194B">
      <w:pPr>
        <w:ind w:left="1134" w:hanging="1134"/>
      </w:pPr>
      <w:r>
        <w:t>BBV</w:t>
      </w:r>
      <w:r>
        <w:tab/>
      </w:r>
      <w:r w:rsidRPr="009C194B">
        <w:t>Blood Borne Viruses</w:t>
      </w:r>
    </w:p>
    <w:p w14:paraId="6A14F92B" w14:textId="77777777" w:rsidR="009C194B" w:rsidRDefault="009C194B" w:rsidP="009C194B">
      <w:pPr>
        <w:ind w:left="1134" w:hanging="1134"/>
      </w:pPr>
      <w:r>
        <w:t>BBVSS</w:t>
      </w:r>
      <w:r>
        <w:tab/>
      </w:r>
      <w:r w:rsidRPr="009C194B">
        <w:t>Blood-borne Viruses and Sexually Transmissible Infections Standing Committee</w:t>
      </w:r>
    </w:p>
    <w:p w14:paraId="41A7C4A8" w14:textId="77777777" w:rsidR="009C194B" w:rsidRDefault="009C194B" w:rsidP="009C194B">
      <w:pPr>
        <w:ind w:left="1134" w:hanging="1134"/>
      </w:pPr>
      <w:r>
        <w:t>CDNA</w:t>
      </w:r>
      <w:r>
        <w:tab/>
      </w:r>
      <w:r w:rsidRPr="009C194B">
        <w:t>Communicable Diseases Network Australia</w:t>
      </w:r>
    </w:p>
    <w:p w14:paraId="5C30394C" w14:textId="77777777" w:rsidR="009C194B" w:rsidRDefault="009C194B" w:rsidP="009C194B">
      <w:pPr>
        <w:ind w:left="1134" w:hanging="1134"/>
      </w:pPr>
      <w:r>
        <w:t>COAG</w:t>
      </w:r>
      <w:r>
        <w:tab/>
      </w:r>
      <w:r w:rsidRPr="009C194B">
        <w:t>Council of Australian Governments</w:t>
      </w:r>
    </w:p>
    <w:p w14:paraId="4112F166" w14:textId="77777777" w:rsidR="009C194B" w:rsidRDefault="009C194B" w:rsidP="009C194B">
      <w:pPr>
        <w:ind w:left="1134" w:hanging="1134"/>
      </w:pPr>
      <w:r>
        <w:t>PBS</w:t>
      </w:r>
      <w:r>
        <w:tab/>
      </w:r>
      <w:r w:rsidRPr="009C194B">
        <w:t>Pharmaceutical Benefits Scheme</w:t>
      </w:r>
    </w:p>
    <w:p w14:paraId="0EC3B943" w14:textId="77777777" w:rsidR="009C194B" w:rsidRPr="009C194B" w:rsidRDefault="009C194B" w:rsidP="009C194B">
      <w:pPr>
        <w:ind w:left="1134" w:hanging="1134"/>
      </w:pPr>
      <w:r>
        <w:t>PWID</w:t>
      </w:r>
      <w:r>
        <w:tab/>
      </w:r>
      <w:r w:rsidRPr="009C194B">
        <w:t>People Who Inject Drugs</w:t>
      </w:r>
    </w:p>
    <w:p w14:paraId="05A705B4" w14:textId="77777777" w:rsidR="009C194B" w:rsidRDefault="009C194B" w:rsidP="009C194B">
      <w:pPr>
        <w:ind w:left="1134" w:hanging="1134"/>
      </w:pPr>
      <w:r>
        <w:t>RPOCT</w:t>
      </w:r>
      <w:r>
        <w:tab/>
      </w:r>
      <w:r w:rsidRPr="009C194B">
        <w:t>Rapid Point of Care Test</w:t>
      </w:r>
    </w:p>
    <w:p w14:paraId="73926D01" w14:textId="77777777" w:rsidR="009C194B" w:rsidRDefault="009C194B" w:rsidP="009C194B">
      <w:pPr>
        <w:ind w:left="1134" w:hanging="1134"/>
      </w:pPr>
      <w:r>
        <w:t>STI</w:t>
      </w:r>
      <w:r>
        <w:tab/>
      </w:r>
      <w:r w:rsidRPr="009C194B">
        <w:t>Sexually Transmissible Infection</w:t>
      </w:r>
    </w:p>
    <w:p w14:paraId="536CBC6B" w14:textId="77777777" w:rsidR="009C194B" w:rsidRPr="009C194B" w:rsidRDefault="009C194B" w:rsidP="009C194B">
      <w:pPr>
        <w:ind w:left="1134" w:hanging="1134"/>
      </w:pPr>
      <w:r>
        <w:t>TGA</w:t>
      </w:r>
      <w:r>
        <w:tab/>
      </w:r>
      <w:r w:rsidRPr="009C194B">
        <w:t>Therapeutic Goods Administration</w:t>
      </w:r>
    </w:p>
    <w:p w14:paraId="0D8534DC" w14:textId="77777777" w:rsidR="009B36CD" w:rsidRPr="00E12474" w:rsidRDefault="009B36CD" w:rsidP="009C194B">
      <w:pPr>
        <w:pStyle w:val="Heading1"/>
        <w:pageBreakBefore/>
        <w:rPr>
          <w:i/>
          <w:u w:val="single"/>
        </w:rPr>
      </w:pPr>
      <w:r w:rsidRPr="00E12474">
        <w:rPr>
          <w:lang w:eastAsia="en-AU"/>
        </w:rPr>
        <w:lastRenderedPageBreak/>
        <w:t>Introduction</w:t>
      </w:r>
    </w:p>
    <w:p w14:paraId="4A49832F" w14:textId="77777777" w:rsidR="009B36CD" w:rsidRDefault="009B36CD" w:rsidP="009C194B">
      <w:pPr>
        <w:rPr>
          <w:lang w:eastAsia="en-AU"/>
        </w:rPr>
      </w:pPr>
      <w:r>
        <w:rPr>
          <w:lang w:eastAsia="en-AU"/>
        </w:rPr>
        <w:t xml:space="preserve">The </w:t>
      </w:r>
      <w:r w:rsidRPr="009C194B">
        <w:t>Australian Government recognises t</w:t>
      </w:r>
      <w:r w:rsidR="00305B17" w:rsidRPr="009C194B">
        <w:t>he impact hepatitis C has on</w:t>
      </w:r>
      <w:r w:rsidRPr="009C194B">
        <w:t xml:space="preserve"> people infected, their family and friends and the Australian</w:t>
      </w:r>
      <w:r>
        <w:rPr>
          <w:lang w:eastAsia="en-AU"/>
        </w:rPr>
        <w:t xml:space="preserve"> community as a whole.</w:t>
      </w:r>
    </w:p>
    <w:p w14:paraId="013A82D0" w14:textId="77777777" w:rsidR="009B36CD" w:rsidRPr="00C0625B" w:rsidRDefault="009B36CD" w:rsidP="009C194B">
      <w:pPr>
        <w:rPr>
          <w:lang w:eastAsia="en-AU"/>
        </w:rPr>
      </w:pPr>
      <w:r w:rsidRPr="00C0625B">
        <w:rPr>
          <w:lang w:eastAsia="en-AU"/>
        </w:rPr>
        <w:t xml:space="preserve">The inquiry into </w:t>
      </w:r>
      <w:r w:rsidRPr="00594986">
        <w:rPr>
          <w:rStyle w:val="Emphasis"/>
        </w:rPr>
        <w:t>Hepatitis C in Australia</w:t>
      </w:r>
      <w:r>
        <w:rPr>
          <w:lang w:eastAsia="en-AU"/>
        </w:rPr>
        <w:t xml:space="preserve"> </w:t>
      </w:r>
      <w:r w:rsidRPr="00C0625B">
        <w:rPr>
          <w:lang w:eastAsia="en-AU"/>
        </w:rPr>
        <w:t>conducted by the House of Representatives Standing</w:t>
      </w:r>
      <w:r w:rsidR="00305B17">
        <w:rPr>
          <w:lang w:eastAsia="en-AU"/>
        </w:rPr>
        <w:t xml:space="preserve"> Committee on Health </w:t>
      </w:r>
      <w:r w:rsidRPr="00C0625B">
        <w:rPr>
          <w:lang w:eastAsia="en-AU"/>
        </w:rPr>
        <w:t xml:space="preserve">culminated in the Committee’s report entitled </w:t>
      </w:r>
      <w:r>
        <w:rPr>
          <w:i/>
          <w:lang w:eastAsia="en-AU"/>
        </w:rPr>
        <w:t xml:space="preserve">The Silent Disease </w:t>
      </w:r>
      <w:r w:rsidRPr="00C0625B">
        <w:rPr>
          <w:lang w:eastAsia="en-AU"/>
        </w:rPr>
        <w:t>(the Report).  The Report is an important document and the Government thanks the Committee and the various stakeholders for their valuable and thoughtful input to the Inquiry.</w:t>
      </w:r>
    </w:p>
    <w:p w14:paraId="3CB905C8" w14:textId="77777777" w:rsidR="000155A9" w:rsidRPr="009A36E7" w:rsidRDefault="009B36CD" w:rsidP="009C194B">
      <w:pPr>
        <w:rPr>
          <w:lang w:eastAsia="en-AU"/>
        </w:rPr>
      </w:pPr>
      <w:r w:rsidRPr="00C0625B">
        <w:rPr>
          <w:lang w:eastAsia="en-AU"/>
        </w:rPr>
        <w:t xml:space="preserve">This response addresses the recommendations raised in the Report, and has been </w:t>
      </w:r>
      <w:r>
        <w:rPr>
          <w:lang w:eastAsia="en-AU"/>
        </w:rPr>
        <w:t xml:space="preserve">coordinated and </w:t>
      </w:r>
      <w:r w:rsidRPr="00C0625B">
        <w:rPr>
          <w:lang w:eastAsia="en-AU"/>
        </w:rPr>
        <w:t xml:space="preserve">prepared by the </w:t>
      </w:r>
      <w:r>
        <w:rPr>
          <w:lang w:eastAsia="en-AU"/>
        </w:rPr>
        <w:t>Department of Health</w:t>
      </w:r>
      <w:r w:rsidR="009C194B">
        <w:rPr>
          <w:lang w:eastAsia="en-AU"/>
        </w:rPr>
        <w:t>.</w:t>
      </w:r>
    </w:p>
    <w:p w14:paraId="211FA78B" w14:textId="77777777" w:rsidR="00E93CAA" w:rsidRPr="00E12474" w:rsidRDefault="00E93CAA" w:rsidP="00EC5BA5">
      <w:pPr>
        <w:pStyle w:val="Heading1"/>
        <w:pageBreakBefore/>
      </w:pPr>
      <w:r w:rsidRPr="00E12474">
        <w:lastRenderedPageBreak/>
        <w:t xml:space="preserve">Recommendations and </w:t>
      </w:r>
      <w:r w:rsidR="0060508B" w:rsidRPr="00E12474">
        <w:t>Australian Government r</w:t>
      </w:r>
      <w:r w:rsidRPr="00E12474">
        <w:t>esponses</w:t>
      </w:r>
    </w:p>
    <w:p w14:paraId="566B554A" w14:textId="77777777" w:rsidR="003F23A2" w:rsidRPr="00594986" w:rsidRDefault="003F23A2" w:rsidP="00594986">
      <w:pPr>
        <w:pStyle w:val="Heading2"/>
      </w:pPr>
      <w:r w:rsidRPr="00594986">
        <w:t>Overview – Hepatitis C in Australia</w:t>
      </w:r>
    </w:p>
    <w:p w14:paraId="6EB3D0E5" w14:textId="77777777" w:rsidR="003F23A2" w:rsidRPr="00594986" w:rsidRDefault="003F23A2" w:rsidP="00E808CC">
      <w:pPr>
        <w:pStyle w:val="Heading3"/>
      </w:pPr>
      <w:r w:rsidRPr="00594986">
        <w:t>Recommendation 1</w:t>
      </w:r>
    </w:p>
    <w:p w14:paraId="0361D94E" w14:textId="77777777" w:rsidR="0010779C"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 xml:space="preserve">The Committee recommends that the Department of Health enhance reporting on the </w:t>
      </w:r>
      <w:r w:rsidRPr="003F23A2">
        <w:rPr>
          <w:i/>
        </w:rPr>
        <w:t>National Hepatitis C Strategy</w:t>
      </w:r>
      <w:r>
        <w:t xml:space="preserve"> by including a comprehensive reporting and review framework (which includes an annual report and reporting against key performance indicators) within the Strategy.</w:t>
      </w:r>
    </w:p>
    <w:p w14:paraId="5BDA3F67" w14:textId="77777777" w:rsidR="00A02E00" w:rsidRPr="00EC5BA5" w:rsidRDefault="0010779C" w:rsidP="00EC5BA5">
      <w:pPr>
        <w:pStyle w:val="Heading4"/>
      </w:pPr>
      <w:r w:rsidRPr="00EC5BA5">
        <w:t>Australian Government r</w:t>
      </w:r>
      <w:r w:rsidR="0060508B" w:rsidRPr="00EC5BA5">
        <w:t>esponse to R</w:t>
      </w:r>
      <w:r w:rsidR="00A02E00" w:rsidRPr="00EC5BA5">
        <w:t>ecommendation 1</w:t>
      </w:r>
    </w:p>
    <w:p w14:paraId="5EBF49DA" w14:textId="77777777" w:rsidR="00EF437E" w:rsidRPr="0010779C" w:rsidRDefault="00EF437E" w:rsidP="003F23A2">
      <w:r w:rsidRPr="0010779C">
        <w:t>Agreed</w:t>
      </w:r>
    </w:p>
    <w:p w14:paraId="6B811E90" w14:textId="77777777" w:rsidR="001A2B17" w:rsidRDefault="009A36E7" w:rsidP="003F23A2">
      <w:r>
        <w:t xml:space="preserve">In July 2015, the Department of Health </w:t>
      </w:r>
      <w:r w:rsidR="001A2B17">
        <w:t xml:space="preserve">published a </w:t>
      </w:r>
      <w:r w:rsidR="001A2B17" w:rsidRPr="00594986">
        <w:rPr>
          <w:rStyle w:val="Emphasis"/>
        </w:rPr>
        <w:t>National Blood-borne Viruses (BBV) and Sexually Transmissible Infections (STI) Surveillance and Monitoring Plan 2014-2017</w:t>
      </w:r>
      <w:r w:rsidR="001A2B17" w:rsidRPr="001A2B17">
        <w:t xml:space="preserve"> (the Plan) </w:t>
      </w:r>
      <w:r w:rsidR="001A2B17">
        <w:t>to support</w:t>
      </w:r>
      <w:r w:rsidR="001A2B17" w:rsidRPr="001A2B17">
        <w:t xml:space="preserve"> the </w:t>
      </w:r>
      <w:r w:rsidR="001A2B17">
        <w:t xml:space="preserve">five </w:t>
      </w:r>
      <w:r w:rsidR="001A2B17" w:rsidRPr="001A2B17">
        <w:t>National BBV and STI Strategies 2014-</w:t>
      </w:r>
      <w:r w:rsidR="009259C3">
        <w:t>20</w:t>
      </w:r>
      <w:r w:rsidR="001A2B17" w:rsidRPr="001A2B17">
        <w:t>17 (National Strategies). The Plan monitors progress towards achieving the targets and goals of the National Strategies.</w:t>
      </w:r>
      <w:r w:rsidR="001A2B17">
        <w:t xml:space="preserve"> </w:t>
      </w:r>
    </w:p>
    <w:p w14:paraId="537E6981" w14:textId="77777777" w:rsidR="001A2B17" w:rsidRDefault="001A2B17" w:rsidP="001A2B17">
      <w:r>
        <w:t xml:space="preserve">The Plan </w:t>
      </w:r>
      <w:r w:rsidR="009A36E7">
        <w:t>was</w:t>
      </w:r>
      <w:r>
        <w:t xml:space="preserve"> developed </w:t>
      </w:r>
      <w:r w:rsidR="009A36E7">
        <w:t>by</w:t>
      </w:r>
      <w:r>
        <w:t xml:space="preserve"> the Communicable Diseases Network Australia (CDNA), in consultation with the Blood-borne Viruses and Sexually Transmissible Infections Standing Committee (BBVSS) and </w:t>
      </w:r>
      <w:r w:rsidR="00E8409C">
        <w:t xml:space="preserve">was </w:t>
      </w:r>
      <w:r>
        <w:t>endorsed by Australian Health Protection Principal Committee (AHPPC).</w:t>
      </w:r>
      <w:r w:rsidR="009A36E7">
        <w:t xml:space="preserve"> The Commonwealth is a member of all three committees.</w:t>
      </w:r>
    </w:p>
    <w:p w14:paraId="33A268FC" w14:textId="77777777" w:rsidR="009259C3" w:rsidRDefault="009259C3" w:rsidP="001A2B17">
      <w:r w:rsidRPr="001A2B17">
        <w:t>For the first time, the National Strategies include targets for improvements in diagnoses, testing rates and up</w:t>
      </w:r>
      <w:r>
        <w:t xml:space="preserve">take of preventative measures. </w:t>
      </w:r>
      <w:r w:rsidRPr="001A2B17">
        <w:t>The targets in each of the five National Strategies were a</w:t>
      </w:r>
      <w:r>
        <w:t xml:space="preserve">greed by all Health Ministers. </w:t>
      </w:r>
      <w:r w:rsidRPr="001A2B17">
        <w:t>The Plan will provide essential information on the progress being made towards the targets, and enable them to be revi</w:t>
      </w:r>
      <w:r w:rsidR="00594986">
        <w:t>ewed and updated as necessary.</w:t>
      </w:r>
    </w:p>
    <w:p w14:paraId="78A24D55" w14:textId="77777777" w:rsidR="009259C3" w:rsidRDefault="009259C3" w:rsidP="001A2B17">
      <w:r w:rsidRPr="001A2B17">
        <w:t>The Plan provides details of the indicators that will be used to monitor implementation of the strategies and progress towards achieving the targets and objectives in ea</w:t>
      </w:r>
      <w:r w:rsidR="00594986">
        <w:t>ch of the National Strategies.</w:t>
      </w:r>
    </w:p>
    <w:p w14:paraId="057DA227" w14:textId="77777777" w:rsidR="001A2B17" w:rsidRDefault="001A2B17" w:rsidP="001A2B17">
      <w:r>
        <w:t>The Plan will be monitored during its lifetime to ensure the indicators are appropriate. The Plan will also be updated if and when new indicators become available and are assessed by CDNA and BBVSS to be appropriate for inclusion in the Plan.</w:t>
      </w:r>
    </w:p>
    <w:p w14:paraId="3FC277C7" w14:textId="77777777" w:rsidR="00594986" w:rsidRDefault="001A2B17" w:rsidP="00594986">
      <w:r w:rsidRPr="001A2B17">
        <w:t>The Kirby Institute</w:t>
      </w:r>
      <w:r w:rsidR="00B14CAB">
        <w:t xml:space="preserve"> for Infection and Immunity in Society</w:t>
      </w:r>
      <w:r w:rsidRPr="001A2B17">
        <w:t xml:space="preserve"> </w:t>
      </w:r>
      <w:r>
        <w:t>has been funded to</w:t>
      </w:r>
      <w:r w:rsidRPr="001A2B17">
        <w:t xml:space="preserve"> produce a</w:t>
      </w:r>
      <w:r w:rsidR="009A36E7">
        <w:t>n annual</w:t>
      </w:r>
      <w:r w:rsidRPr="001A2B17">
        <w:t xml:space="preserve"> </w:t>
      </w:r>
      <w:r w:rsidR="000155A9">
        <w:t xml:space="preserve">BBV and STI Surveillance and Monitoring </w:t>
      </w:r>
      <w:r w:rsidRPr="001A2B17">
        <w:t xml:space="preserve">report </w:t>
      </w:r>
      <w:r w:rsidR="000155A9">
        <w:t>based on the Plan</w:t>
      </w:r>
      <w:r w:rsidRPr="001A2B17">
        <w:t>, published at t</w:t>
      </w:r>
      <w:r w:rsidR="009A36E7">
        <w:t>he end of each calendar year, reporting</w:t>
      </w:r>
      <w:r w:rsidRPr="001A2B17">
        <w:t xml:space="preserve"> the progress towards achieving the </w:t>
      </w:r>
      <w:r w:rsidR="009A36E7">
        <w:t>targets</w:t>
      </w:r>
      <w:r w:rsidRPr="001A2B17">
        <w:t xml:space="preserve"> of the National Strate</w:t>
      </w:r>
      <w:r w:rsidR="00594986">
        <w:t>gies.</w:t>
      </w:r>
    </w:p>
    <w:p w14:paraId="2279DD52" w14:textId="77777777" w:rsidR="003F23A2" w:rsidRPr="00594986" w:rsidRDefault="003F23A2" w:rsidP="00594986">
      <w:pPr>
        <w:pStyle w:val="Heading2"/>
      </w:pPr>
      <w:r w:rsidRPr="00594986">
        <w:t>Living with Hepatitis C</w:t>
      </w:r>
    </w:p>
    <w:p w14:paraId="382C45F7" w14:textId="77777777" w:rsidR="003F23A2" w:rsidRPr="00A02E00" w:rsidRDefault="003F23A2" w:rsidP="00594986">
      <w:pPr>
        <w:pStyle w:val="Heading3"/>
      </w:pPr>
      <w:r w:rsidRPr="00A02E00">
        <w:t>Recommendation 2</w:t>
      </w:r>
    </w:p>
    <w:p w14:paraId="1584F0E5" w14:textId="77777777" w:rsidR="006B3E52"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The Committee recommends that the Australian Government, in collaboration with the states and territories, work to develop well-informed hepatitis C awareness campaigns targeted at:</w:t>
      </w:r>
    </w:p>
    <w:p w14:paraId="281A44B4" w14:textId="77777777" w:rsidR="006B3E52" w:rsidRDefault="00EC5BA5" w:rsidP="00EC5BA5">
      <w:pPr>
        <w:pBdr>
          <w:top w:val="single" w:sz="4" w:space="1" w:color="auto"/>
          <w:left w:val="single" w:sz="4" w:space="4" w:color="auto"/>
          <w:bottom w:val="single" w:sz="4" w:space="1" w:color="auto"/>
          <w:right w:val="single" w:sz="4" w:space="4" w:color="auto"/>
        </w:pBdr>
        <w:shd w:val="clear" w:color="auto" w:fill="FFFFFF" w:themeFill="background1"/>
        <w:tabs>
          <w:tab w:val="left" w:pos="284"/>
        </w:tabs>
      </w:pPr>
      <w:r>
        <w:rPr>
          <w:i/>
        </w:rPr>
        <w:tab/>
      </w:r>
      <w:r w:rsidR="003F23A2" w:rsidRPr="00594986">
        <w:rPr>
          <w:rStyle w:val="Emphasis"/>
        </w:rPr>
        <w:t>The general community</w:t>
      </w:r>
      <w:r w:rsidR="003F23A2">
        <w:t xml:space="preserve"> to provide information on how hepatit</w:t>
      </w:r>
      <w:r>
        <w:t xml:space="preserve">is C is transmitted, how it can </w:t>
      </w:r>
      <w:r w:rsidR="003F23A2">
        <w:t>be prevented, and how it can be treated;</w:t>
      </w:r>
    </w:p>
    <w:p w14:paraId="12CA7A1F" w14:textId="77777777" w:rsidR="006B3E52" w:rsidRDefault="006B3E52" w:rsidP="00EC5BA5">
      <w:pPr>
        <w:pBdr>
          <w:top w:val="single" w:sz="4" w:space="1" w:color="auto"/>
          <w:left w:val="single" w:sz="4" w:space="4" w:color="auto"/>
          <w:bottom w:val="single" w:sz="4" w:space="1" w:color="auto"/>
          <w:right w:val="single" w:sz="4" w:space="4" w:color="auto"/>
        </w:pBdr>
        <w:shd w:val="clear" w:color="auto" w:fill="FFFFFF" w:themeFill="background1"/>
        <w:tabs>
          <w:tab w:val="left" w:pos="284"/>
        </w:tabs>
      </w:pPr>
      <w:r>
        <w:rPr>
          <w:i/>
        </w:rPr>
        <w:tab/>
      </w:r>
      <w:r w:rsidR="003F23A2" w:rsidRPr="00594986">
        <w:rPr>
          <w:rStyle w:val="Emphasis"/>
        </w:rPr>
        <w:t>Populations at high-risk of hepatitis C infection</w:t>
      </w:r>
      <w:r w:rsidR="003F23A2">
        <w:t>, inform</w:t>
      </w:r>
      <w:r w:rsidR="00EC5BA5">
        <w:t xml:space="preserve">ing them of transmission risks </w:t>
      </w:r>
      <w:r w:rsidR="003F23A2">
        <w:t>prevention strategies, and the availability of voluntary testing;</w:t>
      </w:r>
    </w:p>
    <w:p w14:paraId="7CBBAABC" w14:textId="77777777" w:rsidR="006B3E52" w:rsidRDefault="006B3E52" w:rsidP="00EC5BA5">
      <w:pPr>
        <w:pBdr>
          <w:top w:val="single" w:sz="4" w:space="1" w:color="auto"/>
          <w:left w:val="single" w:sz="4" w:space="4" w:color="auto"/>
          <w:bottom w:val="single" w:sz="4" w:space="1" w:color="auto"/>
          <w:right w:val="single" w:sz="4" w:space="4" w:color="auto"/>
        </w:pBdr>
        <w:shd w:val="clear" w:color="auto" w:fill="FFFFFF" w:themeFill="background1"/>
        <w:tabs>
          <w:tab w:val="left" w:pos="284"/>
        </w:tabs>
      </w:pPr>
      <w:r>
        <w:rPr>
          <w:i/>
        </w:rPr>
        <w:tab/>
      </w:r>
      <w:r w:rsidR="003F23A2" w:rsidRPr="00594986">
        <w:rPr>
          <w:rStyle w:val="Emphasis"/>
        </w:rPr>
        <w:t>People living with hepatitis C</w:t>
      </w:r>
      <w:r w:rsidR="003F23A2">
        <w:t xml:space="preserve"> who have not sought advic</w:t>
      </w:r>
      <w:r w:rsidR="00EC5BA5">
        <w:t xml:space="preserve">e about treatment options since </w:t>
      </w:r>
      <w:r w:rsidR="003F23A2">
        <w:t>their initial diagnosis; and</w:t>
      </w:r>
    </w:p>
    <w:p w14:paraId="4691E655" w14:textId="77777777" w:rsidR="003F23A2" w:rsidRDefault="00EC5BA5" w:rsidP="00EC5BA5">
      <w:pPr>
        <w:pBdr>
          <w:top w:val="single" w:sz="4" w:space="1" w:color="auto"/>
          <w:left w:val="single" w:sz="4" w:space="4" w:color="auto"/>
          <w:bottom w:val="single" w:sz="4" w:space="1" w:color="auto"/>
          <w:right w:val="single" w:sz="4" w:space="4" w:color="auto"/>
        </w:pBdr>
        <w:shd w:val="clear" w:color="auto" w:fill="FFFFFF" w:themeFill="background1"/>
        <w:tabs>
          <w:tab w:val="left" w:pos="284"/>
        </w:tabs>
      </w:pPr>
      <w:r>
        <w:rPr>
          <w:i/>
        </w:rPr>
        <w:tab/>
      </w:r>
      <w:r w:rsidR="003F23A2" w:rsidRPr="00594986">
        <w:rPr>
          <w:rStyle w:val="Emphasis"/>
        </w:rPr>
        <w:t>The wider community</w:t>
      </w:r>
      <w:r w:rsidR="003F23A2">
        <w:t xml:space="preserve"> to highlight the impact of sti</w:t>
      </w:r>
      <w:r>
        <w:t xml:space="preserve">gma on the social and emotional </w:t>
      </w:r>
      <w:r w:rsidR="003F23A2">
        <w:t>wellbeing of people living with hepatitis C and their families.</w:t>
      </w:r>
    </w:p>
    <w:p w14:paraId="663E246B" w14:textId="77777777" w:rsidR="00A02E00" w:rsidRPr="00EC5BA5" w:rsidRDefault="0010779C" w:rsidP="00EC5BA5">
      <w:pPr>
        <w:pStyle w:val="Heading4"/>
      </w:pPr>
      <w:r w:rsidRPr="00EC5BA5">
        <w:lastRenderedPageBreak/>
        <w:t>Australian Government r</w:t>
      </w:r>
      <w:r w:rsidR="0060508B" w:rsidRPr="00EC5BA5">
        <w:t>esponse to R</w:t>
      </w:r>
      <w:r w:rsidR="00A02E00" w:rsidRPr="00EC5BA5">
        <w:t>ecommendation 2</w:t>
      </w:r>
    </w:p>
    <w:p w14:paraId="7907F908" w14:textId="77777777" w:rsidR="003F23A2" w:rsidRDefault="006B3E52" w:rsidP="003F23A2">
      <w:r w:rsidRPr="006B3E52">
        <w:t>Partially Agreed</w:t>
      </w:r>
    </w:p>
    <w:p w14:paraId="41E991C8" w14:textId="77777777" w:rsidR="00496149" w:rsidRPr="00496149" w:rsidRDefault="00496149" w:rsidP="00EC5BA5">
      <w:pPr>
        <w:pStyle w:val="Heading5"/>
      </w:pPr>
      <w:r w:rsidRPr="00496149">
        <w:t>General Community Information Campaign</w:t>
      </w:r>
    </w:p>
    <w:p w14:paraId="388A7275" w14:textId="77777777" w:rsidR="00EE1EC2" w:rsidRDefault="00E85A25" w:rsidP="003F23A2">
      <w:r>
        <w:t xml:space="preserve">A general community </w:t>
      </w:r>
      <w:r w:rsidR="00596BAA">
        <w:t xml:space="preserve">information campaign to </w:t>
      </w:r>
      <w:r w:rsidR="00596BAA" w:rsidRPr="00596BAA">
        <w:t>provide information on how hepatitis C is transmitted, how it can be prevented, and how it can be treated</w:t>
      </w:r>
      <w:r w:rsidR="00596BAA">
        <w:t xml:space="preserve"> is not supported. This type of information is better targeted at those with or at risk of acquiring hepatitis C and </w:t>
      </w:r>
      <w:r w:rsidR="00D85337">
        <w:t>their health care providers. General community information campaigns of this type require a</w:t>
      </w:r>
      <w:r w:rsidR="00596BAA">
        <w:t xml:space="preserve"> signific</w:t>
      </w:r>
      <w:r w:rsidR="00D85337">
        <w:t>ant amount of resources to be</w:t>
      </w:r>
      <w:r w:rsidR="00596BAA">
        <w:t xml:space="preserve"> succe</w:t>
      </w:r>
      <w:r w:rsidR="00D85337">
        <w:t>ssful</w:t>
      </w:r>
      <w:r w:rsidR="00596BAA">
        <w:t>.</w:t>
      </w:r>
      <w:r w:rsidR="00D85337">
        <w:t xml:space="preserve"> A targeted approach w</w:t>
      </w:r>
      <w:r w:rsidR="009A36E7">
        <w:t>ould provide better outcomes from</w:t>
      </w:r>
      <w:r w:rsidR="00D85337">
        <w:t xml:space="preserve"> the resources available.  </w:t>
      </w:r>
    </w:p>
    <w:p w14:paraId="3255D350" w14:textId="77777777" w:rsidR="00496149" w:rsidRPr="00496149" w:rsidRDefault="00496149" w:rsidP="00EC5BA5">
      <w:pPr>
        <w:pStyle w:val="Heading5"/>
      </w:pPr>
      <w:r w:rsidRPr="00496149">
        <w:t>Populations at High-risk of Hepatitis C Infection</w:t>
      </w:r>
    </w:p>
    <w:p w14:paraId="2198719E" w14:textId="77777777" w:rsidR="00CA099B" w:rsidRDefault="00CA099B" w:rsidP="00CA099B">
      <w:r>
        <w:t>T</w:t>
      </w:r>
      <w:r w:rsidRPr="00CA099B">
        <w:t>he former Minis</w:t>
      </w:r>
      <w:r w:rsidR="00E8409C">
        <w:t>ter for Health, the Hon Peter</w:t>
      </w:r>
      <w:r w:rsidRPr="00CA099B">
        <w:t xml:space="preserve"> Dutton MP, approved funding for a Blood Borne Viruses (BBV) and Sexually Transmissible Infections (STI) Prevention Programme (the Prevention Programme).</w:t>
      </w:r>
      <w:r w:rsidR="009A36E7">
        <w:t xml:space="preserve"> </w:t>
      </w:r>
      <w:r>
        <w:t>The aim of the Prevention Programme is to reduce the rate of transmission of viral hepatitis and other BBV</w:t>
      </w:r>
      <w:r w:rsidR="00B14CAB">
        <w:t>.</w:t>
      </w:r>
      <w:r>
        <w:t xml:space="preserve"> In particular</w:t>
      </w:r>
      <w:r w:rsidR="00B14CAB">
        <w:t>, activities are to be undertaken, funded and supported</w:t>
      </w:r>
      <w:r>
        <w:t xml:space="preserve"> to reduce the rates of hepatit</w:t>
      </w:r>
      <w:r w:rsidR="009A36E7">
        <w:t xml:space="preserve">is C in </w:t>
      </w:r>
      <w:r w:rsidR="00E25CD6">
        <w:t xml:space="preserve">populations at high risk of hepatitis C infection, including </w:t>
      </w:r>
      <w:r w:rsidR="009A36E7">
        <w:t>people who inject drugs</w:t>
      </w:r>
      <w:r>
        <w:t>,</w:t>
      </w:r>
      <w:r w:rsidR="001D4A7F">
        <w:t xml:space="preserve"> especially those in rural, </w:t>
      </w:r>
      <w:r>
        <w:t>regional, and</w:t>
      </w:r>
      <w:r w:rsidR="001D4A7F">
        <w:t xml:space="preserve"> </w:t>
      </w:r>
      <w:r>
        <w:t xml:space="preserve">Aboriginal and Torres Strait Islander </w:t>
      </w:r>
      <w:r w:rsidR="00B14CAB">
        <w:t>communities</w:t>
      </w:r>
      <w:r>
        <w:t>.</w:t>
      </w:r>
    </w:p>
    <w:p w14:paraId="704B6DCC" w14:textId="77777777" w:rsidR="00496149" w:rsidRPr="00496149" w:rsidRDefault="00496149" w:rsidP="00EC5BA5">
      <w:pPr>
        <w:pStyle w:val="Heading5"/>
      </w:pPr>
      <w:r w:rsidRPr="00496149">
        <w:t>People Living with Hepatitis C</w:t>
      </w:r>
    </w:p>
    <w:p w14:paraId="18C01C2E" w14:textId="77777777" w:rsidR="00C1121A" w:rsidRDefault="00C1121A" w:rsidP="00CA099B">
      <w:r w:rsidRPr="00C1121A">
        <w:t>The Department of</w:t>
      </w:r>
      <w:r w:rsidR="0046794F">
        <w:t xml:space="preserve"> Health has engaged </w:t>
      </w:r>
      <w:r w:rsidRPr="00C1121A">
        <w:t xml:space="preserve">community based and professional organisations to </w:t>
      </w:r>
      <w:proofErr w:type="gramStart"/>
      <w:r w:rsidRPr="00C1121A">
        <w:t>undertake</w:t>
      </w:r>
      <w:proofErr w:type="gramEnd"/>
      <w:r>
        <w:t xml:space="preserve"> hepatitis C</w:t>
      </w:r>
      <w:r w:rsidRPr="00C1121A">
        <w:t xml:space="preserve"> </w:t>
      </w:r>
      <w:r w:rsidR="0046794F">
        <w:t>e</w:t>
      </w:r>
      <w:r w:rsidR="00EE1EC2">
        <w:t xml:space="preserve">ducation and </w:t>
      </w:r>
      <w:r w:rsidR="0046794F">
        <w:t>awareness activities</w:t>
      </w:r>
      <w:r w:rsidR="009259C3">
        <w:t xml:space="preserve"> </w:t>
      </w:r>
      <w:r w:rsidRPr="00C1121A">
        <w:t>over the per</w:t>
      </w:r>
      <w:r w:rsidR="0046794F">
        <w:t>iod 1 July 2015 to 30 </w:t>
      </w:r>
      <w:r w:rsidR="00A74E64">
        <w:t>June </w:t>
      </w:r>
      <w:r w:rsidR="00EE1EC2">
        <w:t>2017. These education and awareness activities are specifically targeted at people at risk of or living with hepatitis C</w:t>
      </w:r>
      <w:r w:rsidR="001D4A7F">
        <w:t>.</w:t>
      </w:r>
    </w:p>
    <w:p w14:paraId="1D05C7F0" w14:textId="77777777" w:rsidR="0046794F" w:rsidRDefault="0046794F" w:rsidP="00CA099B">
      <w:r>
        <w:t>The a</w:t>
      </w:r>
      <w:r w:rsidR="009259C3">
        <w:t>ctivities</w:t>
      </w:r>
      <w:r w:rsidR="009A36E7">
        <w:t>, funded</w:t>
      </w:r>
      <w:r w:rsidR="00C1121A">
        <w:t xml:space="preserve"> from the Prevention Programme</w:t>
      </w:r>
      <w:r w:rsidR="009A36E7">
        <w:t>, seek</w:t>
      </w:r>
      <w:r w:rsidR="00C1121A">
        <w:t xml:space="preserve"> </w:t>
      </w:r>
      <w:r w:rsidR="00C1121A" w:rsidRPr="00C1121A">
        <w:t xml:space="preserve">to deliver </w:t>
      </w:r>
      <w:r>
        <w:t>hepatitis C education on the</w:t>
      </w:r>
      <w:r w:rsidR="00C1121A" w:rsidRPr="00C1121A">
        <w:t xml:space="preserve"> available testing and treatment options, harm </w:t>
      </w:r>
      <w:r w:rsidR="00B14CAB">
        <w:t>reduction</w:t>
      </w:r>
      <w:r w:rsidR="00C1121A" w:rsidRPr="00C1121A">
        <w:t>, and sti</w:t>
      </w:r>
      <w:r w:rsidR="00C1121A">
        <w:t>gma an</w:t>
      </w:r>
      <w:r>
        <w:t>d discrimination programs. The a</w:t>
      </w:r>
      <w:r w:rsidR="00C1121A">
        <w:t xml:space="preserve">ctivities are </w:t>
      </w:r>
      <w:r w:rsidR="00CA099B">
        <w:t>split between affected communities</w:t>
      </w:r>
      <w:r>
        <w:t xml:space="preserve"> and primary health care providers</w:t>
      </w:r>
      <w:r w:rsidR="00CA099B">
        <w:t>.</w:t>
      </w:r>
    </w:p>
    <w:p w14:paraId="01D3F0A6" w14:textId="77777777" w:rsidR="00496149" w:rsidRPr="00496149" w:rsidRDefault="00496149" w:rsidP="00EC5BA5">
      <w:pPr>
        <w:pStyle w:val="Heading5"/>
      </w:pPr>
      <w:r>
        <w:t xml:space="preserve">A </w:t>
      </w:r>
      <w:r w:rsidRPr="00496149">
        <w:t>Wider Community</w:t>
      </w:r>
      <w:r>
        <w:t xml:space="preserve"> Campaign</w:t>
      </w:r>
    </w:p>
    <w:p w14:paraId="3AC3B518" w14:textId="77777777" w:rsidR="00594986" w:rsidRDefault="00BF32F0" w:rsidP="00594986">
      <w:r>
        <w:t xml:space="preserve">A </w:t>
      </w:r>
      <w:r w:rsidR="00E85A25">
        <w:t xml:space="preserve">wider </w:t>
      </w:r>
      <w:r>
        <w:t xml:space="preserve">community campaign to </w:t>
      </w:r>
      <w:r w:rsidRPr="00BF32F0">
        <w:t xml:space="preserve">highlight the impact of stigma on the social and emotional wellbeing of people living with hepatitis C and their families </w:t>
      </w:r>
      <w:r>
        <w:t xml:space="preserve">is not supported. </w:t>
      </w:r>
      <w:r w:rsidR="00596BAA">
        <w:t xml:space="preserve">To change the wider community’s beliefs and attitudes around hepatitis C will only result from </w:t>
      </w:r>
      <w:r w:rsidR="00D85337">
        <w:t>a</w:t>
      </w:r>
      <w:r w:rsidR="00596BAA">
        <w:t xml:space="preserve"> </w:t>
      </w:r>
      <w:r w:rsidR="00D85337">
        <w:t xml:space="preserve">long-term </w:t>
      </w:r>
      <w:r w:rsidR="00596BAA">
        <w:t>ongoing</w:t>
      </w:r>
      <w:r>
        <w:t xml:space="preserve"> discussion with</w:t>
      </w:r>
      <w:r w:rsidR="00596BAA">
        <w:t>in the community as a whole. Community leaders (including political and cultural leaders) will be pivotal in engaging with the wider community on these issues.</w:t>
      </w:r>
      <w:r w:rsidR="00D85337">
        <w:t xml:space="preserve"> Wider community campaigns of this type require a significant amount</w:t>
      </w:r>
      <w:r w:rsidR="00EE1EC2">
        <w:t xml:space="preserve"> of resources to be successful. </w:t>
      </w:r>
      <w:r w:rsidR="00D85337">
        <w:t xml:space="preserve">A targeted approach </w:t>
      </w:r>
      <w:r w:rsidR="009A36E7">
        <w:t>would provide better outcomes f</w:t>
      </w:r>
      <w:r w:rsidR="00D85337">
        <w:t>r</w:t>
      </w:r>
      <w:r w:rsidR="009A36E7">
        <w:t>om</w:t>
      </w:r>
      <w:r w:rsidR="0060508B">
        <w:t xml:space="preserve"> the resources available.</w:t>
      </w:r>
    </w:p>
    <w:p w14:paraId="01073AAF" w14:textId="77777777" w:rsidR="003F23A2" w:rsidRPr="00E12474" w:rsidRDefault="003F23A2" w:rsidP="00594986">
      <w:pPr>
        <w:pStyle w:val="Heading2"/>
      </w:pPr>
      <w:r w:rsidRPr="00E12474">
        <w:t>Testing and Treatment</w:t>
      </w:r>
    </w:p>
    <w:p w14:paraId="0D62F157" w14:textId="77777777" w:rsidR="003F23A2" w:rsidRPr="00A02E00" w:rsidRDefault="003F23A2" w:rsidP="00594986">
      <w:pPr>
        <w:pStyle w:val="Heading3"/>
      </w:pPr>
      <w:r w:rsidRPr="00A02E00">
        <w:t>Recommendation 3</w:t>
      </w:r>
    </w:p>
    <w:p w14:paraId="27D15F10" w14:textId="77777777" w:rsidR="00A02E00" w:rsidRPr="00A02E00"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The Committee recommends that the Department of Health, in consultation with relevant stakeholders, devise a specific target or targets for hepatitis C testing and report on progress towards reaching the target or targets annually.</w:t>
      </w:r>
    </w:p>
    <w:p w14:paraId="2638C098" w14:textId="77777777" w:rsidR="00A02E00" w:rsidRPr="00EC5BA5" w:rsidRDefault="0010779C" w:rsidP="00EC5BA5">
      <w:pPr>
        <w:pStyle w:val="Heading4"/>
      </w:pPr>
      <w:r w:rsidRPr="00EC5BA5">
        <w:t>Australian Government r</w:t>
      </w:r>
      <w:r w:rsidR="00A02E00" w:rsidRPr="00EC5BA5">
        <w:t xml:space="preserve">esponse to </w:t>
      </w:r>
      <w:r w:rsidR="0060508B" w:rsidRPr="00EC5BA5">
        <w:t>R</w:t>
      </w:r>
      <w:r w:rsidR="00A02E00" w:rsidRPr="00EC5BA5">
        <w:t>ecommendation 3</w:t>
      </w:r>
    </w:p>
    <w:p w14:paraId="6A4145E5" w14:textId="77777777" w:rsidR="00097D31" w:rsidRPr="006B3E52" w:rsidRDefault="00097D31" w:rsidP="003F23A2">
      <w:r w:rsidRPr="006B3E52">
        <w:t>Noted</w:t>
      </w:r>
    </w:p>
    <w:p w14:paraId="65234D00" w14:textId="77777777" w:rsidR="00166CF9" w:rsidRDefault="001A431C" w:rsidP="00820303">
      <w:r>
        <w:t xml:space="preserve">The </w:t>
      </w:r>
      <w:r w:rsidRPr="00594986">
        <w:rPr>
          <w:rStyle w:val="Emphasis"/>
        </w:rPr>
        <w:t>Fourth National Hepatitis C Strategy 2014-2017</w:t>
      </w:r>
      <w:r>
        <w:rPr>
          <w:i/>
        </w:rPr>
        <w:t xml:space="preserve"> </w:t>
      </w:r>
      <w:r w:rsidR="0060344B">
        <w:t>(the Strategy)</w:t>
      </w:r>
      <w:r w:rsidR="009259C3">
        <w:t xml:space="preserve"> contains targets to reduce the incidence of new hepatitis C infections and increase the number of people receiving treatment.</w:t>
      </w:r>
      <w:r w:rsidR="00B14CAB">
        <w:t xml:space="preserve">  These targets were </w:t>
      </w:r>
      <w:r w:rsidR="003A1BDC">
        <w:t>endorsed</w:t>
      </w:r>
      <w:r w:rsidR="00B14CAB">
        <w:t xml:space="preserve"> by Commonwealth and state and territory governments, and community </w:t>
      </w:r>
      <w:r w:rsidR="00B14CAB">
        <w:lastRenderedPageBreak/>
        <w:t>and professional organisations.</w:t>
      </w:r>
      <w:r w:rsidR="009259C3">
        <w:t xml:space="preserve"> The Strategy</w:t>
      </w:r>
      <w:r w:rsidR="0060344B">
        <w:t xml:space="preserve"> </w:t>
      </w:r>
      <w:r>
        <w:t>notes that the</w:t>
      </w:r>
      <w:r w:rsidR="009259C3">
        <w:t>se</w:t>
      </w:r>
      <w:r>
        <w:t xml:space="preserve"> current targets are an initial step, and will be reviewed and updated as necessary. </w:t>
      </w:r>
      <w:r w:rsidR="00801703" w:rsidRPr="008554F7">
        <w:t>The Strategy will be reviewed as part of the development of any new Strategy. The Department of Health will consult with all stakeholders during this process.</w:t>
      </w:r>
    </w:p>
    <w:p w14:paraId="164DE340" w14:textId="77777777" w:rsidR="003F23A2" w:rsidRPr="00A02E00" w:rsidRDefault="003F23A2" w:rsidP="00594986">
      <w:pPr>
        <w:pStyle w:val="Heading3"/>
      </w:pPr>
      <w:r w:rsidRPr="00A02E00">
        <w:t>Recommendation 4</w:t>
      </w:r>
    </w:p>
    <w:p w14:paraId="4513D774" w14:textId="77777777" w:rsidR="00D411EB"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 xml:space="preserve">The Committee recommends that the Department of Health consider the ways in which rapid point of care testing (RPOCT) can assist in implementing the goals of the </w:t>
      </w:r>
      <w:r w:rsidRPr="003F23A2">
        <w:rPr>
          <w:i/>
        </w:rPr>
        <w:t>Fourth National Hepatitis C Strategy</w:t>
      </w:r>
      <w:r>
        <w:t xml:space="preserve"> and the </w:t>
      </w:r>
      <w:r w:rsidRPr="003F23A2">
        <w:rPr>
          <w:i/>
        </w:rPr>
        <w:t>National Hepatitis C Testing Policy</w:t>
      </w:r>
      <w:r>
        <w:t>.</w:t>
      </w:r>
    </w:p>
    <w:p w14:paraId="253D68BD" w14:textId="77777777" w:rsidR="00A02E00" w:rsidRPr="00EC5BA5" w:rsidRDefault="0010779C" w:rsidP="00EC5BA5">
      <w:pPr>
        <w:pStyle w:val="Heading4"/>
      </w:pPr>
      <w:r w:rsidRPr="00EC5BA5">
        <w:t>Australian Government r</w:t>
      </w:r>
      <w:r w:rsidR="00A02E00" w:rsidRPr="00EC5BA5">
        <w:t xml:space="preserve">esponse to </w:t>
      </w:r>
      <w:r w:rsidR="0060508B" w:rsidRPr="00EC5BA5">
        <w:t>R</w:t>
      </w:r>
      <w:r w:rsidR="00A02E00" w:rsidRPr="00EC5BA5">
        <w:t>ecommendation 4</w:t>
      </w:r>
    </w:p>
    <w:p w14:paraId="3FE7EE35" w14:textId="77777777" w:rsidR="00C777CF" w:rsidRPr="006B3E52" w:rsidRDefault="00C777CF" w:rsidP="003F23A2">
      <w:r w:rsidRPr="006B3E52">
        <w:t>Noted</w:t>
      </w:r>
    </w:p>
    <w:p w14:paraId="3FAA2F09" w14:textId="77777777" w:rsidR="00F06380" w:rsidRDefault="00C777CF" w:rsidP="003F23A2">
      <w:r>
        <w:t>There are currently no rapid point of care tests for hepatitis C registered on the Australian Register of Therapeutic Goods</w:t>
      </w:r>
      <w:r w:rsidR="008E7874">
        <w:t xml:space="preserve"> (ARTG)</w:t>
      </w:r>
      <w:r>
        <w:t xml:space="preserve">. </w:t>
      </w:r>
      <w:r w:rsidR="008E7874" w:rsidRPr="008E7874">
        <w:t>These or similar tests may be approved for entry on the ARTG in</w:t>
      </w:r>
      <w:r w:rsidR="009259C3">
        <w:t xml:space="preserve"> the future if a sponsor</w:t>
      </w:r>
      <w:r w:rsidR="008E7874" w:rsidRPr="008E7874">
        <w:t xml:space="preserve"> of the tests make</w:t>
      </w:r>
      <w:r w:rsidR="00E8409C">
        <w:t>s</w:t>
      </w:r>
      <w:r w:rsidR="008E7874" w:rsidRPr="008E7874">
        <w:t xml:space="preserve"> </w:t>
      </w:r>
      <w:r w:rsidR="009259C3">
        <w:t xml:space="preserve">an </w:t>
      </w:r>
      <w:r w:rsidR="008E7874" w:rsidRPr="008E7874">
        <w:t xml:space="preserve">application to the </w:t>
      </w:r>
      <w:r w:rsidR="008E7874">
        <w:t>Therapeutic Goods Administration (</w:t>
      </w:r>
      <w:r w:rsidR="008E7874" w:rsidRPr="008E7874">
        <w:t>TGA</w:t>
      </w:r>
      <w:r w:rsidR="008E7874">
        <w:t>)</w:t>
      </w:r>
      <w:r w:rsidR="009259C3">
        <w:t xml:space="preserve"> and the tests meet</w:t>
      </w:r>
      <w:r w:rsidR="008E7874" w:rsidRPr="008E7874">
        <w:t xml:space="preserve"> Australian regulatory requirements.</w:t>
      </w:r>
      <w:r w:rsidR="008E7874">
        <w:t xml:space="preserve"> </w:t>
      </w:r>
      <w:r w:rsidR="008E7874" w:rsidRPr="008E7874">
        <w:t>Shou</w:t>
      </w:r>
      <w:r w:rsidR="008E7874">
        <w:t xml:space="preserve">ld one or more of these </w:t>
      </w:r>
      <w:r w:rsidR="008E7874" w:rsidRPr="008E7874">
        <w:t>tests be approved f</w:t>
      </w:r>
      <w:r w:rsidR="008E7874">
        <w:t>or entry on the ARTG, they could</w:t>
      </w:r>
      <w:r w:rsidR="00436B6F">
        <w:t xml:space="preserve"> find a niche in hepatitis C</w:t>
      </w:r>
      <w:r w:rsidR="008E7874" w:rsidRPr="008E7874">
        <w:t xml:space="preserve"> testing in Australia as they offer an opportunity for testing of people who may </w:t>
      </w:r>
      <w:r w:rsidR="00E85A25">
        <w:t xml:space="preserve">not otherwise </w:t>
      </w:r>
      <w:r w:rsidR="008E7874" w:rsidRPr="008E7874">
        <w:t>seek help from traditional med</w:t>
      </w:r>
      <w:r w:rsidR="008E7874">
        <w:t xml:space="preserve">ical settings. </w:t>
      </w:r>
      <w:r w:rsidR="00436B6F">
        <w:t>However, i</w:t>
      </w:r>
      <w:r w:rsidR="008E7874">
        <w:t xml:space="preserve">t is difficult to predict when a sponsor may approach the TGA for application to list a rapid test on the ARTG, so </w:t>
      </w:r>
      <w:r w:rsidR="00436B6F">
        <w:t>undertaking</w:t>
      </w:r>
      <w:r w:rsidR="008E7874">
        <w:t xml:space="preserve"> the work required to integrate them into c</w:t>
      </w:r>
      <w:r w:rsidR="009259C3">
        <w:t xml:space="preserve">urrent testing regimes would </w:t>
      </w:r>
      <w:r w:rsidR="008E7874">
        <w:t>not be</w:t>
      </w:r>
      <w:r w:rsidR="00757A69">
        <w:t xml:space="preserve"> </w:t>
      </w:r>
      <w:r w:rsidR="00E85A25">
        <w:t>an effective use of resources</w:t>
      </w:r>
      <w:r w:rsidR="00757A69">
        <w:t xml:space="preserve"> at this time</w:t>
      </w:r>
      <w:r w:rsidR="008E7874">
        <w:t xml:space="preserve">. </w:t>
      </w:r>
      <w:r w:rsidR="00E85A25">
        <w:t xml:space="preserve">It may </w:t>
      </w:r>
      <w:r w:rsidR="00E8409C">
        <w:t>be a more opportune</w:t>
      </w:r>
      <w:r w:rsidR="008E7874">
        <w:t xml:space="preserve"> to develop </w:t>
      </w:r>
      <w:r w:rsidR="00436B6F">
        <w:t xml:space="preserve">the </w:t>
      </w:r>
      <w:r w:rsidR="008E7874">
        <w:t>testing strategies</w:t>
      </w:r>
      <w:r w:rsidR="00436B6F">
        <w:t xml:space="preserve"> and models of care </w:t>
      </w:r>
      <w:r w:rsidR="008E7874">
        <w:t>required to allow these</w:t>
      </w:r>
      <w:r w:rsidR="00436B6F">
        <w:t xml:space="preserve"> test</w:t>
      </w:r>
      <w:r w:rsidR="00E8409C">
        <w:t>s</w:t>
      </w:r>
      <w:r w:rsidR="00436B6F">
        <w:t xml:space="preserve"> to be integrated into testing regimes concurrently</w:t>
      </w:r>
      <w:r w:rsidR="00E8409C">
        <w:t>,</w:t>
      </w:r>
      <w:r w:rsidR="00436B6F">
        <w:t xml:space="preserve"> with the listing process. </w:t>
      </w:r>
    </w:p>
    <w:p w14:paraId="7EDB468E" w14:textId="77777777" w:rsidR="003F23A2" w:rsidRPr="00A02E00" w:rsidRDefault="003F23A2" w:rsidP="00594986">
      <w:pPr>
        <w:pStyle w:val="Heading3"/>
      </w:pPr>
      <w:r w:rsidRPr="00A02E00">
        <w:t>Recommendation 5</w:t>
      </w:r>
    </w:p>
    <w:p w14:paraId="3D2EB111" w14:textId="77777777" w:rsidR="00A02E00" w:rsidRPr="00A02E00"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That the Department of Health work with the Royal Australian College of General Practitioners and liver clinics to examine appropriate information provision, treatment processes, and patient counselling for people diagnosed with hepatitis C.</w:t>
      </w:r>
    </w:p>
    <w:p w14:paraId="434BC034" w14:textId="77777777" w:rsidR="00A02E00" w:rsidRPr="00EC5BA5" w:rsidRDefault="0010779C" w:rsidP="00EC5BA5">
      <w:pPr>
        <w:pStyle w:val="Heading4"/>
      </w:pPr>
      <w:r w:rsidRPr="00EC5BA5">
        <w:t>Australian Government r</w:t>
      </w:r>
      <w:r w:rsidR="0060508B" w:rsidRPr="00EC5BA5">
        <w:t>esponse to R</w:t>
      </w:r>
      <w:r w:rsidR="00A02E00" w:rsidRPr="00EC5BA5">
        <w:t>ecommendation 5</w:t>
      </w:r>
    </w:p>
    <w:p w14:paraId="4C195B5D" w14:textId="77777777" w:rsidR="006B3E52" w:rsidRDefault="00BC04EE" w:rsidP="003F23A2">
      <w:r>
        <w:t xml:space="preserve">Partially </w:t>
      </w:r>
      <w:r w:rsidR="00944FA6" w:rsidRPr="006B3E52">
        <w:t>Agreed</w:t>
      </w:r>
    </w:p>
    <w:p w14:paraId="03D2DBC6" w14:textId="77777777" w:rsidR="00624A31" w:rsidRPr="00624A31" w:rsidRDefault="00BC04EE" w:rsidP="00624A31">
      <w:r>
        <w:t>T</w:t>
      </w:r>
      <w:r w:rsidR="00624A31" w:rsidRPr="00624A31">
        <w:t>he Department of Health has engaged a professional organisation to develop and deliver hepatitis C education and awareness activities</w:t>
      </w:r>
      <w:r w:rsidR="00E8409C">
        <w:t xml:space="preserve"> to primary health care providers</w:t>
      </w:r>
      <w:r w:rsidR="00624A31" w:rsidRPr="00624A31">
        <w:t>, including available testing, treatment options and barriers people with hepatitis experience when navigating the health c</w:t>
      </w:r>
      <w:r w:rsidR="00E8409C">
        <w:t>are system</w:t>
      </w:r>
      <w:r w:rsidR="00624A31" w:rsidRPr="00624A31">
        <w:t>. P</w:t>
      </w:r>
      <w:r w:rsidR="00624A31">
        <w:t>rimary health care providers</w:t>
      </w:r>
      <w:r w:rsidR="00624A31" w:rsidRPr="00624A31">
        <w:t xml:space="preserve"> who become involved in pres</w:t>
      </w:r>
      <w:r w:rsidR="00624A31">
        <w:t>cribing and dispensing the new h</w:t>
      </w:r>
      <w:r w:rsidR="00624A31" w:rsidRPr="00624A31">
        <w:t xml:space="preserve">epatitis C medicines </w:t>
      </w:r>
      <w:r w:rsidR="003237BD">
        <w:t xml:space="preserve">are </w:t>
      </w:r>
      <w:r w:rsidR="00624A31" w:rsidRPr="00624A31">
        <w:t>able to access this education programme. The resources developed will also be available to a wider audie</w:t>
      </w:r>
      <w:r w:rsidR="00624A31">
        <w:t>nce of health care providers</w:t>
      </w:r>
      <w:r w:rsidR="00624A31" w:rsidRPr="00624A31">
        <w:t xml:space="preserve"> who wish to be better informed on hepatitis C testing and treatment options.</w:t>
      </w:r>
    </w:p>
    <w:p w14:paraId="4B45FE5D" w14:textId="77777777" w:rsidR="003F23A2" w:rsidRPr="00594986" w:rsidRDefault="003F23A2" w:rsidP="00594986">
      <w:pPr>
        <w:pStyle w:val="Heading2"/>
      </w:pPr>
      <w:r w:rsidRPr="00594986">
        <w:t>Reaching Populations at High Risk of Infection</w:t>
      </w:r>
    </w:p>
    <w:p w14:paraId="573C21E8" w14:textId="77777777" w:rsidR="003F23A2" w:rsidRPr="00A02E00" w:rsidRDefault="003F23A2" w:rsidP="00594986">
      <w:pPr>
        <w:pStyle w:val="Heading3"/>
      </w:pPr>
      <w:r w:rsidRPr="00A02E00">
        <w:t>Recommendation 6</w:t>
      </w:r>
    </w:p>
    <w:p w14:paraId="38ED9F3E" w14:textId="77777777" w:rsidR="00A02E00"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The Committee recommends that the Department of Health work with States and Territories to produce culturally and linguistically specific information for migrant groups with higher rates of hepatitis C infection to inform them about hepatitis C including: transmission methods, testing and treatment options.</w:t>
      </w:r>
    </w:p>
    <w:p w14:paraId="0F02DED3" w14:textId="77777777" w:rsidR="00A02E00" w:rsidRPr="00EC5BA5" w:rsidRDefault="0010779C" w:rsidP="00EC5BA5">
      <w:pPr>
        <w:pStyle w:val="Heading4"/>
      </w:pPr>
      <w:r w:rsidRPr="00EC5BA5">
        <w:t>Australian Government r</w:t>
      </w:r>
      <w:r w:rsidR="00A02E00" w:rsidRPr="00EC5BA5">
        <w:t xml:space="preserve">esponse to </w:t>
      </w:r>
      <w:r w:rsidR="0060508B" w:rsidRPr="00EC5BA5">
        <w:t>R</w:t>
      </w:r>
      <w:r w:rsidR="00A02E00" w:rsidRPr="00EC5BA5">
        <w:t>ecommendation 6</w:t>
      </w:r>
    </w:p>
    <w:p w14:paraId="7C2AFB32" w14:textId="77777777" w:rsidR="009805B2" w:rsidRPr="006B3E52" w:rsidRDefault="009805B2" w:rsidP="009805B2">
      <w:r w:rsidRPr="006B3E52">
        <w:t>Agreed</w:t>
      </w:r>
    </w:p>
    <w:p w14:paraId="17F3B65C" w14:textId="77777777" w:rsidR="00820303" w:rsidRDefault="00BC04EE" w:rsidP="003F23A2">
      <w:r>
        <w:lastRenderedPageBreak/>
        <w:t>T</w:t>
      </w:r>
      <w:r w:rsidR="009805B2" w:rsidRPr="009805B2">
        <w:t xml:space="preserve">he </w:t>
      </w:r>
      <w:r w:rsidR="009279BB">
        <w:t>De</w:t>
      </w:r>
      <w:r w:rsidR="00A7103C">
        <w:t xml:space="preserve">partment of Health has engaged </w:t>
      </w:r>
      <w:r w:rsidR="003A1BDC">
        <w:t xml:space="preserve">a professional organisation </w:t>
      </w:r>
      <w:r w:rsidR="001D4A7F">
        <w:t xml:space="preserve">to </w:t>
      </w:r>
      <w:r w:rsidR="00A7103C">
        <w:t xml:space="preserve">develop and </w:t>
      </w:r>
      <w:r w:rsidR="009805B2">
        <w:t xml:space="preserve">deliver </w:t>
      </w:r>
      <w:r w:rsidR="00150535">
        <w:t xml:space="preserve">hepatitis C </w:t>
      </w:r>
      <w:r w:rsidR="009805B2">
        <w:t>awar</w:t>
      </w:r>
      <w:r w:rsidR="00150535">
        <w:t xml:space="preserve">eness activities </w:t>
      </w:r>
      <w:r w:rsidR="009805B2">
        <w:t xml:space="preserve">to priority populations. The awareness activities aims to deliver general </w:t>
      </w:r>
      <w:r w:rsidR="00150535">
        <w:t>hepatitis C education on the</w:t>
      </w:r>
      <w:r w:rsidR="009805B2">
        <w:t xml:space="preserve"> available testing and treatment options, harm reduction, and stigma and discrimination programs. These activities will increase the number of people from priority p</w:t>
      </w:r>
      <w:r w:rsidR="009279BB">
        <w:t>opulations</w:t>
      </w:r>
      <w:r w:rsidR="001D4A7F">
        <w:t>,</w:t>
      </w:r>
      <w:r w:rsidR="009279BB">
        <w:t xml:space="preserve"> </w:t>
      </w:r>
      <w:r w:rsidR="00150535">
        <w:t xml:space="preserve">including PWID from culturally and linguistically diverse communities who are </w:t>
      </w:r>
      <w:r w:rsidR="009805B2">
        <w:t>living with or at risk of hepatitis C</w:t>
      </w:r>
      <w:r w:rsidR="00237DFD">
        <w:t>, who will</w:t>
      </w:r>
      <w:r w:rsidR="009805B2">
        <w:t xml:space="preserve"> engage with the health care system.</w:t>
      </w:r>
    </w:p>
    <w:p w14:paraId="7BA7B15F" w14:textId="77777777" w:rsidR="003F23A2" w:rsidRPr="00A02E00" w:rsidRDefault="003F23A2" w:rsidP="00594986">
      <w:pPr>
        <w:pStyle w:val="Heading3"/>
      </w:pPr>
      <w:r w:rsidRPr="00A02E00">
        <w:t>Recommendation 7</w:t>
      </w:r>
    </w:p>
    <w:p w14:paraId="6B4C946D" w14:textId="77777777" w:rsidR="003F23A2"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The Committee recommends that the Department of Health work with States and Territories to develop strategies to address the high prevalence rates of hepatitis C in the Aboriginal and Torres Strait Islander population.</w:t>
      </w:r>
    </w:p>
    <w:p w14:paraId="73E710CE" w14:textId="77777777" w:rsidR="00A02E00" w:rsidRPr="00EC5BA5" w:rsidRDefault="0010779C" w:rsidP="00EC5BA5">
      <w:pPr>
        <w:pStyle w:val="Heading4"/>
      </w:pPr>
      <w:r w:rsidRPr="00EC5BA5">
        <w:t>Australian Government r</w:t>
      </w:r>
      <w:r w:rsidR="00A02E00" w:rsidRPr="00EC5BA5">
        <w:t xml:space="preserve">esponse to </w:t>
      </w:r>
      <w:r w:rsidR="0060508B" w:rsidRPr="00EC5BA5">
        <w:t>R</w:t>
      </w:r>
      <w:r w:rsidR="00A02E00" w:rsidRPr="00EC5BA5">
        <w:t>ecommendation 7</w:t>
      </w:r>
    </w:p>
    <w:p w14:paraId="027CAEBE" w14:textId="77777777" w:rsidR="00A7103C" w:rsidRPr="006B3E52" w:rsidRDefault="00A7103C" w:rsidP="00A7103C">
      <w:r w:rsidRPr="006B3E52">
        <w:t>Agreed</w:t>
      </w:r>
    </w:p>
    <w:p w14:paraId="044864E7" w14:textId="77777777" w:rsidR="00A7103C" w:rsidRDefault="00BC04EE" w:rsidP="003F23A2">
      <w:r>
        <w:t>T</w:t>
      </w:r>
      <w:r w:rsidR="00A7103C" w:rsidRPr="009805B2">
        <w:t xml:space="preserve">he </w:t>
      </w:r>
      <w:r w:rsidR="00A7103C">
        <w:t xml:space="preserve">Department of Health has engaged </w:t>
      </w:r>
      <w:r w:rsidR="003A1BDC">
        <w:t xml:space="preserve">professional organisations </w:t>
      </w:r>
      <w:r w:rsidR="00A7103C">
        <w:t xml:space="preserve">to </w:t>
      </w:r>
      <w:r w:rsidR="004A2727">
        <w:t>develop and deliver hepatitis C awareness raising activities to p</w:t>
      </w:r>
      <w:r w:rsidR="00624A31">
        <w:t>rimary health care providers</w:t>
      </w:r>
      <w:r w:rsidR="004A2727">
        <w:t xml:space="preserve"> and priority populations, including Aboriginal and</w:t>
      </w:r>
      <w:r w:rsidR="00663A3C">
        <w:t xml:space="preserve"> Torres Strait Islander people.</w:t>
      </w:r>
    </w:p>
    <w:p w14:paraId="68539609" w14:textId="77777777" w:rsidR="007160F6" w:rsidRDefault="005B20CB" w:rsidP="003F23A2">
      <w:r>
        <w:t>In addition, a</w:t>
      </w:r>
      <w:r w:rsidR="003B438C">
        <w:t xml:space="preserve">s </w:t>
      </w:r>
      <w:r>
        <w:t>Aboriginal</w:t>
      </w:r>
      <w:r w:rsidR="003B438C">
        <w:t xml:space="preserve"> and Torres Strait Islander people in custodial settings are a priority population within the </w:t>
      </w:r>
      <w:r w:rsidR="003B438C" w:rsidRPr="00594986">
        <w:rPr>
          <w:rStyle w:val="Emphasis"/>
        </w:rPr>
        <w:t>Fourth National Aboriginal and Torres Strait Islander BBV and STI Strategy 2014-2017</w:t>
      </w:r>
      <w:r w:rsidR="00150535">
        <w:t>, t</w:t>
      </w:r>
      <w:r w:rsidR="003B438C">
        <w:t>he implementation of the priority actions contained within this strategy will also contribute to addressing the high prevalence rates of hepatitis C in this population.</w:t>
      </w:r>
    </w:p>
    <w:p w14:paraId="69AFB6DE" w14:textId="77777777" w:rsidR="003F23A2" w:rsidRPr="007160F6" w:rsidRDefault="003F23A2" w:rsidP="00594986">
      <w:pPr>
        <w:pStyle w:val="Heading3"/>
      </w:pPr>
      <w:r w:rsidRPr="007160F6">
        <w:t>Recommendation 8</w:t>
      </w:r>
    </w:p>
    <w:p w14:paraId="15074AE0" w14:textId="77777777" w:rsidR="006B3E52"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The Committee recommends that the Department of Health work with State and Territory health and corrections agencies to:</w:t>
      </w:r>
    </w:p>
    <w:p w14:paraId="53D04040" w14:textId="77777777" w:rsidR="003F23A2" w:rsidRDefault="00EC5BA5" w:rsidP="00EC5BA5">
      <w:pPr>
        <w:pBdr>
          <w:top w:val="single" w:sz="4" w:space="1" w:color="auto"/>
          <w:left w:val="single" w:sz="4" w:space="4" w:color="auto"/>
          <w:bottom w:val="single" w:sz="4" w:space="1" w:color="auto"/>
          <w:right w:val="single" w:sz="4" w:space="4" w:color="auto"/>
        </w:pBdr>
        <w:shd w:val="clear" w:color="auto" w:fill="FFFFFF" w:themeFill="background1"/>
        <w:tabs>
          <w:tab w:val="left" w:pos="284"/>
        </w:tabs>
      </w:pPr>
      <w:r>
        <w:tab/>
      </w:r>
      <w:proofErr w:type="gramStart"/>
      <w:r w:rsidR="003F23A2">
        <w:t>develop</w:t>
      </w:r>
      <w:proofErr w:type="gramEnd"/>
      <w:r w:rsidR="003F23A2">
        <w:t xml:space="preserve"> a standard approach to data collection and reporting of prisoner health in custodial settings; and</w:t>
      </w:r>
    </w:p>
    <w:p w14:paraId="773DBF06" w14:textId="77777777" w:rsidR="006B3E52" w:rsidRPr="006B3E52" w:rsidRDefault="00EC5BA5" w:rsidP="00EC5BA5">
      <w:pPr>
        <w:pBdr>
          <w:top w:val="single" w:sz="4" w:space="1" w:color="auto"/>
          <w:left w:val="single" w:sz="4" w:space="4" w:color="auto"/>
          <w:bottom w:val="single" w:sz="4" w:space="1" w:color="auto"/>
          <w:right w:val="single" w:sz="4" w:space="4" w:color="auto"/>
        </w:pBdr>
        <w:shd w:val="clear" w:color="auto" w:fill="FFFFFF" w:themeFill="background1"/>
        <w:tabs>
          <w:tab w:val="left" w:pos="284"/>
        </w:tabs>
      </w:pPr>
      <w:r>
        <w:tab/>
      </w:r>
      <w:proofErr w:type="gramStart"/>
      <w:r w:rsidR="003F23A2">
        <w:t>give</w:t>
      </w:r>
      <w:proofErr w:type="gramEnd"/>
      <w:r w:rsidR="003F23A2">
        <w:t xml:space="preserve"> consideration to the provision of support for safe tattooing, barbering and any other legal practices which may present a risk of hepatitis C transmission in custodial settings.</w:t>
      </w:r>
    </w:p>
    <w:p w14:paraId="16D638FA" w14:textId="77777777" w:rsidR="007160F6" w:rsidRPr="00EC5BA5" w:rsidRDefault="0010779C" w:rsidP="00EC5BA5">
      <w:pPr>
        <w:pStyle w:val="Heading4"/>
      </w:pPr>
      <w:r w:rsidRPr="00EC5BA5">
        <w:t>Australian Government r</w:t>
      </w:r>
      <w:r w:rsidR="0060508B" w:rsidRPr="00EC5BA5">
        <w:t>esponse to R</w:t>
      </w:r>
      <w:r w:rsidR="007160F6" w:rsidRPr="00EC5BA5">
        <w:t>ecommendation 8</w:t>
      </w:r>
    </w:p>
    <w:p w14:paraId="33548299" w14:textId="77777777" w:rsidR="006106C7" w:rsidRPr="006B3E52" w:rsidRDefault="00F83C17" w:rsidP="006106C7">
      <w:r w:rsidRPr="006B3E52">
        <w:t>Agreed in-</w:t>
      </w:r>
      <w:r w:rsidR="006106C7" w:rsidRPr="006B3E52">
        <w:t>principle</w:t>
      </w:r>
    </w:p>
    <w:p w14:paraId="4C22EEC3" w14:textId="77777777" w:rsidR="006106C7" w:rsidRDefault="006106C7" w:rsidP="00690F96">
      <w:r>
        <w:t xml:space="preserve">The Australian Institute of Health and Welfare (AIHW) </w:t>
      </w:r>
      <w:r w:rsidR="00690F96">
        <w:t xml:space="preserve">publishes </w:t>
      </w:r>
      <w:proofErr w:type="gramStart"/>
      <w:r w:rsidR="00690F96" w:rsidRPr="00690F96">
        <w:rPr>
          <w:i/>
        </w:rPr>
        <w:t>The</w:t>
      </w:r>
      <w:proofErr w:type="gramEnd"/>
      <w:r w:rsidR="00690F96" w:rsidRPr="00690F96">
        <w:rPr>
          <w:i/>
        </w:rPr>
        <w:t xml:space="preserve"> health of Australia’s prisoners </w:t>
      </w:r>
      <w:r w:rsidR="00690F96">
        <w:t xml:space="preserve">report (the report). The </w:t>
      </w:r>
      <w:r w:rsidR="00B602D6">
        <w:t>4th</w:t>
      </w:r>
      <w:r w:rsidR="00690F96">
        <w:t xml:space="preserve"> report, rel</w:t>
      </w:r>
      <w:r w:rsidR="0056519B">
        <w:t>eased in 20</w:t>
      </w:r>
      <w:r w:rsidR="00690F96">
        <w:t>1</w:t>
      </w:r>
      <w:r w:rsidR="00B602D6">
        <w:t>5</w:t>
      </w:r>
      <w:r w:rsidR="00690F96">
        <w:t>, relates to the National Prisoner Health Indicators, which were developed to help monitor the health of prisoners, and to inform and evaluate the planning, delivery and quality of prisoner health services. Data for the report is derived from the National Prisone</w:t>
      </w:r>
      <w:r w:rsidR="00305B17">
        <w:t>r Health Data Collection</w:t>
      </w:r>
      <w:r w:rsidR="00690F96">
        <w:t xml:space="preserve"> whic</w:t>
      </w:r>
      <w:r w:rsidR="00FC1FD3">
        <w:t xml:space="preserve">h was designed to monitor </w:t>
      </w:r>
      <w:r w:rsidR="00690F96">
        <w:t>11</w:t>
      </w:r>
      <w:r w:rsidR="00B602D6">
        <w:t>6</w:t>
      </w:r>
      <w:r w:rsidR="00690F96">
        <w:t xml:space="preserve"> indicators which are aligned to the National Health Performance Framework</w:t>
      </w:r>
      <w:r w:rsidR="00FC1FD3">
        <w:t>,</w:t>
      </w:r>
      <w:r w:rsidR="00690F96">
        <w:t xml:space="preserve"> and </w:t>
      </w:r>
      <w:r w:rsidR="006658C9">
        <w:t xml:space="preserve">from </w:t>
      </w:r>
      <w:r w:rsidR="00690F96">
        <w:t>the Australian Bureau</w:t>
      </w:r>
      <w:r w:rsidR="0056519B">
        <w:t xml:space="preserve"> of Statistics. The 11</w:t>
      </w:r>
      <w:r w:rsidR="00B602D6">
        <w:t>6</w:t>
      </w:r>
      <w:r w:rsidR="0056519B">
        <w:t xml:space="preserve"> indicators include </w:t>
      </w:r>
      <w:r w:rsidR="00C44A9A">
        <w:t>rates of blood borne viruses and injecting drug use.</w:t>
      </w:r>
      <w:r w:rsidR="005C2AFD">
        <w:t xml:space="preserve"> The Department of Health will engage with the AIHW and state and territory health and correctional agencies on f</w:t>
      </w:r>
      <w:r w:rsidR="00663A3C">
        <w:t>uture iterations of the report.</w:t>
      </w:r>
    </w:p>
    <w:p w14:paraId="732E9E1B" w14:textId="77777777" w:rsidR="00663A3C" w:rsidRDefault="0069690B" w:rsidP="003F23A2">
      <w:r>
        <w:t>The administration of custodial settings is a state and territory responsibility. Any policy changes to do with the provision of tattooing and barbering equipment or legal practices which may prevent the risk of hepatitis C transmission in custodial settings is a matter for state and territory government</w:t>
      </w:r>
      <w:r w:rsidR="00663A3C">
        <w:t>s.</w:t>
      </w:r>
    </w:p>
    <w:p w14:paraId="5E7467E5" w14:textId="77777777" w:rsidR="003F23A2" w:rsidRPr="007160F6" w:rsidRDefault="003F23A2" w:rsidP="00EC5BA5">
      <w:pPr>
        <w:keepNext/>
        <w:keepLines/>
        <w:pageBreakBefore/>
        <w:pBdr>
          <w:top w:val="single" w:sz="4" w:space="1" w:color="auto"/>
          <w:left w:val="single" w:sz="4" w:space="4" w:color="auto"/>
          <w:bottom w:val="single" w:sz="4" w:space="1" w:color="auto"/>
          <w:right w:val="single" w:sz="4" w:space="4" w:color="auto"/>
        </w:pBdr>
        <w:shd w:val="clear" w:color="auto" w:fill="FFFFFF" w:themeFill="background1"/>
        <w:rPr>
          <w:b/>
        </w:rPr>
      </w:pPr>
      <w:bookmarkStart w:id="0" w:name="_GoBack"/>
      <w:bookmarkEnd w:id="0"/>
      <w:r w:rsidRPr="007160F6">
        <w:rPr>
          <w:b/>
        </w:rPr>
        <w:lastRenderedPageBreak/>
        <w:t>Recommendation 9</w:t>
      </w:r>
    </w:p>
    <w:p w14:paraId="32C2A039" w14:textId="77777777" w:rsidR="003F23A2"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The Committee recommends that a national strategy for blood-borne viruses and sexually transmissible infections in prisons be developed. The strategy should accompany and support the five existing jurisdictional strategies and be developed, implemented, reviewed and assessed in the same way.</w:t>
      </w:r>
    </w:p>
    <w:p w14:paraId="6F8970FD" w14:textId="77777777" w:rsidR="007160F6" w:rsidRPr="00EC5BA5" w:rsidRDefault="0010779C" w:rsidP="00EC5BA5">
      <w:pPr>
        <w:pStyle w:val="Heading4"/>
      </w:pPr>
      <w:r w:rsidRPr="00EC5BA5">
        <w:t>Australian Government r</w:t>
      </w:r>
      <w:r w:rsidR="0060508B" w:rsidRPr="00EC5BA5">
        <w:t>esponse to R</w:t>
      </w:r>
      <w:r w:rsidR="007160F6" w:rsidRPr="00EC5BA5">
        <w:t>ecommendation 9</w:t>
      </w:r>
    </w:p>
    <w:p w14:paraId="06C0824A" w14:textId="77777777" w:rsidR="00B43251" w:rsidRPr="0010779C" w:rsidRDefault="00B43251" w:rsidP="00B43251">
      <w:r w:rsidRPr="0010779C">
        <w:t>Not Agreed</w:t>
      </w:r>
    </w:p>
    <w:p w14:paraId="22530569" w14:textId="77777777" w:rsidR="00FA7E8D" w:rsidRDefault="00553214" w:rsidP="003F23A2">
      <w:r w:rsidRPr="009A36E7">
        <w:t>People</w:t>
      </w:r>
      <w:r>
        <w:t xml:space="preserve"> in custodial settings</w:t>
      </w:r>
      <w:r w:rsidR="00AE306D">
        <w:t xml:space="preserve"> are a priority population within the </w:t>
      </w:r>
      <w:r w:rsidR="00AE306D" w:rsidRPr="00663A3C">
        <w:rPr>
          <w:rStyle w:val="Emphasis"/>
        </w:rPr>
        <w:t>Fourth National Hepatitis C Strategy 2014-2017</w:t>
      </w:r>
      <w:r w:rsidR="0060344B">
        <w:rPr>
          <w:i/>
        </w:rPr>
        <w:t xml:space="preserve"> </w:t>
      </w:r>
      <w:r w:rsidR="0060344B">
        <w:t>(</w:t>
      </w:r>
      <w:r w:rsidR="0060344B" w:rsidRPr="0060344B">
        <w:t>as well as the</w:t>
      </w:r>
      <w:r w:rsidR="0060344B">
        <w:rPr>
          <w:i/>
        </w:rPr>
        <w:t xml:space="preserve"> </w:t>
      </w:r>
      <w:r w:rsidR="0060344B">
        <w:t xml:space="preserve">other </w:t>
      </w:r>
      <w:r w:rsidR="002C0882">
        <w:t xml:space="preserve">four </w:t>
      </w:r>
      <w:r w:rsidR="0060344B">
        <w:t>national BBV and STI strategies)</w:t>
      </w:r>
      <w:r w:rsidR="0060344B">
        <w:rPr>
          <w:i/>
        </w:rPr>
        <w:t>.</w:t>
      </w:r>
      <w:r w:rsidR="0060344B">
        <w:t xml:space="preserve"> The priority actions in th</w:t>
      </w:r>
      <w:r w:rsidR="00E8409C">
        <w:t>e Strategy apply equally to prisoners</w:t>
      </w:r>
      <w:r w:rsidR="0060344B">
        <w:t xml:space="preserve"> as to any other priority population. </w:t>
      </w:r>
      <w:r w:rsidR="00D156E7">
        <w:t>As</w:t>
      </w:r>
      <w:r w:rsidR="00AE306D">
        <w:t xml:space="preserve"> states and territories </w:t>
      </w:r>
      <w:r w:rsidR="00D156E7">
        <w:t>have responsibility for the health and welfare of people in custodial settings and have agreed</w:t>
      </w:r>
      <w:r w:rsidR="007E059A">
        <w:t xml:space="preserve"> </w:t>
      </w:r>
      <w:r w:rsidR="00AE306D">
        <w:t xml:space="preserve">to meet the goals and objectives of the </w:t>
      </w:r>
      <w:r w:rsidR="0060344B">
        <w:t>Strategy there is no requirement for a separate Strategy for people in custodial settings.</w:t>
      </w:r>
    </w:p>
    <w:p w14:paraId="66034D48" w14:textId="77777777" w:rsidR="00663A3C" w:rsidRDefault="005462CC" w:rsidP="00663A3C">
      <w:r w:rsidRPr="005462CC">
        <w:t>T</w:t>
      </w:r>
      <w:r w:rsidR="00FA7E8D" w:rsidRPr="005462CC">
        <w:t xml:space="preserve">he </w:t>
      </w:r>
      <w:r w:rsidR="009515CF" w:rsidRPr="005462CC">
        <w:t xml:space="preserve">Australian </w:t>
      </w:r>
      <w:r w:rsidR="00E82E53">
        <w:t xml:space="preserve">Government </w:t>
      </w:r>
      <w:r w:rsidR="00051A90">
        <w:t>has</w:t>
      </w:r>
      <w:r w:rsidR="00E82E53">
        <w:t xml:space="preserve"> fund</w:t>
      </w:r>
      <w:r w:rsidR="00051A90">
        <w:t>ed</w:t>
      </w:r>
      <w:r w:rsidR="00BC04EE">
        <w:t xml:space="preserve"> the cost of </w:t>
      </w:r>
      <w:r w:rsidR="00FA7E8D" w:rsidRPr="005462CC">
        <w:t>new hepatitis C medicines for</w:t>
      </w:r>
      <w:r w:rsidRPr="005462CC">
        <w:t xml:space="preserve"> all Australians, including</w:t>
      </w:r>
      <w:r w:rsidR="00FA7E8D" w:rsidRPr="005462CC">
        <w:t xml:space="preserve"> prisoners</w:t>
      </w:r>
      <w:r w:rsidR="00BC04EE">
        <w:t>,</w:t>
      </w:r>
      <w:r w:rsidR="00FA7E8D" w:rsidRPr="005462CC">
        <w:t xml:space="preserve"> through the PBS</w:t>
      </w:r>
      <w:r w:rsidR="006A4B54" w:rsidRPr="005462CC">
        <w:t xml:space="preserve"> from 1 M</w:t>
      </w:r>
      <w:r w:rsidR="008E76F3" w:rsidRPr="005462CC">
        <w:t>arch 2016</w:t>
      </w:r>
      <w:r w:rsidR="00FA7E8D" w:rsidRPr="005462CC">
        <w:t xml:space="preserve">, </w:t>
      </w:r>
      <w:r w:rsidR="00E8409C">
        <w:t>in recognition of prisoners</w:t>
      </w:r>
      <w:r w:rsidR="00FA7E8D" w:rsidRPr="005462CC">
        <w:t xml:space="preserve"> as a priority population for treatment of hepatitis C</w:t>
      </w:r>
      <w:r w:rsidR="00513819">
        <w:t>,</w:t>
      </w:r>
      <w:r w:rsidR="00BC04EE">
        <w:t xml:space="preserve"> </w:t>
      </w:r>
      <w:r w:rsidR="00513819">
        <w:t>and the need to reduce the incidence of hepatitis C transmission.</w:t>
      </w:r>
    </w:p>
    <w:p w14:paraId="27B8AF94" w14:textId="77777777" w:rsidR="003F23A2" w:rsidRPr="007160F6" w:rsidRDefault="003F23A2" w:rsidP="00663A3C">
      <w:pPr>
        <w:pStyle w:val="Heading3"/>
      </w:pPr>
      <w:r w:rsidRPr="007160F6">
        <w:t>Recommendation 10</w:t>
      </w:r>
    </w:p>
    <w:p w14:paraId="7334943C" w14:textId="77777777" w:rsidR="000846E0" w:rsidRDefault="003F23A2" w:rsidP="00D411EB">
      <w:pPr>
        <w:pBdr>
          <w:top w:val="single" w:sz="4" w:space="1" w:color="auto"/>
          <w:left w:val="single" w:sz="4" w:space="4" w:color="auto"/>
          <w:bottom w:val="single" w:sz="4" w:space="1" w:color="auto"/>
          <w:right w:val="single" w:sz="4" w:space="4" w:color="auto"/>
        </w:pBdr>
        <w:shd w:val="clear" w:color="auto" w:fill="FFFFFF" w:themeFill="background1"/>
      </w:pPr>
      <w:r>
        <w:t>The Committee recommends that the Australian Government raise the issue of hepatitis C in prisons, and the establishment of national standards in prison health delivery as part of the Council of Australian Governments (COAG) Health Council process.</w:t>
      </w:r>
    </w:p>
    <w:p w14:paraId="4327A8F9" w14:textId="77777777" w:rsidR="007160F6" w:rsidRPr="00EC5BA5" w:rsidRDefault="0010779C" w:rsidP="00EC5BA5">
      <w:pPr>
        <w:pStyle w:val="Heading4"/>
      </w:pPr>
      <w:r w:rsidRPr="00EC5BA5">
        <w:t>Australian Government r</w:t>
      </w:r>
      <w:r w:rsidR="0060508B" w:rsidRPr="00EC5BA5">
        <w:t>esponse to R</w:t>
      </w:r>
      <w:r w:rsidR="007160F6" w:rsidRPr="00EC5BA5">
        <w:t>ecommendation 10</w:t>
      </w:r>
    </w:p>
    <w:p w14:paraId="638A36F1" w14:textId="77777777" w:rsidR="006B3E52" w:rsidRPr="006B3E52" w:rsidRDefault="000846E0" w:rsidP="000846E0">
      <w:r w:rsidRPr="006B3E52">
        <w:t>Noted</w:t>
      </w:r>
    </w:p>
    <w:p w14:paraId="486A9743" w14:textId="77777777" w:rsidR="007F4E20" w:rsidRDefault="000846E0" w:rsidP="006B3E52">
      <w:r>
        <w:t>The health and welfare of people in custodial settings is the responsibility of states and territories. E</w:t>
      </w:r>
      <w:r w:rsidRPr="000846E0">
        <w:t>ach state and territory has its own separa</w:t>
      </w:r>
      <w:r>
        <w:t>te prison system w</w:t>
      </w:r>
      <w:r w:rsidR="003A0BA5">
        <w:t>h</w:t>
      </w:r>
      <w:r>
        <w:t>ere h</w:t>
      </w:r>
      <w:r w:rsidRPr="000846E0">
        <w:t>ealth</w:t>
      </w:r>
      <w:r>
        <w:t xml:space="preserve"> services are provided</w:t>
      </w:r>
      <w:r w:rsidRPr="000846E0">
        <w:t xml:space="preserve"> by</w:t>
      </w:r>
      <w:r>
        <w:t xml:space="preserve"> health or justice departments</w:t>
      </w:r>
      <w:r w:rsidRPr="000846E0">
        <w:t xml:space="preserve"> and supplied directly, or contracted, by public and private custodial facilities. </w:t>
      </w:r>
      <w:r>
        <w:t>The Australian Government acknowledges that t</w:t>
      </w:r>
      <w:r w:rsidRPr="000846E0">
        <w:t>his presents cha</w:t>
      </w:r>
      <w:r>
        <w:t xml:space="preserve">llenges for the </w:t>
      </w:r>
      <w:r w:rsidRPr="000846E0">
        <w:t>development</w:t>
      </w:r>
      <w:r>
        <w:t xml:space="preserve"> of national standards in prison health delivery and it is willing to work with states and territories on this issue if they wish to raise it as part of the COAG Health Council process</w:t>
      </w:r>
      <w:r w:rsidRPr="000846E0">
        <w:t>.</w:t>
      </w:r>
    </w:p>
    <w:sectPr w:rsidR="007F4E20" w:rsidSect="00EC5BA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276"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58942" w14:textId="77777777" w:rsidR="00486487" w:rsidRDefault="00486487" w:rsidP="00E665E6">
      <w:r>
        <w:separator/>
      </w:r>
    </w:p>
  </w:endnote>
  <w:endnote w:type="continuationSeparator" w:id="0">
    <w:p w14:paraId="3F8C2E02" w14:textId="77777777" w:rsidR="00486487" w:rsidRDefault="00486487" w:rsidP="00E6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FB40" w14:textId="77777777" w:rsidR="00E665E6" w:rsidRDefault="00E6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3BC0" w14:textId="77777777" w:rsidR="00E665E6" w:rsidRDefault="00E6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707A" w14:textId="77777777" w:rsidR="00E665E6" w:rsidRDefault="00E6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88991" w14:textId="77777777" w:rsidR="00486487" w:rsidRDefault="00486487" w:rsidP="00E665E6">
      <w:r>
        <w:separator/>
      </w:r>
    </w:p>
  </w:footnote>
  <w:footnote w:type="continuationSeparator" w:id="0">
    <w:p w14:paraId="2997A2E0" w14:textId="77777777" w:rsidR="00486487" w:rsidRDefault="00486487" w:rsidP="00E6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5C4E" w14:textId="77777777" w:rsidR="00E665E6" w:rsidRDefault="00E6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BA11" w14:textId="77777777" w:rsidR="00E665E6" w:rsidRDefault="00E66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7D33" w14:textId="77777777" w:rsidR="00E665E6" w:rsidRDefault="00E66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95A29"/>
    <w:multiLevelType w:val="hybridMultilevel"/>
    <w:tmpl w:val="28884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B3533E"/>
    <w:multiLevelType w:val="hybridMultilevel"/>
    <w:tmpl w:val="72EAFE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DD4A43"/>
    <w:multiLevelType w:val="hybridMultilevel"/>
    <w:tmpl w:val="52086F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D2CBB"/>
    <w:multiLevelType w:val="hybridMultilevel"/>
    <w:tmpl w:val="B46875F0"/>
    <w:lvl w:ilvl="0" w:tplc="B776A036">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11"/>
    <w:rsid w:val="00011CF7"/>
    <w:rsid w:val="00013F72"/>
    <w:rsid w:val="000155A9"/>
    <w:rsid w:val="00051A90"/>
    <w:rsid w:val="000846E0"/>
    <w:rsid w:val="00097D31"/>
    <w:rsid w:val="000D66DB"/>
    <w:rsid w:val="0010779C"/>
    <w:rsid w:val="001166DA"/>
    <w:rsid w:val="00150535"/>
    <w:rsid w:val="00166CF9"/>
    <w:rsid w:val="00180A96"/>
    <w:rsid w:val="001A2B17"/>
    <w:rsid w:val="001A431C"/>
    <w:rsid w:val="001D4A7F"/>
    <w:rsid w:val="00237DFD"/>
    <w:rsid w:val="00286945"/>
    <w:rsid w:val="00294F3D"/>
    <w:rsid w:val="002C0882"/>
    <w:rsid w:val="00305B17"/>
    <w:rsid w:val="003237BD"/>
    <w:rsid w:val="00325542"/>
    <w:rsid w:val="003A0BA5"/>
    <w:rsid w:val="003A1BDC"/>
    <w:rsid w:val="003A2ADB"/>
    <w:rsid w:val="003B438C"/>
    <w:rsid w:val="003C1E45"/>
    <w:rsid w:val="003F23A2"/>
    <w:rsid w:val="00413AC1"/>
    <w:rsid w:val="00436B6F"/>
    <w:rsid w:val="0046794F"/>
    <w:rsid w:val="0048565C"/>
    <w:rsid w:val="00486487"/>
    <w:rsid w:val="00496149"/>
    <w:rsid w:val="004A2727"/>
    <w:rsid w:val="004B3D17"/>
    <w:rsid w:val="004B400B"/>
    <w:rsid w:val="00506A69"/>
    <w:rsid w:val="00513819"/>
    <w:rsid w:val="005462CC"/>
    <w:rsid w:val="00553214"/>
    <w:rsid w:val="0056519B"/>
    <w:rsid w:val="00594986"/>
    <w:rsid w:val="00596BAA"/>
    <w:rsid w:val="005B20CB"/>
    <w:rsid w:val="005C2AFD"/>
    <w:rsid w:val="0060344B"/>
    <w:rsid w:val="0060508B"/>
    <w:rsid w:val="006106C7"/>
    <w:rsid w:val="00624A31"/>
    <w:rsid w:val="00627119"/>
    <w:rsid w:val="00663A3C"/>
    <w:rsid w:val="006658C9"/>
    <w:rsid w:val="00690F96"/>
    <w:rsid w:val="0069690B"/>
    <w:rsid w:val="006A4B54"/>
    <w:rsid w:val="006B3E52"/>
    <w:rsid w:val="006C6B1F"/>
    <w:rsid w:val="007160F6"/>
    <w:rsid w:val="00757A69"/>
    <w:rsid w:val="007E059A"/>
    <w:rsid w:val="007E2B63"/>
    <w:rsid w:val="007E5B98"/>
    <w:rsid w:val="007F4E20"/>
    <w:rsid w:val="007F56DD"/>
    <w:rsid w:val="00801703"/>
    <w:rsid w:val="00820303"/>
    <w:rsid w:val="0084432D"/>
    <w:rsid w:val="008554F7"/>
    <w:rsid w:val="008D67EE"/>
    <w:rsid w:val="008E76F3"/>
    <w:rsid w:val="008E7874"/>
    <w:rsid w:val="009259C3"/>
    <w:rsid w:val="009279BB"/>
    <w:rsid w:val="0094089B"/>
    <w:rsid w:val="00944FA6"/>
    <w:rsid w:val="009515CF"/>
    <w:rsid w:val="009805B2"/>
    <w:rsid w:val="00986447"/>
    <w:rsid w:val="009A36E7"/>
    <w:rsid w:val="009B328D"/>
    <w:rsid w:val="009B36CD"/>
    <w:rsid w:val="009C194B"/>
    <w:rsid w:val="009C73B4"/>
    <w:rsid w:val="00A02E00"/>
    <w:rsid w:val="00A200C2"/>
    <w:rsid w:val="00A26645"/>
    <w:rsid w:val="00A7103C"/>
    <w:rsid w:val="00A71149"/>
    <w:rsid w:val="00A74E64"/>
    <w:rsid w:val="00AB121C"/>
    <w:rsid w:val="00AE306D"/>
    <w:rsid w:val="00B14CAB"/>
    <w:rsid w:val="00B43251"/>
    <w:rsid w:val="00B46411"/>
    <w:rsid w:val="00B602D6"/>
    <w:rsid w:val="00BC04EE"/>
    <w:rsid w:val="00BF32F0"/>
    <w:rsid w:val="00C1121A"/>
    <w:rsid w:val="00C44A9A"/>
    <w:rsid w:val="00C777CF"/>
    <w:rsid w:val="00C81A32"/>
    <w:rsid w:val="00C95AF3"/>
    <w:rsid w:val="00CA099B"/>
    <w:rsid w:val="00CC3A06"/>
    <w:rsid w:val="00D12616"/>
    <w:rsid w:val="00D156E7"/>
    <w:rsid w:val="00D411EB"/>
    <w:rsid w:val="00D85337"/>
    <w:rsid w:val="00D853CB"/>
    <w:rsid w:val="00E04BAB"/>
    <w:rsid w:val="00E12474"/>
    <w:rsid w:val="00E25CD6"/>
    <w:rsid w:val="00E665E6"/>
    <w:rsid w:val="00E808CC"/>
    <w:rsid w:val="00E82E53"/>
    <w:rsid w:val="00E8409C"/>
    <w:rsid w:val="00E85A25"/>
    <w:rsid w:val="00E93CAA"/>
    <w:rsid w:val="00EA7BDC"/>
    <w:rsid w:val="00EC5BA5"/>
    <w:rsid w:val="00EE1EC2"/>
    <w:rsid w:val="00EF437E"/>
    <w:rsid w:val="00F06380"/>
    <w:rsid w:val="00F21072"/>
    <w:rsid w:val="00F41DB7"/>
    <w:rsid w:val="00F83C17"/>
    <w:rsid w:val="00F86EAA"/>
    <w:rsid w:val="00FA7E8D"/>
    <w:rsid w:val="00FC1FD3"/>
    <w:rsid w:val="00FF0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6C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86"/>
    <w:pPr>
      <w:spacing w:before="120" w:after="120"/>
    </w:pPr>
    <w:rPr>
      <w:rFonts w:eastAsia="Times New Roman" w:cs="Times New Roman"/>
      <w:szCs w:val="24"/>
    </w:rPr>
  </w:style>
  <w:style w:type="paragraph" w:styleId="Heading1">
    <w:name w:val="heading 1"/>
    <w:basedOn w:val="Normal"/>
    <w:next w:val="Normal"/>
    <w:link w:val="Heading1Char"/>
    <w:uiPriority w:val="9"/>
    <w:qFormat/>
    <w:rsid w:val="009C194B"/>
    <w:pPr>
      <w:keepNext/>
      <w:keepLines/>
      <w:outlineLvl w:val="0"/>
    </w:pPr>
    <w:rPr>
      <w:rFonts w:eastAsiaTheme="majorEastAsia" w:cstheme="majorBidi"/>
      <w:b/>
      <w:bCs/>
      <w:sz w:val="26"/>
      <w:szCs w:val="28"/>
    </w:rPr>
  </w:style>
  <w:style w:type="paragraph" w:styleId="Heading2">
    <w:name w:val="heading 2"/>
    <w:basedOn w:val="Heading1"/>
    <w:next w:val="Normal"/>
    <w:link w:val="Heading2Char"/>
    <w:uiPriority w:val="9"/>
    <w:unhideWhenUsed/>
    <w:qFormat/>
    <w:rsid w:val="00594986"/>
    <w:pPr>
      <w:spacing w:before="240"/>
      <w:outlineLvl w:val="1"/>
    </w:pPr>
    <w:rPr>
      <w:bCs w:val="0"/>
      <w:szCs w:val="26"/>
    </w:rPr>
  </w:style>
  <w:style w:type="paragraph" w:styleId="Heading3">
    <w:name w:val="heading 3"/>
    <w:basedOn w:val="Heading2"/>
    <w:next w:val="Normal"/>
    <w:link w:val="Heading3Char"/>
    <w:uiPriority w:val="9"/>
    <w:unhideWhenUsed/>
    <w:qFormat/>
    <w:rsid w:val="009C194B"/>
    <w:pPr>
      <w:pBdr>
        <w:top w:val="single" w:sz="4" w:space="1" w:color="auto"/>
        <w:left w:val="single" w:sz="4" w:space="4" w:color="auto"/>
        <w:bottom w:val="single" w:sz="4" w:space="1" w:color="auto"/>
        <w:right w:val="single" w:sz="4" w:space="4" w:color="auto"/>
      </w:pBdr>
      <w:shd w:val="clear" w:color="auto" w:fill="FFFFFF" w:themeFill="background1"/>
      <w:outlineLvl w:val="2"/>
    </w:pPr>
    <w:rPr>
      <w:sz w:val="24"/>
    </w:rPr>
  </w:style>
  <w:style w:type="paragraph" w:styleId="Heading4">
    <w:name w:val="heading 4"/>
    <w:basedOn w:val="Normal"/>
    <w:next w:val="Normal"/>
    <w:link w:val="Heading4Char"/>
    <w:uiPriority w:val="9"/>
    <w:unhideWhenUsed/>
    <w:qFormat/>
    <w:rsid w:val="009C194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C5BA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endixTitleCharChar">
    <w:name w:val="Appendix Title Char Char"/>
    <w:link w:val="AppendixTitle"/>
    <w:locked/>
    <w:rsid w:val="00B46411"/>
    <w:rPr>
      <w:rFonts w:ascii="Arial" w:eastAsia="Times New Roman" w:hAnsi="Arial" w:cs="Arial"/>
      <w:color w:val="000080"/>
      <w:sz w:val="28"/>
      <w:szCs w:val="28"/>
      <w:lang w:val="x-none" w:eastAsia="x-none"/>
    </w:rPr>
  </w:style>
  <w:style w:type="paragraph" w:customStyle="1" w:styleId="AppendixTitle">
    <w:name w:val="Appendix Title"/>
    <w:basedOn w:val="Normal"/>
    <w:link w:val="AppendixTitleCharChar"/>
    <w:rsid w:val="00B46411"/>
    <w:pPr>
      <w:spacing w:after="240"/>
      <w:jc w:val="right"/>
    </w:pPr>
    <w:rPr>
      <w:rFonts w:ascii="Arial" w:hAnsi="Arial" w:cs="Arial"/>
      <w:color w:val="000080"/>
      <w:sz w:val="28"/>
      <w:szCs w:val="28"/>
      <w:lang w:val="x-none" w:eastAsia="x-none"/>
    </w:rPr>
  </w:style>
  <w:style w:type="paragraph" w:styleId="BalloonText">
    <w:name w:val="Balloon Text"/>
    <w:basedOn w:val="Normal"/>
    <w:link w:val="BalloonTextChar"/>
    <w:uiPriority w:val="99"/>
    <w:semiHidden/>
    <w:unhideWhenUsed/>
    <w:rsid w:val="00B46411"/>
    <w:rPr>
      <w:rFonts w:ascii="Tahoma" w:hAnsi="Tahoma" w:cs="Tahoma"/>
      <w:sz w:val="16"/>
      <w:szCs w:val="16"/>
    </w:rPr>
  </w:style>
  <w:style w:type="character" w:customStyle="1" w:styleId="BalloonTextChar">
    <w:name w:val="Balloon Text Char"/>
    <w:basedOn w:val="DefaultParagraphFont"/>
    <w:link w:val="BalloonText"/>
    <w:uiPriority w:val="99"/>
    <w:semiHidden/>
    <w:rsid w:val="00B46411"/>
    <w:rPr>
      <w:rFonts w:ascii="Tahoma" w:eastAsia="Times New Roman" w:hAnsi="Tahoma" w:cs="Tahoma"/>
      <w:sz w:val="16"/>
      <w:szCs w:val="16"/>
    </w:rPr>
  </w:style>
  <w:style w:type="paragraph" w:styleId="ListParagraph">
    <w:name w:val="List Paragraph"/>
    <w:basedOn w:val="Normal"/>
    <w:uiPriority w:val="34"/>
    <w:qFormat/>
    <w:rsid w:val="003F23A2"/>
    <w:pPr>
      <w:ind w:left="720"/>
      <w:contextualSpacing/>
    </w:pPr>
  </w:style>
  <w:style w:type="table" w:styleId="TableGrid">
    <w:name w:val="Table Grid"/>
    <w:basedOn w:val="TableNormal"/>
    <w:uiPriority w:val="59"/>
    <w:rsid w:val="00305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194B"/>
    <w:rPr>
      <w:rFonts w:eastAsiaTheme="majorEastAsia" w:cstheme="majorBidi"/>
      <w:b/>
      <w:bCs/>
      <w:sz w:val="26"/>
      <w:szCs w:val="28"/>
    </w:rPr>
  </w:style>
  <w:style w:type="character" w:customStyle="1" w:styleId="Heading2Char">
    <w:name w:val="Heading 2 Char"/>
    <w:basedOn w:val="DefaultParagraphFont"/>
    <w:link w:val="Heading2"/>
    <w:uiPriority w:val="9"/>
    <w:rsid w:val="00594986"/>
    <w:rPr>
      <w:rFonts w:asciiTheme="majorHAnsi" w:eastAsiaTheme="majorEastAsia" w:hAnsiTheme="majorHAnsi" w:cstheme="majorBidi"/>
      <w:b/>
      <w:sz w:val="26"/>
      <w:szCs w:val="26"/>
    </w:rPr>
  </w:style>
  <w:style w:type="paragraph" w:styleId="Header">
    <w:name w:val="header"/>
    <w:basedOn w:val="Normal"/>
    <w:link w:val="HeaderChar"/>
    <w:uiPriority w:val="99"/>
    <w:unhideWhenUsed/>
    <w:rsid w:val="00E665E6"/>
    <w:pPr>
      <w:tabs>
        <w:tab w:val="center" w:pos="4513"/>
        <w:tab w:val="right" w:pos="9026"/>
      </w:tabs>
    </w:pPr>
  </w:style>
  <w:style w:type="character" w:customStyle="1" w:styleId="HeaderChar">
    <w:name w:val="Header Char"/>
    <w:basedOn w:val="DefaultParagraphFont"/>
    <w:link w:val="Header"/>
    <w:uiPriority w:val="99"/>
    <w:rsid w:val="00E665E6"/>
    <w:rPr>
      <w:rFonts w:eastAsia="Times New Roman" w:cs="Times New Roman"/>
      <w:szCs w:val="24"/>
    </w:rPr>
  </w:style>
  <w:style w:type="paragraph" w:styleId="Footer">
    <w:name w:val="footer"/>
    <w:basedOn w:val="Normal"/>
    <w:link w:val="FooterChar"/>
    <w:uiPriority w:val="99"/>
    <w:unhideWhenUsed/>
    <w:rsid w:val="00E665E6"/>
    <w:pPr>
      <w:tabs>
        <w:tab w:val="center" w:pos="4513"/>
        <w:tab w:val="right" w:pos="9026"/>
      </w:tabs>
    </w:pPr>
  </w:style>
  <w:style w:type="character" w:customStyle="1" w:styleId="FooterChar">
    <w:name w:val="Footer Char"/>
    <w:basedOn w:val="DefaultParagraphFont"/>
    <w:link w:val="Footer"/>
    <w:uiPriority w:val="99"/>
    <w:rsid w:val="00E665E6"/>
    <w:rPr>
      <w:rFonts w:eastAsia="Times New Roman" w:cs="Times New Roman"/>
      <w:szCs w:val="24"/>
    </w:rPr>
  </w:style>
  <w:style w:type="paragraph" w:styleId="Title">
    <w:name w:val="Title"/>
    <w:basedOn w:val="Normal"/>
    <w:next w:val="Normal"/>
    <w:link w:val="TitleChar"/>
    <w:uiPriority w:val="10"/>
    <w:qFormat/>
    <w:rsid w:val="00EC5BA5"/>
    <w:pPr>
      <w:spacing w:before="480"/>
      <w:jc w:val="center"/>
    </w:pPr>
    <w:rPr>
      <w:sz w:val="40"/>
      <w:szCs w:val="36"/>
    </w:rPr>
  </w:style>
  <w:style w:type="character" w:customStyle="1" w:styleId="TitleChar">
    <w:name w:val="Title Char"/>
    <w:basedOn w:val="DefaultParagraphFont"/>
    <w:link w:val="Title"/>
    <w:uiPriority w:val="10"/>
    <w:rsid w:val="00EC5BA5"/>
    <w:rPr>
      <w:rFonts w:eastAsia="Times New Roman" w:cs="Times New Roman"/>
      <w:sz w:val="40"/>
      <w:szCs w:val="36"/>
    </w:rPr>
  </w:style>
  <w:style w:type="character" w:customStyle="1" w:styleId="Heading3Char">
    <w:name w:val="Heading 3 Char"/>
    <w:basedOn w:val="DefaultParagraphFont"/>
    <w:link w:val="Heading3"/>
    <w:uiPriority w:val="9"/>
    <w:rsid w:val="009C194B"/>
    <w:rPr>
      <w:rFonts w:asciiTheme="minorHAnsi" w:eastAsiaTheme="majorEastAsia" w:hAnsiTheme="minorHAnsi" w:cstheme="majorBidi"/>
      <w:b/>
      <w:szCs w:val="26"/>
      <w:shd w:val="clear" w:color="auto" w:fill="FFFFFF" w:themeFill="background1"/>
    </w:rPr>
  </w:style>
  <w:style w:type="character" w:styleId="Emphasis">
    <w:name w:val="Emphasis"/>
    <w:basedOn w:val="DefaultParagraphFont"/>
    <w:uiPriority w:val="20"/>
    <w:qFormat/>
    <w:rsid w:val="00594986"/>
    <w:rPr>
      <w:i/>
      <w:iCs/>
    </w:rPr>
  </w:style>
  <w:style w:type="character" w:customStyle="1" w:styleId="Heading4Char">
    <w:name w:val="Heading 4 Char"/>
    <w:basedOn w:val="DefaultParagraphFont"/>
    <w:link w:val="Heading4"/>
    <w:uiPriority w:val="9"/>
    <w:rsid w:val="009C194B"/>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EC5BA5"/>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3099">
      <w:bodyDiv w:val="1"/>
      <w:marLeft w:val="0"/>
      <w:marRight w:val="0"/>
      <w:marTop w:val="0"/>
      <w:marBottom w:val="0"/>
      <w:divBdr>
        <w:top w:val="none" w:sz="0" w:space="0" w:color="auto"/>
        <w:left w:val="none" w:sz="0" w:space="0" w:color="auto"/>
        <w:bottom w:val="none" w:sz="0" w:space="0" w:color="auto"/>
        <w:right w:val="none" w:sz="0" w:space="0" w:color="auto"/>
      </w:divBdr>
    </w:div>
    <w:div w:id="8917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A464-EAB9-47D4-A82F-18E8FF12838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2A8908-0B77-4B61-AA65-28585ACDE40C}">
  <ds:schemaRefs>
    <ds:schemaRef ds:uri="http://schemas.microsoft.com/sharepoint/v3/contenttype/forms"/>
  </ds:schemaRefs>
</ds:datastoreItem>
</file>

<file path=customXml/itemProps3.xml><?xml version="1.0" encoding="utf-8"?>
<ds:datastoreItem xmlns:ds="http://schemas.openxmlformats.org/officeDocument/2006/customXml" ds:itemID="{5C7CA775-940F-4784-9F90-4AC396C45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D08F47-1560-4DB8-89EB-0C79F982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Silent Disease Inquiry into Hepatitis C in Australia</vt:lpstr>
    </vt:vector>
  </TitlesOfParts>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Silent Disease Inquiry into Hepatitis C in Australia</dc:title>
  <dc:subject>Government response</dc:subject>
  <dc:creator/>
  <cp:keywords>Government response; House of Representatives Standing Committee on Health report; Silent disease; Hepatitis C;</cp:keywords>
  <cp:lastModifiedBy/>
  <cp:revision>1</cp:revision>
  <dcterms:created xsi:type="dcterms:W3CDTF">2019-06-18T02:22:00Z</dcterms:created>
  <dcterms:modified xsi:type="dcterms:W3CDTF">2019-06-18T02:22:00Z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