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04DD" w14:textId="40591381" w:rsidR="007F182C" w:rsidRDefault="00A102A7" w:rsidP="007F182C">
      <w:pPr>
        <w:pStyle w:val="Title"/>
      </w:pPr>
      <w:r>
        <w:rPr>
          <w:noProof/>
          <w:lang w:val="en-AU" w:eastAsia="en-AU"/>
        </w:rPr>
        <w:drawing>
          <wp:anchor distT="0" distB="0" distL="114300" distR="114300" simplePos="0" relativeHeight="251659264" behindDoc="1" locked="0" layoutInCell="1" allowOverlap="1" wp14:anchorId="16C5E614" wp14:editId="6634F3D6">
            <wp:simplePos x="0" y="0"/>
            <wp:positionH relativeFrom="column">
              <wp:posOffset>-1146810</wp:posOffset>
            </wp:positionH>
            <wp:positionV relativeFrom="paragraph">
              <wp:posOffset>-918210</wp:posOffset>
            </wp:positionV>
            <wp:extent cx="7555865" cy="10694035"/>
            <wp:effectExtent l="0" t="0" r="6985" b="0"/>
            <wp:wrapNone/>
            <wp:docPr id="52" name="Picture 30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02" descr="&quo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5865" cy="1069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F182C" w:rsidRPr="007F182C">
        <w:t>Tackling Indigenous Smoking and Healthy Lifestyle Programme Review: Stakeholder Consultation</w:t>
      </w:r>
    </w:p>
    <w:p w14:paraId="04F759E5" w14:textId="0B4F1AA8" w:rsidR="007F182C" w:rsidRDefault="007F182C" w:rsidP="007F182C">
      <w:pPr>
        <w:pStyle w:val="Subtitle"/>
      </w:pPr>
      <w:r>
        <w:t>Report 2 of 3</w:t>
      </w:r>
    </w:p>
    <w:p w14:paraId="20406402" w14:textId="1193A2B4" w:rsidR="007F182C" w:rsidRPr="007F182C" w:rsidRDefault="007F182C" w:rsidP="00A102A7">
      <w:pPr>
        <w:spacing w:before="0" w:after="0"/>
        <w:jc w:val="center"/>
        <w:rPr>
          <w:rStyle w:val="Strong"/>
        </w:rPr>
      </w:pPr>
      <w:r>
        <w:rPr>
          <w:rStyle w:val="Strong"/>
        </w:rPr>
        <w:t>21 November 2014</w:t>
      </w:r>
    </w:p>
    <w:p w14:paraId="5A18480C" w14:textId="165B0B59" w:rsidR="007F182C" w:rsidRPr="007F182C" w:rsidRDefault="007F182C" w:rsidP="00A102A7">
      <w:pPr>
        <w:spacing w:before="960" w:after="0"/>
        <w:rPr>
          <w:rStyle w:val="Strong"/>
        </w:rPr>
      </w:pPr>
      <w:r w:rsidRPr="007F182C">
        <w:rPr>
          <w:rStyle w:val="Strong"/>
        </w:rPr>
        <w:t>Authors</w:t>
      </w:r>
    </w:p>
    <w:p w14:paraId="7090CFEB" w14:textId="77777777" w:rsidR="007F182C" w:rsidRDefault="007F182C" w:rsidP="00A102A7">
      <w:pPr>
        <w:spacing w:after="0"/>
      </w:pPr>
      <w:proofErr w:type="spellStart"/>
      <w:r>
        <w:t>Dr</w:t>
      </w:r>
      <w:proofErr w:type="spellEnd"/>
      <w:r>
        <w:t xml:space="preserve"> Penney Upton </w:t>
      </w:r>
    </w:p>
    <w:p w14:paraId="7E856939" w14:textId="77777777" w:rsidR="007F182C" w:rsidRDefault="007F182C" w:rsidP="00A102A7">
      <w:pPr>
        <w:spacing w:after="0"/>
      </w:pPr>
      <w:r>
        <w:t xml:space="preserve">Professor Rachel Davey </w:t>
      </w:r>
    </w:p>
    <w:p w14:paraId="5F229D7A" w14:textId="77777777" w:rsidR="007F182C" w:rsidRDefault="007F182C" w:rsidP="00A102A7">
      <w:pPr>
        <w:spacing w:after="0"/>
      </w:pPr>
      <w:r>
        <w:t xml:space="preserve">Professor Mark Evans </w:t>
      </w:r>
    </w:p>
    <w:p w14:paraId="4E002F34" w14:textId="77777777" w:rsidR="007F182C" w:rsidRDefault="007F182C" w:rsidP="00A102A7">
      <w:pPr>
        <w:spacing w:after="0"/>
      </w:pPr>
      <w:proofErr w:type="spellStart"/>
      <w:r>
        <w:t>Dr</w:t>
      </w:r>
      <w:proofErr w:type="spellEnd"/>
      <w:r>
        <w:t xml:space="preserve"> </w:t>
      </w:r>
      <w:proofErr w:type="spellStart"/>
      <w:r>
        <w:t>Katja</w:t>
      </w:r>
      <w:proofErr w:type="spellEnd"/>
      <w:r>
        <w:t xml:space="preserve"> Mikhailovich </w:t>
      </w:r>
    </w:p>
    <w:p w14:paraId="781FCE94" w14:textId="77777777" w:rsidR="007F182C" w:rsidRDefault="007F182C" w:rsidP="00A102A7">
      <w:r>
        <w:t xml:space="preserve">Lee Simpson </w:t>
      </w:r>
    </w:p>
    <w:p w14:paraId="308CEBB6" w14:textId="77450B28" w:rsidR="007F182C" w:rsidRDefault="007F182C" w:rsidP="007F182C">
      <w:pPr>
        <w:spacing w:before="0" w:after="0"/>
      </w:pPr>
      <w:r>
        <w:t xml:space="preserve">Davina </w:t>
      </w:r>
      <w:proofErr w:type="spellStart"/>
      <w:r>
        <w:t>Hacklin</w:t>
      </w:r>
      <w:proofErr w:type="spellEnd"/>
      <w:r>
        <w:br w:type="page"/>
      </w:r>
    </w:p>
    <w:p w14:paraId="4F9144CA" w14:textId="77777777" w:rsidR="003B259D" w:rsidRPr="00E856B0" w:rsidRDefault="00D45ED6" w:rsidP="004F6A5A">
      <w:pPr>
        <w:pStyle w:val="Heading1"/>
        <w:spacing w:before="0" w:line="276" w:lineRule="auto"/>
        <w:rPr>
          <w:rFonts w:ascii="Arial Narrow" w:hAnsi="Arial Narrow"/>
          <w:lang w:val="en-AU"/>
        </w:rPr>
      </w:pPr>
      <w:r w:rsidRPr="00E856B0">
        <w:rPr>
          <w:rFonts w:ascii="Arial Narrow" w:hAnsi="Arial Narrow"/>
          <w:lang w:val="en-AU"/>
        </w:rPr>
        <w:lastRenderedPageBreak/>
        <w:t>Introduction</w:t>
      </w:r>
    </w:p>
    <w:p w14:paraId="0AC715CE" w14:textId="2FDB3A0B" w:rsidR="00897353" w:rsidRPr="00E856B0" w:rsidRDefault="002B2F8D" w:rsidP="004F6A5A">
      <w:pPr>
        <w:autoSpaceDE w:val="0"/>
        <w:autoSpaceDN w:val="0"/>
        <w:adjustRightInd w:val="0"/>
        <w:spacing w:line="276" w:lineRule="auto"/>
        <w:rPr>
          <w:rFonts w:cs="Calibri"/>
          <w:lang w:val="en-AU"/>
        </w:rPr>
      </w:pPr>
      <w:r w:rsidRPr="00E856B0">
        <w:rPr>
          <w:rFonts w:cs="Calibri"/>
          <w:lang w:val="en-AU"/>
        </w:rPr>
        <w:t>A targeted consultation of key stakeholders was undertaken as part of the review of the Tackling Indigenous</w:t>
      </w:r>
      <w:r w:rsidR="000C771E">
        <w:rPr>
          <w:rStyle w:val="FootnoteReference"/>
          <w:rFonts w:cs="Calibri"/>
          <w:lang w:val="en-AU"/>
        </w:rPr>
        <w:footnoteReference w:id="1"/>
      </w:r>
      <w:r w:rsidRPr="00E856B0">
        <w:rPr>
          <w:rFonts w:cs="Calibri"/>
          <w:lang w:val="en-AU"/>
        </w:rPr>
        <w:t xml:space="preserve"> Smoking and Healthy Lifestyles </w:t>
      </w:r>
      <w:r w:rsidR="00860C46" w:rsidRPr="00E856B0">
        <w:rPr>
          <w:rFonts w:cs="Calibri"/>
          <w:lang w:val="en-AU"/>
        </w:rPr>
        <w:t xml:space="preserve">(TIS&amp;HL) </w:t>
      </w:r>
      <w:r w:rsidRPr="00E856B0">
        <w:rPr>
          <w:rFonts w:cs="Calibri"/>
          <w:lang w:val="en-AU"/>
        </w:rPr>
        <w:t xml:space="preserve">Programme.  The purpose of this consultation </w:t>
      </w:r>
      <w:r w:rsidR="00897353" w:rsidRPr="00E856B0">
        <w:rPr>
          <w:rFonts w:cs="Calibri"/>
          <w:lang w:val="en-AU"/>
        </w:rPr>
        <w:t>was to:</w:t>
      </w:r>
    </w:p>
    <w:p w14:paraId="1BAE5DA3" w14:textId="5D585280" w:rsidR="00897353" w:rsidRPr="00E856B0" w:rsidRDefault="00897353" w:rsidP="004F6A5A">
      <w:pPr>
        <w:pStyle w:val="ListParagraph"/>
        <w:numPr>
          <w:ilvl w:val="0"/>
          <w:numId w:val="7"/>
        </w:numPr>
        <w:autoSpaceDE w:val="0"/>
        <w:autoSpaceDN w:val="0"/>
        <w:adjustRightInd w:val="0"/>
        <w:spacing w:line="276" w:lineRule="auto"/>
        <w:rPr>
          <w:rFonts w:cs="Calibri"/>
          <w:lang w:val="en-AU"/>
        </w:rPr>
      </w:pPr>
      <w:r w:rsidRPr="00E856B0">
        <w:rPr>
          <w:rFonts w:cs="Calibri"/>
          <w:lang w:val="en-AU"/>
        </w:rPr>
        <w:t>describe the p</w:t>
      </w:r>
      <w:r w:rsidR="002B2F8D" w:rsidRPr="00E856B0">
        <w:rPr>
          <w:rFonts w:cs="Calibri"/>
          <w:lang w:val="en-AU"/>
        </w:rPr>
        <w:t>rogramme’s impact</w:t>
      </w:r>
      <w:r w:rsidRPr="00E856B0">
        <w:rPr>
          <w:rFonts w:cs="Calibri"/>
          <w:lang w:val="en-AU"/>
        </w:rPr>
        <w:t xml:space="preserve"> on individuals and communities;</w:t>
      </w:r>
    </w:p>
    <w:p w14:paraId="24BE2452" w14:textId="6891EE71" w:rsidR="00897353" w:rsidRPr="00E856B0" w:rsidRDefault="00897353" w:rsidP="004F6A5A">
      <w:pPr>
        <w:pStyle w:val="ListParagraph"/>
        <w:numPr>
          <w:ilvl w:val="0"/>
          <w:numId w:val="7"/>
        </w:numPr>
        <w:autoSpaceDE w:val="0"/>
        <w:autoSpaceDN w:val="0"/>
        <w:adjustRightInd w:val="0"/>
        <w:spacing w:line="276" w:lineRule="auto"/>
        <w:rPr>
          <w:rFonts w:cs="Calibri"/>
          <w:lang w:val="en-AU"/>
        </w:rPr>
      </w:pPr>
      <w:r w:rsidRPr="00E856B0">
        <w:rPr>
          <w:rFonts w:cs="Calibri"/>
          <w:lang w:val="en-AU"/>
        </w:rPr>
        <w:t>document</w:t>
      </w:r>
      <w:r w:rsidR="002B2F8D" w:rsidRPr="00E856B0">
        <w:rPr>
          <w:rFonts w:cs="Calibri"/>
          <w:lang w:val="en-AU"/>
        </w:rPr>
        <w:t xml:space="preserve"> </w:t>
      </w:r>
      <w:r w:rsidRPr="00E856B0">
        <w:rPr>
          <w:rFonts w:cs="Calibri"/>
          <w:lang w:val="en-AU"/>
        </w:rPr>
        <w:t xml:space="preserve"> the barriers and enablers to success;</w:t>
      </w:r>
    </w:p>
    <w:p w14:paraId="064FFC08" w14:textId="1E55AEF1" w:rsidR="002B2F8D" w:rsidRPr="00E856B0" w:rsidRDefault="00897353" w:rsidP="004F6A5A">
      <w:pPr>
        <w:pStyle w:val="ListParagraph"/>
        <w:numPr>
          <w:ilvl w:val="0"/>
          <w:numId w:val="7"/>
        </w:numPr>
        <w:autoSpaceDE w:val="0"/>
        <w:autoSpaceDN w:val="0"/>
        <w:adjustRightInd w:val="0"/>
        <w:spacing w:line="276" w:lineRule="auto"/>
        <w:rPr>
          <w:rFonts w:cs="Calibri"/>
          <w:lang w:val="en-AU"/>
        </w:rPr>
      </w:pPr>
      <w:proofErr w:type="gramStart"/>
      <w:r w:rsidRPr="00E856B0">
        <w:rPr>
          <w:rFonts w:cs="Calibri"/>
          <w:lang w:val="en-AU"/>
        </w:rPr>
        <w:t>gather</w:t>
      </w:r>
      <w:proofErr w:type="gramEnd"/>
      <w:r w:rsidRPr="00E856B0">
        <w:rPr>
          <w:rFonts w:cs="Calibri"/>
          <w:lang w:val="en-AU"/>
        </w:rPr>
        <w:t xml:space="preserve"> stakeholder suggestions</w:t>
      </w:r>
      <w:r w:rsidR="002B2F8D" w:rsidRPr="00E856B0">
        <w:rPr>
          <w:rFonts w:cs="Calibri"/>
          <w:lang w:val="en-AU"/>
        </w:rPr>
        <w:t xml:space="preserve"> for </w:t>
      </w:r>
      <w:r w:rsidRPr="00E856B0">
        <w:rPr>
          <w:rFonts w:cs="Calibri"/>
          <w:lang w:val="en-AU"/>
        </w:rPr>
        <w:t>future development</w:t>
      </w:r>
      <w:r w:rsidR="002B2F8D" w:rsidRPr="00E856B0">
        <w:rPr>
          <w:rFonts w:cs="Calibri"/>
          <w:lang w:val="en-AU"/>
        </w:rPr>
        <w:t xml:space="preserve"> </w:t>
      </w:r>
      <w:r w:rsidRPr="00E856B0">
        <w:rPr>
          <w:rFonts w:cs="Calibri"/>
          <w:lang w:val="en-AU"/>
        </w:rPr>
        <w:t>in this area.</w:t>
      </w:r>
    </w:p>
    <w:p w14:paraId="315B399E" w14:textId="30023EB6" w:rsidR="00D45ED6" w:rsidRPr="00E856B0" w:rsidRDefault="00D45ED6" w:rsidP="004F6A5A">
      <w:pPr>
        <w:pStyle w:val="Heading1"/>
        <w:spacing w:before="240" w:line="276" w:lineRule="auto"/>
        <w:rPr>
          <w:rFonts w:ascii="Arial Narrow" w:hAnsi="Arial Narrow"/>
          <w:lang w:val="en-AU"/>
        </w:rPr>
      </w:pPr>
      <w:r w:rsidRPr="00E856B0">
        <w:rPr>
          <w:rFonts w:ascii="Arial Narrow" w:hAnsi="Arial Narrow"/>
          <w:lang w:val="en-AU"/>
        </w:rPr>
        <w:t>Method</w:t>
      </w:r>
    </w:p>
    <w:p w14:paraId="13BE1EDE" w14:textId="6934E09F" w:rsidR="00D45ED6" w:rsidRPr="00E856B0" w:rsidRDefault="004B0FB3" w:rsidP="004F6A5A">
      <w:pPr>
        <w:spacing w:line="276" w:lineRule="auto"/>
        <w:rPr>
          <w:lang w:val="en-AU"/>
        </w:rPr>
      </w:pPr>
      <w:r w:rsidRPr="00E856B0">
        <w:rPr>
          <w:lang w:val="en-AU"/>
        </w:rPr>
        <w:t>One hundred and forty k</w:t>
      </w:r>
      <w:r w:rsidR="002B2F8D" w:rsidRPr="00E856B0">
        <w:rPr>
          <w:lang w:val="en-AU"/>
        </w:rPr>
        <w:t xml:space="preserve">ey stakeholders identified by the </w:t>
      </w:r>
      <w:r w:rsidRPr="00E856B0">
        <w:rPr>
          <w:lang w:val="en-AU"/>
        </w:rPr>
        <w:t>Department of Health, were invited to provide a written submission to the programme review via an online semi-structured survey.  Provision was also made for organisations to submit addit</w:t>
      </w:r>
      <w:r w:rsidR="00BB621F">
        <w:rPr>
          <w:lang w:val="en-AU"/>
        </w:rPr>
        <w:t>ional materials as evidence of p</w:t>
      </w:r>
      <w:r w:rsidRPr="00E856B0">
        <w:rPr>
          <w:lang w:val="en-AU"/>
        </w:rPr>
        <w:t xml:space="preserve">rogramme impact.  In addition, </w:t>
      </w:r>
      <w:r w:rsidR="001E0C8B" w:rsidRPr="00E856B0">
        <w:rPr>
          <w:lang w:val="en-AU"/>
        </w:rPr>
        <w:t>a subsample of these stakeholders (</w:t>
      </w:r>
      <w:r w:rsidR="00680066" w:rsidRPr="00E856B0">
        <w:rPr>
          <w:lang w:val="en-AU"/>
        </w:rPr>
        <w:t>N=</w:t>
      </w:r>
      <w:r w:rsidR="001E0C8B" w:rsidRPr="00E856B0">
        <w:rPr>
          <w:lang w:val="en-AU"/>
        </w:rPr>
        <w:t>43) was invited to undertake a brief telephone interview.</w:t>
      </w:r>
    </w:p>
    <w:p w14:paraId="7FB2F486" w14:textId="4ADC6706" w:rsidR="00D45ED6" w:rsidRPr="00E856B0" w:rsidRDefault="00FC709C" w:rsidP="004F6A5A">
      <w:pPr>
        <w:pStyle w:val="Heading1"/>
        <w:spacing w:before="240" w:line="276" w:lineRule="auto"/>
        <w:rPr>
          <w:rFonts w:ascii="Arial Narrow" w:hAnsi="Arial Narrow"/>
          <w:lang w:val="en-AU"/>
        </w:rPr>
      </w:pPr>
      <w:r w:rsidRPr="00E856B0">
        <w:rPr>
          <w:rFonts w:ascii="Arial Narrow" w:hAnsi="Arial Narrow"/>
          <w:lang w:val="en-AU"/>
        </w:rPr>
        <w:t>Findings</w:t>
      </w:r>
      <w:r w:rsidR="00D45ED6" w:rsidRPr="00E856B0">
        <w:rPr>
          <w:rFonts w:ascii="Arial Narrow" w:hAnsi="Arial Narrow"/>
          <w:lang w:val="en-AU"/>
        </w:rPr>
        <w:t xml:space="preserve"> </w:t>
      </w:r>
    </w:p>
    <w:p w14:paraId="2BB810CA" w14:textId="6C8BF4DD" w:rsidR="00A370D3" w:rsidRPr="00E856B0" w:rsidRDefault="00A370D3" w:rsidP="004F6A5A">
      <w:pPr>
        <w:spacing w:line="276" w:lineRule="auto"/>
        <w:rPr>
          <w:lang w:val="en-AU"/>
        </w:rPr>
      </w:pPr>
      <w:r w:rsidRPr="00E856B0">
        <w:rPr>
          <w:lang w:val="en-AU"/>
        </w:rPr>
        <w:t xml:space="preserve">A total of </w:t>
      </w:r>
      <w:r w:rsidR="001E0C8B" w:rsidRPr="00E856B0">
        <w:rPr>
          <w:lang w:val="en-AU"/>
        </w:rPr>
        <w:t>1</w:t>
      </w:r>
      <w:r w:rsidR="004253B8" w:rsidRPr="00E856B0">
        <w:rPr>
          <w:lang w:val="en-AU"/>
        </w:rPr>
        <w:t>1</w:t>
      </w:r>
      <w:r w:rsidR="00696888">
        <w:rPr>
          <w:lang w:val="en-AU"/>
        </w:rPr>
        <w:t>1</w:t>
      </w:r>
      <w:r w:rsidRPr="00E856B0">
        <w:rPr>
          <w:lang w:val="en-AU"/>
        </w:rPr>
        <w:t xml:space="preserve"> written consultations were received</w:t>
      </w:r>
      <w:r w:rsidR="001E0C8B" w:rsidRPr="00E856B0">
        <w:rPr>
          <w:lang w:val="en-AU"/>
        </w:rPr>
        <w:t xml:space="preserve"> (response rate=7</w:t>
      </w:r>
      <w:r w:rsidR="00696888">
        <w:rPr>
          <w:lang w:val="en-AU"/>
        </w:rPr>
        <w:t>9.3</w:t>
      </w:r>
      <w:r w:rsidR="001E0C8B" w:rsidRPr="00E856B0">
        <w:rPr>
          <w:lang w:val="en-AU"/>
        </w:rPr>
        <w:t>%)</w:t>
      </w:r>
      <w:r w:rsidRPr="00E856B0">
        <w:rPr>
          <w:lang w:val="en-AU"/>
        </w:rPr>
        <w:t xml:space="preserve">.  Responses were received from </w:t>
      </w:r>
      <w:r w:rsidR="004253B8" w:rsidRPr="00E856B0">
        <w:rPr>
          <w:lang w:val="en-AU"/>
        </w:rPr>
        <w:t>8</w:t>
      </w:r>
      <w:r w:rsidR="00696888">
        <w:rPr>
          <w:lang w:val="en-AU"/>
        </w:rPr>
        <w:t>2</w:t>
      </w:r>
      <w:r w:rsidRPr="00E856B0">
        <w:rPr>
          <w:lang w:val="en-AU"/>
        </w:rPr>
        <w:t xml:space="preserve"> teams who had received f</w:t>
      </w:r>
      <w:r w:rsidR="002B31F9">
        <w:rPr>
          <w:lang w:val="en-AU"/>
        </w:rPr>
        <w:t>u</w:t>
      </w:r>
      <w:r w:rsidRPr="00E856B0">
        <w:rPr>
          <w:lang w:val="en-AU"/>
        </w:rPr>
        <w:t xml:space="preserve">nding from the TIS&amp;HL programme and </w:t>
      </w:r>
      <w:r w:rsidR="00237842" w:rsidRPr="00E856B0">
        <w:rPr>
          <w:lang w:val="en-AU"/>
        </w:rPr>
        <w:t>2</w:t>
      </w:r>
      <w:r w:rsidR="004253B8" w:rsidRPr="00E856B0">
        <w:rPr>
          <w:lang w:val="en-AU"/>
        </w:rPr>
        <w:t>9</w:t>
      </w:r>
      <w:r w:rsidR="00237842" w:rsidRPr="00E856B0">
        <w:rPr>
          <w:lang w:val="en-AU"/>
        </w:rPr>
        <w:t xml:space="preserve"> other stakeholder</w:t>
      </w:r>
      <w:r w:rsidR="00204B33" w:rsidRPr="00E856B0">
        <w:rPr>
          <w:lang w:val="en-AU"/>
        </w:rPr>
        <w:t>s</w:t>
      </w:r>
      <w:r w:rsidR="00237842" w:rsidRPr="00E856B0">
        <w:rPr>
          <w:lang w:val="en-AU"/>
        </w:rPr>
        <w:t xml:space="preserve"> who had not received funding under the programme, including 14</w:t>
      </w:r>
      <w:r w:rsidRPr="00E856B0">
        <w:rPr>
          <w:lang w:val="en-AU"/>
        </w:rPr>
        <w:t xml:space="preserve"> </w:t>
      </w:r>
      <w:r w:rsidR="00237842" w:rsidRPr="00E856B0">
        <w:rPr>
          <w:lang w:val="en-AU"/>
        </w:rPr>
        <w:t>industry experts</w:t>
      </w:r>
      <w:r w:rsidRPr="00E856B0">
        <w:rPr>
          <w:lang w:val="en-AU"/>
        </w:rPr>
        <w:t xml:space="preserve">. </w:t>
      </w:r>
      <w:r w:rsidR="00204B33" w:rsidRPr="00E856B0">
        <w:rPr>
          <w:lang w:val="en-AU"/>
        </w:rPr>
        <w:t xml:space="preserve"> Respondents came from a range of services including academia, </w:t>
      </w:r>
      <w:r w:rsidR="00DF3A5F" w:rsidRPr="00E856B0">
        <w:rPr>
          <w:lang w:val="en-AU"/>
        </w:rPr>
        <w:t xml:space="preserve">non-government health organisations, National Aboriginal Community Controlled Health Organisation (NACCHO) </w:t>
      </w:r>
      <w:r w:rsidR="00992965">
        <w:rPr>
          <w:lang w:val="en-AU"/>
        </w:rPr>
        <w:t xml:space="preserve">and their </w:t>
      </w:r>
      <w:r w:rsidR="00DF3A5F" w:rsidRPr="00E856B0">
        <w:rPr>
          <w:lang w:val="en-AU"/>
        </w:rPr>
        <w:t xml:space="preserve">Affiliates, State and Territory Governments, and Regional Tackling Smoking and Healthy Lifestyle (RTSHL) Teams. All </w:t>
      </w:r>
      <w:r w:rsidR="00204B33" w:rsidRPr="00E856B0">
        <w:rPr>
          <w:lang w:val="en-AU"/>
        </w:rPr>
        <w:t xml:space="preserve">six states and two </w:t>
      </w:r>
      <w:r w:rsidR="00DF3A5F" w:rsidRPr="00E856B0">
        <w:rPr>
          <w:lang w:val="en-AU"/>
        </w:rPr>
        <w:t>mainland territories were also represented.</w:t>
      </w:r>
    </w:p>
    <w:p w14:paraId="38B18CE0" w14:textId="01A04EA5" w:rsidR="00DF3A5F" w:rsidRDefault="00DF3A5F" w:rsidP="004F6A5A">
      <w:pPr>
        <w:spacing w:line="276" w:lineRule="auto"/>
        <w:rPr>
          <w:lang w:val="en-AU"/>
        </w:rPr>
      </w:pPr>
      <w:r w:rsidRPr="00E856B0">
        <w:rPr>
          <w:lang w:val="en-AU"/>
        </w:rPr>
        <w:t>In</w:t>
      </w:r>
      <w:r w:rsidR="00105F8D" w:rsidRPr="00E856B0">
        <w:rPr>
          <w:lang w:val="en-AU"/>
        </w:rPr>
        <w:t>t</w:t>
      </w:r>
      <w:r w:rsidR="00642844" w:rsidRPr="00E856B0">
        <w:rPr>
          <w:lang w:val="en-AU"/>
        </w:rPr>
        <w:t>erviews were carried out with 30</w:t>
      </w:r>
      <w:r w:rsidR="00105F8D" w:rsidRPr="00E856B0">
        <w:rPr>
          <w:lang w:val="en-AU"/>
        </w:rPr>
        <w:t xml:space="preserve"> </w:t>
      </w:r>
      <w:r w:rsidR="0076520E" w:rsidRPr="00E856B0">
        <w:rPr>
          <w:lang w:val="en-AU"/>
        </w:rPr>
        <w:t>individuals</w:t>
      </w:r>
      <w:r w:rsidR="00642844" w:rsidRPr="00E856B0">
        <w:rPr>
          <w:lang w:val="en-AU"/>
        </w:rPr>
        <w:t xml:space="preserve"> (response rate = 71.4%)</w:t>
      </w:r>
      <w:r w:rsidR="0076520E" w:rsidRPr="00E856B0">
        <w:rPr>
          <w:lang w:val="en-AU"/>
        </w:rPr>
        <w:t>, who again represented teams funded under the pro</w:t>
      </w:r>
      <w:r w:rsidR="005D02BD" w:rsidRPr="00E856B0">
        <w:rPr>
          <w:lang w:val="en-AU"/>
        </w:rPr>
        <w:t>gramme</w:t>
      </w:r>
      <w:r w:rsidR="00680066" w:rsidRPr="00E856B0">
        <w:rPr>
          <w:lang w:val="en-AU"/>
        </w:rPr>
        <w:t xml:space="preserve"> </w:t>
      </w:r>
      <w:r w:rsidR="0076520E" w:rsidRPr="00E856B0">
        <w:rPr>
          <w:lang w:val="en-AU"/>
        </w:rPr>
        <w:t>and industry experts</w:t>
      </w:r>
      <w:r w:rsidR="005D02BD" w:rsidRPr="00E856B0">
        <w:rPr>
          <w:lang w:val="en-AU"/>
        </w:rPr>
        <w:t xml:space="preserve"> from across the Commonwealth</w:t>
      </w:r>
      <w:r w:rsidR="0076520E" w:rsidRPr="00E856B0">
        <w:rPr>
          <w:lang w:val="en-AU"/>
        </w:rPr>
        <w:t>.</w:t>
      </w:r>
    </w:p>
    <w:p w14:paraId="28C2F84A" w14:textId="153E219B" w:rsidR="004F6A5A" w:rsidRPr="004F6A5A" w:rsidRDefault="000C2195" w:rsidP="004F6A5A">
      <w:pPr>
        <w:spacing w:line="276" w:lineRule="auto"/>
        <w:rPr>
          <w:lang w:val="en-AU"/>
        </w:rPr>
      </w:pPr>
      <w:r>
        <w:rPr>
          <w:lang w:val="en-AU"/>
        </w:rPr>
        <w:t>Results are presented firstly for the programme teams, then for the industry experts; because of the overlap in information received, written and interview feedback has been integrated for each group.</w:t>
      </w:r>
    </w:p>
    <w:p w14:paraId="18BC262D" w14:textId="5AF5BBAE" w:rsidR="000C2195" w:rsidRDefault="000C2195" w:rsidP="004F6A5A">
      <w:pPr>
        <w:pStyle w:val="Heading2"/>
        <w:spacing w:line="276" w:lineRule="auto"/>
      </w:pPr>
      <w:r>
        <w:t>Feedback from Programme Teams</w:t>
      </w:r>
    </w:p>
    <w:p w14:paraId="16EB9228" w14:textId="202DD8D5" w:rsidR="005226F7" w:rsidRPr="000C2195" w:rsidRDefault="000C2195" w:rsidP="00096EA3">
      <w:pPr>
        <w:pStyle w:val="Heading3"/>
      </w:pPr>
      <w:r>
        <w:t xml:space="preserve">a) </w:t>
      </w:r>
      <w:r w:rsidR="00FE2F00" w:rsidRPr="000C2195">
        <w:t xml:space="preserve">Programme </w:t>
      </w:r>
      <w:r w:rsidR="002F082E" w:rsidRPr="000C2195">
        <w:t xml:space="preserve">Aims and </w:t>
      </w:r>
      <w:r w:rsidR="000C1BA4" w:rsidRPr="000C2195">
        <w:t>A</w:t>
      </w:r>
      <w:r w:rsidR="006D6777" w:rsidRPr="000C2195">
        <w:t>ctivities</w:t>
      </w:r>
    </w:p>
    <w:p w14:paraId="407A7A4E" w14:textId="0D233A8A" w:rsidR="00EF3715" w:rsidRDefault="00F83C88" w:rsidP="004F6A5A">
      <w:pPr>
        <w:spacing w:line="276" w:lineRule="auto"/>
        <w:rPr>
          <w:lang w:val="en-AU"/>
        </w:rPr>
      </w:pPr>
      <w:r w:rsidRPr="00E856B0">
        <w:rPr>
          <w:lang w:val="en-AU"/>
        </w:rPr>
        <w:t>Programmes</w:t>
      </w:r>
      <w:r w:rsidR="00FE2F00" w:rsidRPr="00E856B0">
        <w:rPr>
          <w:lang w:val="en-AU"/>
        </w:rPr>
        <w:t xml:space="preserve"> generally covered a range of</w:t>
      </w:r>
      <w:r w:rsidR="00675AAB" w:rsidRPr="00E856B0">
        <w:rPr>
          <w:lang w:val="en-AU"/>
        </w:rPr>
        <w:t xml:space="preserve"> l</w:t>
      </w:r>
      <w:r w:rsidR="00B07F4D" w:rsidRPr="00E856B0">
        <w:rPr>
          <w:lang w:val="en-AU"/>
        </w:rPr>
        <w:t>ifestyle topics</w:t>
      </w:r>
      <w:r w:rsidR="002827F0" w:rsidRPr="00E856B0">
        <w:rPr>
          <w:lang w:val="en-AU"/>
        </w:rPr>
        <w:t xml:space="preserve"> (</w:t>
      </w:r>
      <w:r w:rsidR="00D11F66">
        <w:rPr>
          <w:szCs w:val="22"/>
          <w:lang w:val="en-AU"/>
        </w:rPr>
        <w:fldChar w:fldCharType="begin"/>
      </w:r>
      <w:r w:rsidR="00D11F66" w:rsidRPr="00EF3715">
        <w:rPr>
          <w:szCs w:val="22"/>
          <w:lang w:val="en-AU"/>
        </w:rPr>
        <w:instrText xml:space="preserve"> REF _Ref429653696 \h </w:instrText>
      </w:r>
      <w:r w:rsidR="00EF3715">
        <w:rPr>
          <w:szCs w:val="22"/>
          <w:lang w:val="en-AU"/>
        </w:rPr>
        <w:instrText xml:space="preserve"> \* MERGEFORMAT </w:instrText>
      </w:r>
      <w:r w:rsidR="00D11F66">
        <w:rPr>
          <w:szCs w:val="22"/>
          <w:lang w:val="en-AU"/>
        </w:rPr>
      </w:r>
      <w:r w:rsidR="00D11F66">
        <w:rPr>
          <w:szCs w:val="22"/>
          <w:lang w:val="en-AU"/>
        </w:rPr>
        <w:fldChar w:fldCharType="separate"/>
      </w:r>
      <w:r w:rsidR="00D11F66" w:rsidRPr="00EF3715">
        <w:rPr>
          <w:szCs w:val="22"/>
          <w:lang w:val="en-AU"/>
        </w:rPr>
        <w:t>Figure</w:t>
      </w:r>
      <w:r w:rsidR="00D11F66" w:rsidRPr="00E856B0">
        <w:rPr>
          <w:sz w:val="24"/>
          <w:lang w:val="en-AU"/>
        </w:rPr>
        <w:t xml:space="preserve"> </w:t>
      </w:r>
      <w:r w:rsidR="00D11F66">
        <w:rPr>
          <w:noProof/>
          <w:sz w:val="24"/>
          <w:lang w:val="en-AU"/>
        </w:rPr>
        <w:t>1</w:t>
      </w:r>
      <w:r w:rsidR="00D11F66">
        <w:rPr>
          <w:lang w:val="en-AU"/>
        </w:rPr>
        <w:fldChar w:fldCharType="end"/>
      </w:r>
      <w:r w:rsidR="002827F0" w:rsidRPr="00E856B0">
        <w:rPr>
          <w:lang w:val="en-AU"/>
        </w:rPr>
        <w:t>)</w:t>
      </w:r>
      <w:r w:rsidR="00B07F4D" w:rsidRPr="00E856B0">
        <w:rPr>
          <w:lang w:val="en-AU"/>
        </w:rPr>
        <w:t>, with the mos</w:t>
      </w:r>
      <w:r w:rsidR="000E2EC4" w:rsidRPr="00E856B0">
        <w:rPr>
          <w:lang w:val="en-AU"/>
        </w:rPr>
        <w:t xml:space="preserve">t common being </w:t>
      </w:r>
      <w:r w:rsidR="00B07F4D" w:rsidRPr="00E856B0">
        <w:rPr>
          <w:lang w:val="en-AU"/>
        </w:rPr>
        <w:t>s</w:t>
      </w:r>
      <w:r w:rsidR="000E2EC4" w:rsidRPr="00E856B0">
        <w:rPr>
          <w:lang w:val="en-AU"/>
        </w:rPr>
        <w:t>mo</w:t>
      </w:r>
      <w:r w:rsidR="005D02BD" w:rsidRPr="00E856B0">
        <w:rPr>
          <w:lang w:val="en-AU"/>
        </w:rPr>
        <w:t>king cessation  &amp; prevention</w:t>
      </w:r>
      <w:r w:rsidR="000E2EC4" w:rsidRPr="00E856B0">
        <w:rPr>
          <w:lang w:val="en-AU"/>
        </w:rPr>
        <w:t xml:space="preserve"> (93.2</w:t>
      </w:r>
      <w:r w:rsidR="00B07F4D" w:rsidRPr="00E856B0">
        <w:rPr>
          <w:lang w:val="en-AU"/>
        </w:rPr>
        <w:t>%)</w:t>
      </w:r>
      <w:r w:rsidR="000E2EC4" w:rsidRPr="00E856B0">
        <w:rPr>
          <w:lang w:val="en-AU"/>
        </w:rPr>
        <w:t>, physical activity (84.1%) and healthy eating (81.8%)</w:t>
      </w:r>
      <w:r w:rsidR="007C4F4B" w:rsidRPr="00E856B0">
        <w:rPr>
          <w:lang w:val="en-AU"/>
        </w:rPr>
        <w:t xml:space="preserve">, with the main aims of the programmes being to educate the community about the dangers of smoking (92.9%) and so </w:t>
      </w:r>
      <w:r w:rsidR="00B07F4D" w:rsidRPr="00E856B0">
        <w:rPr>
          <w:lang w:val="en-AU"/>
        </w:rPr>
        <w:t xml:space="preserve">change attitudes </w:t>
      </w:r>
      <w:r w:rsidR="007C4F4B" w:rsidRPr="00E856B0">
        <w:rPr>
          <w:lang w:val="en-AU"/>
        </w:rPr>
        <w:t xml:space="preserve">towards smoking (92.9%) </w:t>
      </w:r>
      <w:r w:rsidR="00B07F4D" w:rsidRPr="00E856B0">
        <w:rPr>
          <w:lang w:val="en-AU"/>
        </w:rPr>
        <w:t>and behaviours</w:t>
      </w:r>
      <w:r w:rsidR="002F082E" w:rsidRPr="00E856B0">
        <w:rPr>
          <w:lang w:val="en-AU"/>
        </w:rPr>
        <w:t xml:space="preserve"> (see </w:t>
      </w:r>
      <w:r w:rsidR="00096EA3">
        <w:rPr>
          <w:szCs w:val="22"/>
          <w:lang w:val="en-AU"/>
        </w:rPr>
        <w:fldChar w:fldCharType="begin"/>
      </w:r>
      <w:r w:rsidR="00096EA3" w:rsidRPr="00EF3715">
        <w:rPr>
          <w:szCs w:val="22"/>
          <w:lang w:val="en-AU"/>
        </w:rPr>
        <w:instrText xml:space="preserve"> REF _Ref429646931 \h </w:instrText>
      </w:r>
      <w:r w:rsidR="00EF3715">
        <w:rPr>
          <w:szCs w:val="22"/>
          <w:lang w:val="en-AU"/>
        </w:rPr>
        <w:instrText xml:space="preserve"> \* MERGEFORMAT </w:instrText>
      </w:r>
      <w:r w:rsidR="00096EA3">
        <w:rPr>
          <w:szCs w:val="22"/>
          <w:lang w:val="en-AU"/>
        </w:rPr>
      </w:r>
      <w:r w:rsidR="00096EA3">
        <w:rPr>
          <w:szCs w:val="22"/>
          <w:lang w:val="en-AU"/>
        </w:rPr>
        <w:fldChar w:fldCharType="separate"/>
      </w:r>
      <w:r w:rsidR="00096EA3" w:rsidRPr="00EF3715">
        <w:rPr>
          <w:szCs w:val="22"/>
          <w:lang w:val="en-AU"/>
        </w:rPr>
        <w:t>Figure</w:t>
      </w:r>
      <w:r w:rsidR="00096EA3" w:rsidRPr="00E856B0">
        <w:rPr>
          <w:sz w:val="24"/>
          <w:lang w:val="en-AU"/>
        </w:rPr>
        <w:t xml:space="preserve"> </w:t>
      </w:r>
      <w:r w:rsidR="00096EA3">
        <w:rPr>
          <w:noProof/>
          <w:sz w:val="24"/>
          <w:lang w:val="en-AU"/>
        </w:rPr>
        <w:t>2</w:t>
      </w:r>
      <w:r w:rsidR="00096EA3">
        <w:rPr>
          <w:lang w:val="en-AU"/>
        </w:rPr>
        <w:fldChar w:fldCharType="end"/>
      </w:r>
      <w:r w:rsidR="007C4F4B" w:rsidRPr="00E856B0">
        <w:rPr>
          <w:lang w:val="en-AU"/>
        </w:rPr>
        <w:t>)</w:t>
      </w:r>
      <w:r w:rsidR="00B07F4D" w:rsidRPr="00E856B0">
        <w:rPr>
          <w:lang w:val="en-AU"/>
        </w:rPr>
        <w:t>.</w:t>
      </w:r>
    </w:p>
    <w:p w14:paraId="1B896BD2" w14:textId="77777777" w:rsidR="00EF3715" w:rsidRDefault="00EF3715">
      <w:pPr>
        <w:spacing w:before="0" w:after="0"/>
        <w:rPr>
          <w:lang w:val="en-AU"/>
        </w:rPr>
      </w:pPr>
      <w:r>
        <w:rPr>
          <w:lang w:val="en-AU"/>
        </w:rPr>
        <w:br w:type="page"/>
      </w:r>
    </w:p>
    <w:p w14:paraId="0968A325" w14:textId="03FCFF4F" w:rsidR="000E2EC4" w:rsidRDefault="002827F0" w:rsidP="002827F0">
      <w:pPr>
        <w:pStyle w:val="Caption"/>
        <w:rPr>
          <w:sz w:val="24"/>
          <w:lang w:val="en-AU"/>
        </w:rPr>
      </w:pPr>
      <w:bookmarkStart w:id="0" w:name="_Ref429653696"/>
      <w:r w:rsidRPr="00E856B0">
        <w:rPr>
          <w:sz w:val="24"/>
          <w:lang w:val="en-AU"/>
        </w:rPr>
        <w:lastRenderedPageBreak/>
        <w:t xml:space="preserve">Figure </w:t>
      </w:r>
      <w:r w:rsidR="005226F7" w:rsidRPr="00E856B0">
        <w:rPr>
          <w:sz w:val="24"/>
          <w:lang w:val="en-AU"/>
        </w:rPr>
        <w:fldChar w:fldCharType="begin"/>
      </w:r>
      <w:r w:rsidR="005226F7" w:rsidRPr="00E856B0">
        <w:rPr>
          <w:sz w:val="24"/>
          <w:lang w:val="en-AU"/>
        </w:rPr>
        <w:instrText xml:space="preserve"> SEQ Figure \* ARABIC </w:instrText>
      </w:r>
      <w:r w:rsidR="005226F7" w:rsidRPr="00E856B0">
        <w:rPr>
          <w:sz w:val="24"/>
          <w:lang w:val="en-AU"/>
        </w:rPr>
        <w:fldChar w:fldCharType="separate"/>
      </w:r>
      <w:r w:rsidR="00FB7662">
        <w:rPr>
          <w:noProof/>
          <w:sz w:val="24"/>
          <w:lang w:val="en-AU"/>
        </w:rPr>
        <w:t>1</w:t>
      </w:r>
      <w:r w:rsidR="005226F7" w:rsidRPr="00E856B0">
        <w:rPr>
          <w:sz w:val="24"/>
          <w:lang w:val="en-AU"/>
        </w:rPr>
        <w:fldChar w:fldCharType="end"/>
      </w:r>
      <w:bookmarkEnd w:id="0"/>
      <w:r w:rsidR="005226F7" w:rsidRPr="00E856B0">
        <w:rPr>
          <w:sz w:val="24"/>
          <w:lang w:val="en-AU"/>
        </w:rPr>
        <w:t>:</w:t>
      </w:r>
      <w:r w:rsidR="00E47132">
        <w:rPr>
          <w:sz w:val="24"/>
          <w:lang w:val="en-AU"/>
        </w:rPr>
        <w:t xml:space="preserve"> </w:t>
      </w:r>
      <w:r w:rsidR="005226F7" w:rsidRPr="00E856B0">
        <w:rPr>
          <w:sz w:val="24"/>
          <w:lang w:val="en-AU"/>
        </w:rPr>
        <w:t>Lifestyle Topics Covered by P</w:t>
      </w:r>
      <w:r w:rsidRPr="00E856B0">
        <w:rPr>
          <w:sz w:val="24"/>
          <w:lang w:val="en-AU"/>
        </w:rPr>
        <w:t>rogrammes</w:t>
      </w:r>
    </w:p>
    <w:p w14:paraId="6C56EBA1" w14:textId="393E0082" w:rsidR="00C22994" w:rsidRDefault="003512D8" w:rsidP="00096EA3">
      <w:pPr>
        <w:rPr>
          <w:noProof/>
          <w:lang w:val="en-AU" w:eastAsia="en-AU"/>
        </w:rPr>
      </w:pPr>
      <w:r>
        <w:rPr>
          <w:noProof/>
          <w:lang w:val="en-AU" w:eastAsia="en-AU"/>
        </w:rPr>
        <w:drawing>
          <wp:inline distT="0" distB="0" distL="0" distR="0" wp14:anchorId="10FE2436" wp14:editId="5F505C6C">
            <wp:extent cx="4584700" cy="2402205"/>
            <wp:effectExtent l="0" t="0" r="6350" b="0"/>
            <wp:docPr id="17" name="Picture 17" descr="Figure 1 is a bar graph with the percentages (%) of respondents and against the lifestyle topics covered by the programme. An overview of the data is in the text prior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402205"/>
                    </a:xfrm>
                    <a:prstGeom prst="rect">
                      <a:avLst/>
                    </a:prstGeom>
                    <a:noFill/>
                  </pic:spPr>
                </pic:pic>
              </a:graphicData>
            </a:graphic>
          </wp:inline>
        </w:drawing>
      </w:r>
    </w:p>
    <w:p w14:paraId="3947C72F" w14:textId="1070AC6F" w:rsidR="005226F7" w:rsidRDefault="005226F7" w:rsidP="005226F7">
      <w:pPr>
        <w:pStyle w:val="Caption"/>
        <w:keepNext/>
        <w:rPr>
          <w:sz w:val="24"/>
          <w:lang w:val="en-AU"/>
        </w:rPr>
      </w:pPr>
      <w:bookmarkStart w:id="1" w:name="_Ref429646931"/>
      <w:r w:rsidRPr="00E856B0">
        <w:rPr>
          <w:sz w:val="24"/>
          <w:lang w:val="en-AU"/>
        </w:rPr>
        <w:t xml:space="preserve">Figure </w:t>
      </w:r>
      <w:r w:rsidRPr="00E856B0">
        <w:rPr>
          <w:sz w:val="24"/>
          <w:lang w:val="en-AU"/>
        </w:rPr>
        <w:fldChar w:fldCharType="begin"/>
      </w:r>
      <w:r w:rsidRPr="00E856B0">
        <w:rPr>
          <w:sz w:val="24"/>
          <w:lang w:val="en-AU"/>
        </w:rPr>
        <w:instrText xml:space="preserve"> SEQ Figure \* ARABIC </w:instrText>
      </w:r>
      <w:r w:rsidRPr="00E856B0">
        <w:rPr>
          <w:sz w:val="24"/>
          <w:lang w:val="en-AU"/>
        </w:rPr>
        <w:fldChar w:fldCharType="separate"/>
      </w:r>
      <w:r w:rsidR="00FB7662">
        <w:rPr>
          <w:noProof/>
          <w:sz w:val="24"/>
          <w:lang w:val="en-AU"/>
        </w:rPr>
        <w:t>2</w:t>
      </w:r>
      <w:r w:rsidRPr="00E856B0">
        <w:rPr>
          <w:sz w:val="24"/>
          <w:lang w:val="en-AU"/>
        </w:rPr>
        <w:fldChar w:fldCharType="end"/>
      </w:r>
      <w:bookmarkEnd w:id="1"/>
      <w:r w:rsidRPr="00E856B0">
        <w:rPr>
          <w:sz w:val="24"/>
          <w:lang w:val="en-AU"/>
        </w:rPr>
        <w:t>: Programme Aims</w:t>
      </w:r>
    </w:p>
    <w:p w14:paraId="00072A4C" w14:textId="6963C4CD" w:rsidR="00A02CFF" w:rsidRPr="00A02CFF" w:rsidRDefault="00A02CFF" w:rsidP="00A02CFF">
      <w:pPr>
        <w:rPr>
          <w:lang w:val="en-AU"/>
        </w:rPr>
      </w:pPr>
      <w:r>
        <w:rPr>
          <w:noProof/>
          <w:lang w:val="en-AU" w:eastAsia="en-AU"/>
        </w:rPr>
        <w:drawing>
          <wp:inline distT="0" distB="0" distL="0" distR="0" wp14:anchorId="2DD09C2A" wp14:editId="3C811FD3">
            <wp:extent cx="5285740" cy="3084830"/>
            <wp:effectExtent l="0" t="0" r="0" b="1270"/>
            <wp:docPr id="19" name="Picture 19" descr="Figure 2 is a bar graph showing the program aims against the percentage (%) or respondents and the following aims: &#10;• 92.9% Community education about smoking&#10;• 76.2% Community education about healthy lifestyles&#10;• 92.9% Change community attitudes to smoking&#10;• 76.2% Change community attitudes to healthy lifestyles&#10;• 90.5% Prevent uptake of smoking in young people&#10;• 88.1% Help pregnant women cut down or stop smoking&#10;• 95.2% Help anyone who smokes to cut down or stop&#10;• 69.1% Increase the number of people who consume a nutritious diet&#10;• 73.8% Increase physical activity among the community&#10;• 42.9% Weight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5740" cy="3084830"/>
                    </a:xfrm>
                    <a:prstGeom prst="rect">
                      <a:avLst/>
                    </a:prstGeom>
                    <a:noFill/>
                  </pic:spPr>
                </pic:pic>
              </a:graphicData>
            </a:graphic>
          </wp:inline>
        </w:drawing>
      </w:r>
    </w:p>
    <w:p w14:paraId="7EEE23A5" w14:textId="77777777" w:rsidR="004F6A5A" w:rsidRPr="00096EA3" w:rsidRDefault="004F6A5A" w:rsidP="00096EA3">
      <w:r w:rsidRPr="00096EA3">
        <w:br w:type="page"/>
      </w:r>
    </w:p>
    <w:p w14:paraId="584BDC4A" w14:textId="1FE50660" w:rsidR="002F082E" w:rsidRDefault="002F082E" w:rsidP="002F082E">
      <w:pPr>
        <w:pStyle w:val="Caption"/>
        <w:rPr>
          <w:sz w:val="24"/>
          <w:lang w:val="en-AU"/>
        </w:rPr>
      </w:pPr>
      <w:r w:rsidRPr="00E856B0">
        <w:rPr>
          <w:sz w:val="24"/>
          <w:szCs w:val="24"/>
          <w:lang w:val="en-AU"/>
        </w:rPr>
        <w:lastRenderedPageBreak/>
        <w:t xml:space="preserve">Figure </w:t>
      </w:r>
      <w:r w:rsidRPr="00E856B0">
        <w:rPr>
          <w:sz w:val="24"/>
          <w:szCs w:val="24"/>
          <w:lang w:val="en-AU"/>
        </w:rPr>
        <w:fldChar w:fldCharType="begin"/>
      </w:r>
      <w:r w:rsidRPr="00E856B0">
        <w:rPr>
          <w:sz w:val="24"/>
          <w:szCs w:val="24"/>
          <w:lang w:val="en-AU"/>
        </w:rPr>
        <w:instrText xml:space="preserve"> SEQ Figure \* ARABIC </w:instrText>
      </w:r>
      <w:r w:rsidRPr="00E856B0">
        <w:rPr>
          <w:sz w:val="24"/>
          <w:szCs w:val="24"/>
          <w:lang w:val="en-AU"/>
        </w:rPr>
        <w:fldChar w:fldCharType="separate"/>
      </w:r>
      <w:r w:rsidR="00FB7662">
        <w:rPr>
          <w:noProof/>
          <w:sz w:val="24"/>
          <w:szCs w:val="24"/>
          <w:lang w:val="en-AU"/>
        </w:rPr>
        <w:t>3</w:t>
      </w:r>
      <w:r w:rsidRPr="00E856B0">
        <w:rPr>
          <w:sz w:val="24"/>
          <w:szCs w:val="24"/>
          <w:lang w:val="en-AU"/>
        </w:rPr>
        <w:fldChar w:fldCharType="end"/>
      </w:r>
      <w:r w:rsidR="00EF3715" w:rsidRPr="00E856B0">
        <w:rPr>
          <w:sz w:val="24"/>
          <w:szCs w:val="24"/>
          <w:lang w:val="en-AU"/>
        </w:rPr>
        <w:t>:</w:t>
      </w:r>
      <w:r w:rsidR="00EF3715" w:rsidRPr="00E856B0">
        <w:rPr>
          <w:sz w:val="24"/>
          <w:lang w:val="en-AU"/>
        </w:rPr>
        <w:t xml:space="preserve"> Components</w:t>
      </w:r>
      <w:r w:rsidRPr="00E856B0">
        <w:rPr>
          <w:sz w:val="24"/>
          <w:lang w:val="en-AU"/>
        </w:rPr>
        <w:t xml:space="preserve"> Included in Programmes</w:t>
      </w:r>
    </w:p>
    <w:p w14:paraId="6FB9E90C" w14:textId="77777777" w:rsidR="007D70E6" w:rsidRPr="00E856B0" w:rsidRDefault="007D70E6" w:rsidP="007D70E6">
      <w:pPr>
        <w:spacing w:line="276" w:lineRule="auto"/>
        <w:rPr>
          <w:lang w:val="en-AU"/>
        </w:rPr>
      </w:pPr>
      <w:r w:rsidRPr="00E856B0">
        <w:rPr>
          <w:lang w:val="en-AU"/>
        </w:rPr>
        <w:t xml:space="preserve">Programmes included a number of different elements as shown in Figure 3, with Regional </w:t>
      </w:r>
      <w:r>
        <w:rPr>
          <w:lang w:val="en-AU"/>
        </w:rPr>
        <w:t>T</w:t>
      </w:r>
      <w:r w:rsidRPr="00E856B0">
        <w:rPr>
          <w:lang w:val="en-AU"/>
        </w:rPr>
        <w:t xml:space="preserve">obacco </w:t>
      </w:r>
      <w:r>
        <w:rPr>
          <w:lang w:val="en-AU"/>
        </w:rPr>
        <w:t>C</w:t>
      </w:r>
      <w:r w:rsidRPr="00E856B0">
        <w:rPr>
          <w:lang w:val="en-AU"/>
        </w:rPr>
        <w:t xml:space="preserve">o-ordinator (84.8%) and </w:t>
      </w:r>
      <w:r>
        <w:rPr>
          <w:lang w:val="en-AU"/>
        </w:rPr>
        <w:t>T</w:t>
      </w:r>
      <w:r w:rsidRPr="00E856B0">
        <w:rPr>
          <w:lang w:val="en-AU"/>
        </w:rPr>
        <w:t xml:space="preserve">obacco </w:t>
      </w:r>
      <w:r>
        <w:rPr>
          <w:lang w:val="en-AU"/>
        </w:rPr>
        <w:t>A</w:t>
      </w:r>
      <w:r w:rsidRPr="00E856B0">
        <w:rPr>
          <w:lang w:val="en-AU"/>
        </w:rPr>
        <w:t xml:space="preserve">ction </w:t>
      </w:r>
      <w:r>
        <w:rPr>
          <w:lang w:val="en-AU"/>
        </w:rPr>
        <w:t>W</w:t>
      </w:r>
      <w:r w:rsidRPr="00E856B0">
        <w:rPr>
          <w:lang w:val="en-AU"/>
        </w:rPr>
        <w:t xml:space="preserve">orker  (82.6%) being the most common components.  In contrast clinical services were the least likely to be featured (30.1%). </w:t>
      </w:r>
    </w:p>
    <w:p w14:paraId="04D1C5C1" w14:textId="3EBC5B77" w:rsidR="00933954" w:rsidRPr="00E856B0" w:rsidRDefault="004059C6" w:rsidP="004F6A5A">
      <w:pPr>
        <w:spacing w:line="276" w:lineRule="auto"/>
        <w:rPr>
          <w:lang w:val="en-AU"/>
        </w:rPr>
      </w:pPr>
      <w:r w:rsidRPr="00E856B0">
        <w:rPr>
          <w:lang w:val="en-AU"/>
        </w:rPr>
        <w:t>The limited number of clinical services is unsurprising given that the p</w:t>
      </w:r>
      <w:r w:rsidR="002F082E" w:rsidRPr="00E856B0">
        <w:rPr>
          <w:lang w:val="en-AU"/>
        </w:rPr>
        <w:t xml:space="preserve">rogrammes </w:t>
      </w:r>
      <w:r w:rsidR="00933954" w:rsidRPr="00E856B0">
        <w:rPr>
          <w:lang w:val="en-AU"/>
        </w:rPr>
        <w:t>were mainly</w:t>
      </w:r>
      <w:r w:rsidR="005C1182" w:rsidRPr="00E856B0">
        <w:rPr>
          <w:lang w:val="en-AU"/>
        </w:rPr>
        <w:t xml:space="preserve"> concerned with</w:t>
      </w:r>
      <w:r w:rsidR="00933954" w:rsidRPr="00E856B0">
        <w:rPr>
          <w:lang w:val="en-AU"/>
        </w:rPr>
        <w:t xml:space="preserve"> raising </w:t>
      </w:r>
      <w:r w:rsidR="00675AAB" w:rsidRPr="00E856B0">
        <w:rPr>
          <w:lang w:val="en-AU"/>
        </w:rPr>
        <w:t xml:space="preserve">awareness </w:t>
      </w:r>
      <w:r w:rsidR="00933954" w:rsidRPr="00E856B0">
        <w:rPr>
          <w:lang w:val="en-AU"/>
        </w:rPr>
        <w:t>of services available</w:t>
      </w:r>
      <w:r w:rsidR="002F082E" w:rsidRPr="00E856B0">
        <w:rPr>
          <w:lang w:val="en-AU"/>
        </w:rPr>
        <w:t xml:space="preserve"> (92.7%)</w:t>
      </w:r>
      <w:r w:rsidR="00933954" w:rsidRPr="00E856B0">
        <w:rPr>
          <w:lang w:val="en-AU"/>
        </w:rPr>
        <w:t xml:space="preserve">, preventing smoking </w:t>
      </w:r>
      <w:r w:rsidR="00675AAB" w:rsidRPr="00E856B0">
        <w:rPr>
          <w:lang w:val="en-AU"/>
        </w:rPr>
        <w:t>uptake</w:t>
      </w:r>
      <w:r w:rsidR="002F082E" w:rsidRPr="00E856B0">
        <w:rPr>
          <w:lang w:val="en-AU"/>
        </w:rPr>
        <w:t xml:space="preserve"> (87.8%) </w:t>
      </w:r>
      <w:r w:rsidR="00933954" w:rsidRPr="00E856B0">
        <w:rPr>
          <w:lang w:val="en-AU"/>
        </w:rPr>
        <w:t xml:space="preserve">and providing healthy </w:t>
      </w:r>
      <w:r w:rsidR="00675AAB" w:rsidRPr="00E856B0">
        <w:rPr>
          <w:lang w:val="en-AU"/>
        </w:rPr>
        <w:t>life</w:t>
      </w:r>
      <w:r w:rsidR="00933954" w:rsidRPr="00E856B0">
        <w:rPr>
          <w:lang w:val="en-AU"/>
        </w:rPr>
        <w:t xml:space="preserve"> style </w:t>
      </w:r>
      <w:r w:rsidR="002F082E" w:rsidRPr="00E856B0">
        <w:rPr>
          <w:lang w:val="en-AU"/>
        </w:rPr>
        <w:t>activities (80.5%)</w:t>
      </w:r>
      <w:r w:rsidR="00933954" w:rsidRPr="00E856B0">
        <w:rPr>
          <w:lang w:val="en-AU"/>
        </w:rPr>
        <w:t xml:space="preserve">.  </w:t>
      </w:r>
      <w:r w:rsidR="00675AAB" w:rsidRPr="00E856B0">
        <w:rPr>
          <w:lang w:val="en-AU"/>
        </w:rPr>
        <w:t>However</w:t>
      </w:r>
      <w:r w:rsidR="00933954" w:rsidRPr="00E856B0">
        <w:rPr>
          <w:lang w:val="en-AU"/>
        </w:rPr>
        <w:t xml:space="preserve"> over </w:t>
      </w:r>
      <w:r w:rsidR="00675AAB" w:rsidRPr="00E856B0">
        <w:rPr>
          <w:lang w:val="en-AU"/>
        </w:rPr>
        <w:t>half</w:t>
      </w:r>
      <w:r w:rsidR="00933954" w:rsidRPr="00E856B0">
        <w:rPr>
          <w:lang w:val="en-AU"/>
        </w:rPr>
        <w:t xml:space="preserve"> </w:t>
      </w:r>
      <w:r w:rsidR="00675AAB" w:rsidRPr="00E856B0">
        <w:rPr>
          <w:lang w:val="en-AU"/>
        </w:rPr>
        <w:t>also</w:t>
      </w:r>
      <w:r w:rsidR="00933954" w:rsidRPr="00E856B0">
        <w:rPr>
          <w:lang w:val="en-AU"/>
        </w:rPr>
        <w:t xml:space="preserve"> </w:t>
      </w:r>
      <w:r w:rsidR="00675AAB" w:rsidRPr="00E856B0">
        <w:rPr>
          <w:lang w:val="en-AU"/>
        </w:rPr>
        <w:t>saw outreach work</w:t>
      </w:r>
      <w:r w:rsidR="002F082E" w:rsidRPr="00E856B0">
        <w:rPr>
          <w:lang w:val="en-AU"/>
        </w:rPr>
        <w:t xml:space="preserve"> (70.0%)</w:t>
      </w:r>
      <w:r w:rsidR="00675AAB" w:rsidRPr="00E856B0">
        <w:rPr>
          <w:lang w:val="en-AU"/>
        </w:rPr>
        <w:t xml:space="preserve"> and quit support services </w:t>
      </w:r>
      <w:r w:rsidR="002F082E" w:rsidRPr="00E856B0">
        <w:rPr>
          <w:lang w:val="en-AU"/>
        </w:rPr>
        <w:t xml:space="preserve">such as running quit groups for targeted populations (61.0%) and </w:t>
      </w:r>
      <w:r w:rsidR="00675AAB" w:rsidRPr="00E856B0">
        <w:rPr>
          <w:lang w:val="en-AU"/>
        </w:rPr>
        <w:t>providing NRT</w:t>
      </w:r>
      <w:r w:rsidR="002F082E" w:rsidRPr="00E856B0">
        <w:rPr>
          <w:lang w:val="en-AU"/>
        </w:rPr>
        <w:t xml:space="preserve"> (51.2%</w:t>
      </w:r>
      <w:r w:rsidR="00675AAB" w:rsidRPr="00E856B0">
        <w:rPr>
          <w:lang w:val="en-AU"/>
        </w:rPr>
        <w:t>) as being within their remit.</w:t>
      </w:r>
    </w:p>
    <w:p w14:paraId="7E9C31A3" w14:textId="02A22A24" w:rsidR="00675AAB" w:rsidRPr="00E856B0" w:rsidRDefault="004059C6" w:rsidP="004F6A5A">
      <w:pPr>
        <w:spacing w:line="276" w:lineRule="auto"/>
        <w:rPr>
          <w:lang w:val="en-AU"/>
        </w:rPr>
      </w:pPr>
      <w:r w:rsidRPr="00E856B0">
        <w:rPr>
          <w:lang w:val="en-AU"/>
        </w:rPr>
        <w:t>The sort of activities carried out by programmes also highlighted their educational focus, with promotional events, social marketing and educational sessions</w:t>
      </w:r>
      <w:r w:rsidR="00F9223D" w:rsidRPr="00E856B0">
        <w:rPr>
          <w:lang w:val="en-AU"/>
        </w:rPr>
        <w:t xml:space="preserve"> around the dangers of smoking and the benefits of healthy lifestyles</w:t>
      </w:r>
      <w:r w:rsidRPr="00E856B0">
        <w:rPr>
          <w:lang w:val="en-AU"/>
        </w:rPr>
        <w:t xml:space="preserve"> featuring high on the agenda. </w:t>
      </w:r>
      <w:r w:rsidR="00F9223D" w:rsidRPr="00E856B0">
        <w:rPr>
          <w:lang w:val="en-AU"/>
        </w:rPr>
        <w:t>P</w:t>
      </w:r>
      <w:r w:rsidRPr="00E856B0">
        <w:rPr>
          <w:lang w:val="en-AU"/>
        </w:rPr>
        <w:t>hysical activities ranging from Traditional Indigenous Ga</w:t>
      </w:r>
      <w:r w:rsidR="002635DF" w:rsidRPr="00E856B0">
        <w:rPr>
          <w:lang w:val="en-AU"/>
        </w:rPr>
        <w:t xml:space="preserve">mes (TIG), through competitive </w:t>
      </w:r>
      <w:r w:rsidRPr="00E856B0">
        <w:rPr>
          <w:lang w:val="en-AU"/>
        </w:rPr>
        <w:t>games such as football and basketball to walking groups and gym sessions were also described.  Cooking</w:t>
      </w:r>
      <w:r w:rsidR="00F9223D" w:rsidRPr="00E856B0">
        <w:rPr>
          <w:lang w:val="en-AU"/>
        </w:rPr>
        <w:t xml:space="preserve"> and nutrition components were also an important featu</w:t>
      </w:r>
      <w:r w:rsidR="002635DF" w:rsidRPr="00E856B0">
        <w:rPr>
          <w:lang w:val="en-AU"/>
        </w:rPr>
        <w:t>re of a number of programmes.  Finally t</w:t>
      </w:r>
      <w:r w:rsidR="00F9223D" w:rsidRPr="00E856B0">
        <w:rPr>
          <w:lang w:val="en-AU"/>
        </w:rPr>
        <w:t xml:space="preserve">wo projects also </w:t>
      </w:r>
      <w:r w:rsidR="002635DF" w:rsidRPr="00E856B0">
        <w:rPr>
          <w:lang w:val="en-AU"/>
        </w:rPr>
        <w:t>included</w:t>
      </w:r>
      <w:r w:rsidR="00F9223D" w:rsidRPr="00E856B0">
        <w:rPr>
          <w:lang w:val="en-AU"/>
        </w:rPr>
        <w:t xml:space="preserve"> a commercial weight management programm</w:t>
      </w:r>
      <w:r w:rsidR="002635DF" w:rsidRPr="00E856B0">
        <w:rPr>
          <w:lang w:val="en-AU"/>
        </w:rPr>
        <w:t>e for children and families which</w:t>
      </w:r>
      <w:r w:rsidR="00F9223D" w:rsidRPr="00E856B0">
        <w:rPr>
          <w:lang w:val="en-AU"/>
        </w:rPr>
        <w:t xml:space="preserve"> combines physical activity with advice on nutrition (Mind, Exercise, Nutrition…Do It! or MEND)</w:t>
      </w:r>
    </w:p>
    <w:p w14:paraId="670224CB" w14:textId="7FDA76C8" w:rsidR="00121994" w:rsidRPr="00E856B0" w:rsidRDefault="007B46BD" w:rsidP="00096EA3">
      <w:pPr>
        <w:pStyle w:val="Heading3"/>
      </w:pPr>
      <w:r>
        <w:t xml:space="preserve">b) </w:t>
      </w:r>
      <w:r w:rsidR="00605B11" w:rsidRPr="00E856B0">
        <w:t>Programme F</w:t>
      </w:r>
      <w:r w:rsidR="00121994" w:rsidRPr="00E856B0">
        <w:t>unding</w:t>
      </w:r>
    </w:p>
    <w:p w14:paraId="7794E876" w14:textId="3F228415" w:rsidR="00605B11" w:rsidRPr="00E856B0" w:rsidRDefault="00121994" w:rsidP="004F6A5A">
      <w:pPr>
        <w:spacing w:line="276" w:lineRule="auto"/>
        <w:rPr>
          <w:lang w:val="en-AU"/>
        </w:rPr>
      </w:pPr>
      <w:r w:rsidRPr="00E856B0">
        <w:rPr>
          <w:lang w:val="en-AU"/>
        </w:rPr>
        <w:t xml:space="preserve">Funding was used primarily to provide workforce salaries. Programme materials and administrative </w:t>
      </w:r>
      <w:proofErr w:type="spellStart"/>
      <w:r w:rsidR="009D4409" w:rsidRPr="00E856B0">
        <w:rPr>
          <w:lang w:val="en-AU"/>
        </w:rPr>
        <w:t>on</w:t>
      </w:r>
      <w:r w:rsidRPr="00E856B0">
        <w:rPr>
          <w:lang w:val="en-AU"/>
        </w:rPr>
        <w:t>costs</w:t>
      </w:r>
      <w:proofErr w:type="spellEnd"/>
      <w:r w:rsidRPr="00E856B0">
        <w:rPr>
          <w:lang w:val="en-AU"/>
        </w:rPr>
        <w:t xml:space="preserve"> also took up a substantial part of programme budgets. </w:t>
      </w:r>
      <w:r w:rsidR="00605B11" w:rsidRPr="00E856B0">
        <w:rPr>
          <w:lang w:val="en-AU"/>
        </w:rPr>
        <w:t xml:space="preserve">In addition to this programmes had used their funding to cover items such as travel, </w:t>
      </w:r>
      <w:r w:rsidR="009D4409" w:rsidRPr="00E856B0">
        <w:rPr>
          <w:lang w:val="en-AU"/>
        </w:rPr>
        <w:t>purchasing equipment and vehicles, and workforce training.</w:t>
      </w:r>
    </w:p>
    <w:p w14:paraId="35D65E70" w14:textId="77777777" w:rsidR="003D70A3" w:rsidRPr="00A02CFF" w:rsidRDefault="00121994" w:rsidP="004F6A5A">
      <w:pPr>
        <w:spacing w:line="276" w:lineRule="auto"/>
      </w:pPr>
      <w:r w:rsidRPr="00E856B0">
        <w:rPr>
          <w:lang w:val="en-AU"/>
        </w:rPr>
        <w:t>Interviewees felt that in some areas</w:t>
      </w:r>
      <w:r w:rsidR="00605B11" w:rsidRPr="00E856B0">
        <w:rPr>
          <w:lang w:val="en-AU"/>
        </w:rPr>
        <w:t xml:space="preserve">, particularly where the </w:t>
      </w:r>
      <w:r w:rsidR="002B31F9">
        <w:rPr>
          <w:lang w:val="en-AU"/>
        </w:rPr>
        <w:t>R</w:t>
      </w:r>
      <w:r w:rsidR="00605B11" w:rsidRPr="00E856B0">
        <w:rPr>
          <w:lang w:val="en-AU"/>
        </w:rPr>
        <w:t xml:space="preserve">egional </w:t>
      </w:r>
      <w:r w:rsidR="002B31F9">
        <w:rPr>
          <w:lang w:val="en-AU"/>
        </w:rPr>
        <w:t>T</w:t>
      </w:r>
      <w:r w:rsidR="00605B11" w:rsidRPr="00E856B0">
        <w:rPr>
          <w:lang w:val="en-AU"/>
        </w:rPr>
        <w:t xml:space="preserve">obacco </w:t>
      </w:r>
      <w:r w:rsidR="002B31F9">
        <w:rPr>
          <w:lang w:val="en-AU"/>
        </w:rPr>
        <w:t>C</w:t>
      </w:r>
      <w:r w:rsidR="00605B11" w:rsidRPr="00E856B0">
        <w:rPr>
          <w:lang w:val="en-AU"/>
        </w:rPr>
        <w:t>o-ordinator, or the host agency did no</w:t>
      </w:r>
      <w:r w:rsidR="009D4409" w:rsidRPr="00E856B0">
        <w:rPr>
          <w:lang w:val="en-AU"/>
        </w:rPr>
        <w:t xml:space="preserve">t have a good understanding of </w:t>
      </w:r>
      <w:r w:rsidR="00605B11" w:rsidRPr="00E856B0">
        <w:rPr>
          <w:lang w:val="en-AU"/>
        </w:rPr>
        <w:t xml:space="preserve">health promotion as an approach, funding has not always </w:t>
      </w:r>
      <w:r w:rsidR="00605B11" w:rsidRPr="007D70E6">
        <w:rPr>
          <w:color w:val="000000" w:themeColor="text1"/>
          <w:lang w:val="en-AU"/>
        </w:rPr>
        <w:t>been spent appropriately.  Examples included</w:t>
      </w:r>
      <w:r w:rsidR="003D70A3" w:rsidRPr="007D70E6">
        <w:rPr>
          <w:color w:val="000000" w:themeColor="text1"/>
          <w:lang w:val="en-AU"/>
        </w:rPr>
        <w:t>:</w:t>
      </w:r>
    </w:p>
    <w:p w14:paraId="051F9ACC" w14:textId="7BED836B" w:rsidR="003D70A3" w:rsidRPr="00A02CFF" w:rsidRDefault="003D70A3" w:rsidP="003D70A3">
      <w:pPr>
        <w:pStyle w:val="ListParagraph"/>
        <w:numPr>
          <w:ilvl w:val="0"/>
          <w:numId w:val="11"/>
        </w:numPr>
        <w:spacing w:line="276" w:lineRule="auto"/>
        <w:rPr>
          <w:lang w:val="en-AU"/>
        </w:rPr>
      </w:pPr>
      <w:r w:rsidRPr="00A02CFF">
        <w:rPr>
          <w:lang w:val="en-AU"/>
        </w:rPr>
        <w:t>Spending</w:t>
      </w:r>
      <w:r w:rsidR="00121994" w:rsidRPr="00A02CFF">
        <w:rPr>
          <w:lang w:val="en-AU"/>
        </w:rPr>
        <w:t xml:space="preserve"> on quit rather than health promotion</w:t>
      </w:r>
      <w:r w:rsidR="00605B11" w:rsidRPr="00A02CFF">
        <w:rPr>
          <w:lang w:val="en-AU"/>
        </w:rPr>
        <w:t xml:space="preserve"> (e.g. </w:t>
      </w:r>
      <w:r w:rsidRPr="00A02CFF">
        <w:rPr>
          <w:lang w:val="en-AU"/>
        </w:rPr>
        <w:t xml:space="preserve">buying </w:t>
      </w:r>
      <w:r w:rsidR="00605B11" w:rsidRPr="00A02CFF">
        <w:rPr>
          <w:lang w:val="en-AU"/>
        </w:rPr>
        <w:t xml:space="preserve">NRT) </w:t>
      </w:r>
    </w:p>
    <w:p w14:paraId="18AAA8A1" w14:textId="174323FE" w:rsidR="00121994" w:rsidRPr="00A02CFF" w:rsidRDefault="003D70A3" w:rsidP="003D70A3">
      <w:pPr>
        <w:pStyle w:val="ListParagraph"/>
        <w:numPr>
          <w:ilvl w:val="0"/>
          <w:numId w:val="11"/>
        </w:numPr>
        <w:spacing w:line="276" w:lineRule="auto"/>
        <w:rPr>
          <w:lang w:val="en-AU"/>
        </w:rPr>
      </w:pPr>
      <w:r w:rsidRPr="00A02CFF">
        <w:rPr>
          <w:lang w:val="en-AU"/>
        </w:rPr>
        <w:t>Setting</w:t>
      </w:r>
      <w:r w:rsidR="00121994" w:rsidRPr="00A02CFF">
        <w:rPr>
          <w:lang w:val="en-AU"/>
        </w:rPr>
        <w:t xml:space="preserve"> up </w:t>
      </w:r>
      <w:r w:rsidR="00605B11" w:rsidRPr="00A02CFF">
        <w:rPr>
          <w:lang w:val="en-AU"/>
        </w:rPr>
        <w:t xml:space="preserve">activities such as </w:t>
      </w:r>
      <w:r w:rsidR="00121994" w:rsidRPr="00A02CFF">
        <w:rPr>
          <w:lang w:val="en-AU"/>
        </w:rPr>
        <w:t xml:space="preserve">walking groups, gym </w:t>
      </w:r>
      <w:r w:rsidR="00605B11" w:rsidRPr="00A02CFF">
        <w:rPr>
          <w:lang w:val="en-AU"/>
        </w:rPr>
        <w:t xml:space="preserve">programmes and so on, </w:t>
      </w:r>
      <w:r w:rsidR="00121994" w:rsidRPr="00A02CFF">
        <w:rPr>
          <w:lang w:val="en-AU"/>
        </w:rPr>
        <w:t xml:space="preserve">but </w:t>
      </w:r>
      <w:r w:rsidRPr="00A02CFF">
        <w:rPr>
          <w:lang w:val="en-AU"/>
        </w:rPr>
        <w:t>without linking</w:t>
      </w:r>
      <w:r w:rsidR="00121994" w:rsidRPr="00A02CFF">
        <w:rPr>
          <w:lang w:val="en-AU"/>
        </w:rPr>
        <w:t xml:space="preserve"> </w:t>
      </w:r>
      <w:r w:rsidR="00605B11" w:rsidRPr="00A02CFF">
        <w:rPr>
          <w:lang w:val="en-AU"/>
        </w:rPr>
        <w:t>these activities with healthy life</w:t>
      </w:r>
      <w:r w:rsidR="00121994" w:rsidRPr="00A02CFF">
        <w:rPr>
          <w:lang w:val="en-AU"/>
        </w:rPr>
        <w:t>style</w:t>
      </w:r>
      <w:r w:rsidR="00605B11" w:rsidRPr="00A02CFF">
        <w:rPr>
          <w:lang w:val="en-AU"/>
        </w:rPr>
        <w:t xml:space="preserve"> messages</w:t>
      </w:r>
      <w:r w:rsidR="00121994" w:rsidRPr="00A02CFF">
        <w:rPr>
          <w:lang w:val="en-AU"/>
        </w:rPr>
        <w:t>.</w:t>
      </w:r>
    </w:p>
    <w:p w14:paraId="434285DB" w14:textId="7B0BC745" w:rsidR="002635DF" w:rsidRPr="00E856B0" w:rsidRDefault="007B46BD" w:rsidP="00096EA3">
      <w:pPr>
        <w:pStyle w:val="Heading3"/>
      </w:pPr>
      <w:r>
        <w:t xml:space="preserve">c) </w:t>
      </w:r>
      <w:r w:rsidR="00FC709C" w:rsidRPr="00E856B0">
        <w:t xml:space="preserve">Operationalizing the Programme: </w:t>
      </w:r>
      <w:r w:rsidR="002635DF" w:rsidRPr="00E856B0">
        <w:t xml:space="preserve">Partnerships and Workforce </w:t>
      </w:r>
    </w:p>
    <w:p w14:paraId="49292C37" w14:textId="51D72120" w:rsidR="00675AAB" w:rsidRDefault="00675AAB" w:rsidP="004F6A5A">
      <w:pPr>
        <w:spacing w:line="276" w:lineRule="auto"/>
        <w:rPr>
          <w:lang w:val="en-AU"/>
        </w:rPr>
      </w:pPr>
      <w:r w:rsidRPr="00E856B0">
        <w:rPr>
          <w:lang w:val="en-AU"/>
        </w:rPr>
        <w:t>Most programmes had developed partnerships to support their activities</w:t>
      </w:r>
      <w:r w:rsidR="00A335C9" w:rsidRPr="00E856B0">
        <w:rPr>
          <w:lang w:val="en-AU"/>
        </w:rPr>
        <w:t xml:space="preserve"> (see Figure 4)</w:t>
      </w:r>
      <w:r w:rsidRPr="00E856B0">
        <w:rPr>
          <w:lang w:val="en-AU"/>
        </w:rPr>
        <w:t xml:space="preserve">, with the most </w:t>
      </w:r>
      <w:r w:rsidR="00F7229E" w:rsidRPr="00E856B0">
        <w:rPr>
          <w:lang w:val="en-AU"/>
        </w:rPr>
        <w:t xml:space="preserve">common </w:t>
      </w:r>
      <w:r w:rsidRPr="00E856B0">
        <w:rPr>
          <w:lang w:val="en-AU"/>
        </w:rPr>
        <w:t>being with local</w:t>
      </w:r>
      <w:r w:rsidR="00F7229E" w:rsidRPr="00E856B0">
        <w:rPr>
          <w:lang w:val="en-AU"/>
        </w:rPr>
        <w:t xml:space="preserve"> community members (92.5%) and Aboriginal healthcare practitioners (87.5%).  Partnerships with outreach workers (80.0%) and local community organisations </w:t>
      </w:r>
      <w:r w:rsidR="00715E02" w:rsidRPr="00E856B0">
        <w:rPr>
          <w:lang w:val="en-AU"/>
        </w:rPr>
        <w:t xml:space="preserve">(inter-agency collaborations) </w:t>
      </w:r>
      <w:r w:rsidR="00A335C9" w:rsidRPr="00E856B0">
        <w:rPr>
          <w:lang w:val="en-AU"/>
        </w:rPr>
        <w:t xml:space="preserve">were </w:t>
      </w:r>
      <w:r w:rsidR="00F7229E" w:rsidRPr="00E856B0">
        <w:rPr>
          <w:lang w:val="en-AU"/>
        </w:rPr>
        <w:t>also popular.</w:t>
      </w:r>
      <w:r w:rsidR="006D6777" w:rsidRPr="00E856B0">
        <w:rPr>
          <w:lang w:val="en-AU"/>
        </w:rPr>
        <w:t xml:space="preserve"> </w:t>
      </w:r>
    </w:p>
    <w:p w14:paraId="1B4FE84A" w14:textId="51239AA3" w:rsidR="00F7229E" w:rsidRDefault="00F7229E" w:rsidP="00F7229E">
      <w:pPr>
        <w:pStyle w:val="Caption"/>
        <w:keepNext/>
        <w:rPr>
          <w:sz w:val="24"/>
          <w:lang w:val="en-AU"/>
        </w:rPr>
      </w:pPr>
      <w:r w:rsidRPr="00E856B0">
        <w:rPr>
          <w:sz w:val="24"/>
          <w:lang w:val="en-AU"/>
        </w:rPr>
        <w:lastRenderedPageBreak/>
        <w:t xml:space="preserve">Figure </w:t>
      </w:r>
      <w:r w:rsidRPr="00E856B0">
        <w:rPr>
          <w:sz w:val="24"/>
          <w:lang w:val="en-AU"/>
        </w:rPr>
        <w:fldChar w:fldCharType="begin"/>
      </w:r>
      <w:r w:rsidRPr="00E856B0">
        <w:rPr>
          <w:sz w:val="24"/>
          <w:lang w:val="en-AU"/>
        </w:rPr>
        <w:instrText xml:space="preserve"> SEQ Figure \* ARABIC </w:instrText>
      </w:r>
      <w:r w:rsidRPr="00E856B0">
        <w:rPr>
          <w:sz w:val="24"/>
          <w:lang w:val="en-AU"/>
        </w:rPr>
        <w:fldChar w:fldCharType="separate"/>
      </w:r>
      <w:r w:rsidR="00FB7662">
        <w:rPr>
          <w:noProof/>
          <w:sz w:val="24"/>
          <w:lang w:val="en-AU"/>
        </w:rPr>
        <w:t>4</w:t>
      </w:r>
      <w:r w:rsidRPr="00E856B0">
        <w:rPr>
          <w:sz w:val="24"/>
          <w:lang w:val="en-AU"/>
        </w:rPr>
        <w:fldChar w:fldCharType="end"/>
      </w:r>
      <w:r w:rsidRPr="00E856B0">
        <w:rPr>
          <w:sz w:val="24"/>
          <w:lang w:val="en-AU"/>
        </w:rPr>
        <w:t>:</w:t>
      </w:r>
      <w:r w:rsidR="00A02CFF">
        <w:rPr>
          <w:sz w:val="24"/>
          <w:lang w:val="en-AU"/>
        </w:rPr>
        <w:t xml:space="preserve"> </w:t>
      </w:r>
      <w:r w:rsidRPr="00E856B0">
        <w:rPr>
          <w:sz w:val="24"/>
          <w:lang w:val="en-AU"/>
        </w:rPr>
        <w:t>Partnerships</w:t>
      </w:r>
    </w:p>
    <w:p w14:paraId="32B7499E" w14:textId="39176251" w:rsidR="00A02CFF" w:rsidRPr="00A02CFF" w:rsidRDefault="00A02CFF" w:rsidP="00A02CFF">
      <w:pPr>
        <w:rPr>
          <w:lang w:val="en-AU"/>
        </w:rPr>
      </w:pPr>
      <w:r>
        <w:rPr>
          <w:noProof/>
          <w:lang w:val="en-AU" w:eastAsia="en-AU"/>
        </w:rPr>
        <w:drawing>
          <wp:inline distT="0" distB="0" distL="0" distR="0" wp14:anchorId="62161F35" wp14:editId="27106F5D">
            <wp:extent cx="5285740" cy="2658110"/>
            <wp:effectExtent l="0" t="0" r="0" b="8890"/>
            <wp:docPr id="21" name="Picture 21" descr="Figure 4 is a bar graph with the percentages (%) of respondents and against the different partnerships. An overview of the data is in the text proceeding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740" cy="2658110"/>
                    </a:xfrm>
                    <a:prstGeom prst="rect">
                      <a:avLst/>
                    </a:prstGeom>
                    <a:noFill/>
                  </pic:spPr>
                </pic:pic>
              </a:graphicData>
            </a:graphic>
          </wp:inline>
        </w:drawing>
      </w:r>
    </w:p>
    <w:p w14:paraId="0F03B1FC" w14:textId="38E002E0" w:rsidR="00470AF5" w:rsidRPr="007D70E6" w:rsidRDefault="003B64D0" w:rsidP="00A02CFF">
      <w:pPr>
        <w:spacing w:before="240" w:line="276" w:lineRule="auto"/>
        <w:rPr>
          <w:color w:val="000000" w:themeColor="text1"/>
          <w:lang w:val="en-AU"/>
        </w:rPr>
      </w:pPr>
      <w:r w:rsidRPr="00E856B0">
        <w:rPr>
          <w:lang w:val="en-AU"/>
        </w:rPr>
        <w:t xml:space="preserve">As </w:t>
      </w:r>
      <w:r w:rsidR="00A02CFF">
        <w:rPr>
          <w:lang w:val="en-AU"/>
        </w:rPr>
        <w:fldChar w:fldCharType="begin"/>
      </w:r>
      <w:r w:rsidR="00A02CFF">
        <w:rPr>
          <w:lang w:val="en-AU"/>
        </w:rPr>
        <w:instrText xml:space="preserve"> REF _Ref429649169 \h </w:instrText>
      </w:r>
      <w:r w:rsidR="00A02CFF">
        <w:rPr>
          <w:lang w:val="en-AU"/>
        </w:rPr>
      </w:r>
      <w:r w:rsidR="00A02CFF">
        <w:rPr>
          <w:lang w:val="en-AU"/>
        </w:rPr>
        <w:fldChar w:fldCharType="separate"/>
      </w:r>
      <w:r w:rsidR="00A02CFF" w:rsidRPr="00E856B0">
        <w:rPr>
          <w:sz w:val="24"/>
          <w:lang w:val="en-AU"/>
        </w:rPr>
        <w:t xml:space="preserve">Figure </w:t>
      </w:r>
      <w:r w:rsidR="00A02CFF">
        <w:rPr>
          <w:noProof/>
          <w:sz w:val="24"/>
          <w:lang w:val="en-AU"/>
        </w:rPr>
        <w:t>5</w:t>
      </w:r>
      <w:r w:rsidR="00A02CFF">
        <w:rPr>
          <w:lang w:val="en-AU"/>
        </w:rPr>
        <w:fldChar w:fldCharType="end"/>
      </w:r>
      <w:r w:rsidRPr="00E856B0">
        <w:rPr>
          <w:lang w:val="en-AU"/>
        </w:rPr>
        <w:t>shows, the organisation mostly frequently partnered with (97.4%)</w:t>
      </w:r>
      <w:r w:rsidR="00A335C9" w:rsidRPr="00E856B0">
        <w:rPr>
          <w:lang w:val="en-AU"/>
        </w:rPr>
        <w:t xml:space="preserve"> </w:t>
      </w:r>
      <w:r w:rsidRPr="00E856B0">
        <w:rPr>
          <w:lang w:val="en-AU"/>
        </w:rPr>
        <w:t>was the Aboriginal Medical Services (AMS). Local non-government org</w:t>
      </w:r>
      <w:r w:rsidR="005549F7">
        <w:rPr>
          <w:lang w:val="en-AU"/>
        </w:rPr>
        <w:t xml:space="preserve">anisations (82.1%) and schools </w:t>
      </w:r>
      <w:r w:rsidRPr="00E856B0">
        <w:rPr>
          <w:lang w:val="en-AU"/>
        </w:rPr>
        <w:t xml:space="preserve">(84.6%) were also popular choices for inter-agency working. Around three quarters of programmes had also partnered with local youth clubs (79.5%), other health providers (74.5%), local sports clubs (74.5%), and </w:t>
      </w:r>
      <w:proofErr w:type="spellStart"/>
      <w:r w:rsidRPr="00E856B0">
        <w:rPr>
          <w:lang w:val="en-AU"/>
        </w:rPr>
        <w:t>Quitlines</w:t>
      </w:r>
      <w:proofErr w:type="spellEnd"/>
      <w:r w:rsidRPr="00E856B0">
        <w:rPr>
          <w:lang w:val="en-AU"/>
        </w:rPr>
        <w:t xml:space="preserve"> (69.2%).</w:t>
      </w:r>
      <w:r w:rsidR="00B311B1">
        <w:rPr>
          <w:lang w:val="en-AU"/>
        </w:rPr>
        <w:t xml:space="preserve"> </w:t>
      </w:r>
      <w:r w:rsidR="00470AF5" w:rsidRPr="007D70E6">
        <w:rPr>
          <w:color w:val="000000" w:themeColor="text1"/>
          <w:lang w:val="en-AU"/>
        </w:rPr>
        <w:t>S</w:t>
      </w:r>
      <w:r w:rsidR="005549F7" w:rsidRPr="007D70E6">
        <w:rPr>
          <w:color w:val="000000" w:themeColor="text1"/>
          <w:lang w:val="en-AU"/>
        </w:rPr>
        <w:t>ome s</w:t>
      </w:r>
      <w:r w:rsidR="00B311B1" w:rsidRPr="007D70E6">
        <w:rPr>
          <w:color w:val="000000" w:themeColor="text1"/>
          <w:lang w:val="en-AU"/>
        </w:rPr>
        <w:t xml:space="preserve">takeholders </w:t>
      </w:r>
      <w:r w:rsidR="005549F7" w:rsidRPr="007D70E6">
        <w:rPr>
          <w:color w:val="000000" w:themeColor="text1"/>
          <w:lang w:val="en-AU"/>
        </w:rPr>
        <w:t>had also</w:t>
      </w:r>
      <w:r w:rsidR="00470AF5" w:rsidRPr="007D70E6">
        <w:rPr>
          <w:color w:val="000000" w:themeColor="text1"/>
          <w:lang w:val="en-AU"/>
        </w:rPr>
        <w:t xml:space="preserve"> </w:t>
      </w:r>
      <w:r w:rsidR="00B311B1" w:rsidRPr="007D70E6">
        <w:rPr>
          <w:color w:val="000000" w:themeColor="text1"/>
          <w:lang w:val="en-AU"/>
        </w:rPr>
        <w:t xml:space="preserve">partnered with </w:t>
      </w:r>
      <w:r w:rsidR="005549F7" w:rsidRPr="007D70E6">
        <w:rPr>
          <w:color w:val="000000" w:themeColor="text1"/>
          <w:lang w:val="en-AU"/>
        </w:rPr>
        <w:t>other</w:t>
      </w:r>
      <w:r w:rsidR="00470AF5" w:rsidRPr="007D70E6">
        <w:rPr>
          <w:color w:val="000000" w:themeColor="text1"/>
          <w:lang w:val="en-AU"/>
        </w:rPr>
        <w:t xml:space="preserve"> local and regional services including:</w:t>
      </w:r>
    </w:p>
    <w:p w14:paraId="5591DC83" w14:textId="6CF96D51" w:rsidR="005667E4" w:rsidRPr="007D70E6" w:rsidRDefault="005667E4" w:rsidP="005549F7">
      <w:pPr>
        <w:pStyle w:val="ListParagraph"/>
        <w:numPr>
          <w:ilvl w:val="0"/>
          <w:numId w:val="12"/>
        </w:numPr>
        <w:spacing w:line="276" w:lineRule="auto"/>
        <w:rPr>
          <w:color w:val="000000" w:themeColor="text1"/>
          <w:lang w:val="en-AU"/>
        </w:rPr>
      </w:pPr>
      <w:r w:rsidRPr="007D70E6">
        <w:rPr>
          <w:color w:val="000000" w:themeColor="text1"/>
          <w:lang w:val="en-AU"/>
        </w:rPr>
        <w:t>Medicare local</w:t>
      </w:r>
      <w:r w:rsidR="005549F7" w:rsidRPr="007D70E6">
        <w:rPr>
          <w:color w:val="000000" w:themeColor="text1"/>
          <w:lang w:val="en-AU"/>
        </w:rPr>
        <w:t>;</w:t>
      </w:r>
      <w:r w:rsidRPr="007D70E6">
        <w:rPr>
          <w:color w:val="000000" w:themeColor="text1"/>
          <w:lang w:val="en-AU"/>
        </w:rPr>
        <w:t xml:space="preserve"> </w:t>
      </w:r>
    </w:p>
    <w:p w14:paraId="1229F70D" w14:textId="37E39DD5" w:rsidR="005549F7" w:rsidRPr="007D70E6" w:rsidRDefault="005549F7" w:rsidP="005549F7">
      <w:pPr>
        <w:pStyle w:val="ListParagraph"/>
        <w:numPr>
          <w:ilvl w:val="0"/>
          <w:numId w:val="12"/>
        </w:numPr>
        <w:spacing w:line="276" w:lineRule="auto"/>
        <w:rPr>
          <w:color w:val="000000" w:themeColor="text1"/>
          <w:lang w:val="en-AU"/>
        </w:rPr>
      </w:pPr>
      <w:r w:rsidRPr="007D70E6">
        <w:rPr>
          <w:color w:val="000000" w:themeColor="text1"/>
          <w:lang w:val="en-AU"/>
        </w:rPr>
        <w:t xml:space="preserve">Local councils; </w:t>
      </w:r>
    </w:p>
    <w:p w14:paraId="20139DAC" w14:textId="322AD350" w:rsidR="00470AF5" w:rsidRPr="007D70E6" w:rsidRDefault="00470AF5" w:rsidP="005549F7">
      <w:pPr>
        <w:pStyle w:val="ListParagraph"/>
        <w:numPr>
          <w:ilvl w:val="0"/>
          <w:numId w:val="12"/>
        </w:numPr>
        <w:spacing w:line="276" w:lineRule="auto"/>
        <w:rPr>
          <w:color w:val="000000" w:themeColor="text1"/>
          <w:lang w:val="en-AU"/>
        </w:rPr>
      </w:pPr>
      <w:r w:rsidRPr="007D70E6">
        <w:rPr>
          <w:color w:val="000000" w:themeColor="text1"/>
          <w:lang w:val="en-AU"/>
        </w:rPr>
        <w:t>Local media</w:t>
      </w:r>
      <w:r w:rsidR="005549F7" w:rsidRPr="007D70E6">
        <w:rPr>
          <w:color w:val="000000" w:themeColor="text1"/>
          <w:lang w:val="en-AU"/>
        </w:rPr>
        <w:t>;</w:t>
      </w:r>
      <w:r w:rsidR="005667E4" w:rsidRPr="007D70E6">
        <w:rPr>
          <w:color w:val="000000" w:themeColor="text1"/>
          <w:lang w:val="en-AU"/>
        </w:rPr>
        <w:t xml:space="preserve"> </w:t>
      </w:r>
    </w:p>
    <w:p w14:paraId="6531C0C6" w14:textId="2FF98339" w:rsidR="00470AF5" w:rsidRPr="007D70E6" w:rsidRDefault="00470AF5" w:rsidP="005549F7">
      <w:pPr>
        <w:pStyle w:val="ListParagraph"/>
        <w:numPr>
          <w:ilvl w:val="0"/>
          <w:numId w:val="12"/>
        </w:numPr>
        <w:spacing w:line="276" w:lineRule="auto"/>
        <w:rPr>
          <w:color w:val="000000" w:themeColor="text1"/>
          <w:lang w:val="en-AU"/>
        </w:rPr>
      </w:pPr>
      <w:r w:rsidRPr="007D70E6">
        <w:rPr>
          <w:color w:val="000000" w:themeColor="text1"/>
          <w:lang w:val="en-AU"/>
        </w:rPr>
        <w:t>Prison</w:t>
      </w:r>
      <w:r w:rsidR="005549F7" w:rsidRPr="007D70E6">
        <w:rPr>
          <w:color w:val="000000" w:themeColor="text1"/>
          <w:lang w:val="en-AU"/>
        </w:rPr>
        <w:t xml:space="preserve"> and/or police</w:t>
      </w:r>
      <w:r w:rsidRPr="007D70E6">
        <w:rPr>
          <w:color w:val="000000" w:themeColor="text1"/>
          <w:lang w:val="en-AU"/>
        </w:rPr>
        <w:t xml:space="preserve"> services</w:t>
      </w:r>
      <w:r w:rsidR="005549F7" w:rsidRPr="007D70E6">
        <w:rPr>
          <w:color w:val="000000" w:themeColor="text1"/>
          <w:lang w:val="en-AU"/>
        </w:rPr>
        <w:t>;</w:t>
      </w:r>
      <w:r w:rsidR="005667E4" w:rsidRPr="007D70E6">
        <w:rPr>
          <w:color w:val="000000" w:themeColor="text1"/>
          <w:lang w:val="en-AU"/>
        </w:rPr>
        <w:t xml:space="preserve"> </w:t>
      </w:r>
    </w:p>
    <w:p w14:paraId="5457CE81" w14:textId="122BEF69" w:rsidR="00470AF5" w:rsidRPr="007D70E6" w:rsidRDefault="005667E4" w:rsidP="005549F7">
      <w:pPr>
        <w:pStyle w:val="ListParagraph"/>
        <w:numPr>
          <w:ilvl w:val="0"/>
          <w:numId w:val="12"/>
        </w:numPr>
        <w:spacing w:line="276" w:lineRule="auto"/>
        <w:rPr>
          <w:color w:val="000000" w:themeColor="text1"/>
          <w:lang w:val="en-AU"/>
        </w:rPr>
      </w:pPr>
      <w:r w:rsidRPr="007D70E6">
        <w:rPr>
          <w:color w:val="000000" w:themeColor="text1"/>
          <w:lang w:val="en-AU"/>
        </w:rPr>
        <w:t>Men’s</w:t>
      </w:r>
      <w:r w:rsidR="00470AF5" w:rsidRPr="007D70E6">
        <w:rPr>
          <w:color w:val="000000" w:themeColor="text1"/>
          <w:lang w:val="en-AU"/>
        </w:rPr>
        <w:t xml:space="preserve"> and </w:t>
      </w:r>
      <w:r w:rsidRPr="007D70E6">
        <w:rPr>
          <w:color w:val="000000" w:themeColor="text1"/>
          <w:lang w:val="en-AU"/>
        </w:rPr>
        <w:t>women’s</w:t>
      </w:r>
      <w:r w:rsidR="00470AF5" w:rsidRPr="007D70E6">
        <w:rPr>
          <w:color w:val="000000" w:themeColor="text1"/>
          <w:lang w:val="en-AU"/>
        </w:rPr>
        <w:t xml:space="preserve"> groups (e.g. YWCA, </w:t>
      </w:r>
      <w:r w:rsidRPr="007D70E6">
        <w:rPr>
          <w:color w:val="000000" w:themeColor="text1"/>
          <w:lang w:val="en-AU"/>
        </w:rPr>
        <w:t>Clontarf Foundation</w:t>
      </w:r>
      <w:r w:rsidR="00470AF5" w:rsidRPr="007D70E6">
        <w:rPr>
          <w:color w:val="000000" w:themeColor="text1"/>
          <w:lang w:val="en-AU"/>
        </w:rPr>
        <w:t>)</w:t>
      </w:r>
      <w:r w:rsidR="005549F7" w:rsidRPr="007D70E6">
        <w:rPr>
          <w:color w:val="000000" w:themeColor="text1"/>
          <w:lang w:val="en-AU"/>
        </w:rPr>
        <w:t>;</w:t>
      </w:r>
    </w:p>
    <w:p w14:paraId="1BF5F022" w14:textId="3A8C507C" w:rsidR="00470AF5" w:rsidRPr="007D70E6" w:rsidRDefault="00470AF5" w:rsidP="005549F7">
      <w:pPr>
        <w:pStyle w:val="ListParagraph"/>
        <w:numPr>
          <w:ilvl w:val="0"/>
          <w:numId w:val="12"/>
        </w:numPr>
        <w:spacing w:line="276" w:lineRule="auto"/>
        <w:rPr>
          <w:color w:val="000000" w:themeColor="text1"/>
          <w:lang w:val="en-AU"/>
        </w:rPr>
      </w:pPr>
      <w:r w:rsidRPr="007D70E6">
        <w:rPr>
          <w:color w:val="000000" w:themeColor="text1"/>
          <w:lang w:val="en-AU"/>
        </w:rPr>
        <w:t>Community welfare services</w:t>
      </w:r>
      <w:r w:rsidR="005549F7" w:rsidRPr="007D70E6">
        <w:rPr>
          <w:color w:val="000000" w:themeColor="text1"/>
          <w:lang w:val="en-AU"/>
        </w:rPr>
        <w:t>;</w:t>
      </w:r>
    </w:p>
    <w:p w14:paraId="7D0FEA73" w14:textId="33F86782" w:rsidR="00470AF5" w:rsidRPr="007D70E6" w:rsidRDefault="00470AF5" w:rsidP="005549F7">
      <w:pPr>
        <w:pStyle w:val="ListParagraph"/>
        <w:numPr>
          <w:ilvl w:val="0"/>
          <w:numId w:val="12"/>
        </w:numPr>
        <w:spacing w:line="276" w:lineRule="auto"/>
        <w:rPr>
          <w:color w:val="000000" w:themeColor="text1"/>
          <w:lang w:val="en-AU"/>
        </w:rPr>
      </w:pPr>
      <w:r w:rsidRPr="007D70E6">
        <w:rPr>
          <w:color w:val="000000" w:themeColor="text1"/>
          <w:lang w:val="en-AU"/>
        </w:rPr>
        <w:t>National Heart Foundation</w:t>
      </w:r>
      <w:r w:rsidR="005549F7" w:rsidRPr="007D70E6">
        <w:rPr>
          <w:color w:val="000000" w:themeColor="text1"/>
          <w:lang w:val="en-AU"/>
        </w:rPr>
        <w:t>;</w:t>
      </w:r>
      <w:r w:rsidRPr="007D70E6">
        <w:rPr>
          <w:color w:val="000000" w:themeColor="text1"/>
          <w:lang w:val="en-AU"/>
        </w:rPr>
        <w:t xml:space="preserve"> </w:t>
      </w:r>
    </w:p>
    <w:p w14:paraId="04FE853E" w14:textId="5BA7C47C" w:rsidR="00A335C9" w:rsidRPr="007D70E6" w:rsidRDefault="005549F7" w:rsidP="005549F7">
      <w:pPr>
        <w:pStyle w:val="ListParagraph"/>
        <w:numPr>
          <w:ilvl w:val="0"/>
          <w:numId w:val="12"/>
        </w:numPr>
        <w:spacing w:line="276" w:lineRule="auto"/>
        <w:rPr>
          <w:color w:val="000000" w:themeColor="text1"/>
          <w:lang w:val="en-AU"/>
        </w:rPr>
      </w:pPr>
      <w:r w:rsidRPr="007D70E6">
        <w:rPr>
          <w:color w:val="000000" w:themeColor="text1"/>
          <w:lang w:val="en-AU"/>
        </w:rPr>
        <w:t xml:space="preserve">Regional </w:t>
      </w:r>
      <w:r w:rsidR="00470AF5" w:rsidRPr="007D70E6">
        <w:rPr>
          <w:color w:val="000000" w:themeColor="text1"/>
          <w:lang w:val="en-AU"/>
        </w:rPr>
        <w:t>Cancer Council</w:t>
      </w:r>
      <w:r w:rsidRPr="007D70E6">
        <w:rPr>
          <w:color w:val="000000" w:themeColor="text1"/>
          <w:lang w:val="en-AU"/>
        </w:rPr>
        <w:t>s.</w:t>
      </w:r>
      <w:r w:rsidR="00B311B1" w:rsidRPr="007D70E6">
        <w:rPr>
          <w:color w:val="000000" w:themeColor="text1"/>
          <w:lang w:val="en-AU"/>
        </w:rPr>
        <w:t xml:space="preserve"> </w:t>
      </w:r>
    </w:p>
    <w:p w14:paraId="7D65F8A3" w14:textId="46AE73E2" w:rsidR="00715E02" w:rsidRDefault="00715E02" w:rsidP="00715E02">
      <w:pPr>
        <w:pStyle w:val="Caption"/>
        <w:keepNext/>
        <w:rPr>
          <w:sz w:val="24"/>
          <w:szCs w:val="24"/>
          <w:lang w:val="en-AU"/>
        </w:rPr>
      </w:pPr>
      <w:bookmarkStart w:id="2" w:name="_Ref429649169"/>
      <w:r w:rsidRPr="00E856B0">
        <w:rPr>
          <w:sz w:val="24"/>
          <w:szCs w:val="24"/>
          <w:lang w:val="en-AU"/>
        </w:rPr>
        <w:t xml:space="preserve">Figure </w:t>
      </w:r>
      <w:r w:rsidRPr="00E856B0">
        <w:rPr>
          <w:sz w:val="24"/>
          <w:szCs w:val="24"/>
          <w:lang w:val="en-AU"/>
        </w:rPr>
        <w:fldChar w:fldCharType="begin"/>
      </w:r>
      <w:r w:rsidRPr="00E856B0">
        <w:rPr>
          <w:sz w:val="24"/>
          <w:szCs w:val="24"/>
          <w:lang w:val="en-AU"/>
        </w:rPr>
        <w:instrText xml:space="preserve"> SEQ Figure \* ARABIC </w:instrText>
      </w:r>
      <w:r w:rsidRPr="00E856B0">
        <w:rPr>
          <w:sz w:val="24"/>
          <w:szCs w:val="24"/>
          <w:lang w:val="en-AU"/>
        </w:rPr>
        <w:fldChar w:fldCharType="separate"/>
      </w:r>
      <w:r w:rsidR="00FB7662">
        <w:rPr>
          <w:noProof/>
          <w:sz w:val="24"/>
          <w:szCs w:val="24"/>
          <w:lang w:val="en-AU"/>
        </w:rPr>
        <w:t>5</w:t>
      </w:r>
      <w:r w:rsidRPr="00E856B0">
        <w:rPr>
          <w:sz w:val="24"/>
          <w:szCs w:val="24"/>
          <w:lang w:val="en-AU"/>
        </w:rPr>
        <w:fldChar w:fldCharType="end"/>
      </w:r>
      <w:bookmarkEnd w:id="2"/>
      <w:r w:rsidRPr="00E856B0">
        <w:rPr>
          <w:sz w:val="24"/>
          <w:szCs w:val="24"/>
          <w:lang w:val="en-AU"/>
        </w:rPr>
        <w:t>: Inter-agency Collaborators</w:t>
      </w:r>
    </w:p>
    <w:p w14:paraId="51FD0E28" w14:textId="7E401F33" w:rsidR="00A02CFF" w:rsidRPr="00A02CFF" w:rsidRDefault="00A02CFF" w:rsidP="00A02CFF">
      <w:pPr>
        <w:rPr>
          <w:lang w:val="en-AU"/>
        </w:rPr>
      </w:pPr>
      <w:r>
        <w:rPr>
          <w:noProof/>
          <w:lang w:val="en-AU" w:eastAsia="en-AU"/>
        </w:rPr>
        <w:drawing>
          <wp:inline distT="0" distB="0" distL="0" distR="0" wp14:anchorId="181CFAB4" wp14:editId="3AFA30F6">
            <wp:extent cx="4925695" cy="2573020"/>
            <wp:effectExtent l="0" t="0" r="8255" b="0"/>
            <wp:docPr id="23" name="Picture 23" descr="Figure 5 is a bar graph with the percentages (%) of respondents and against the Inter-agency Collaborators. An overview of the data is in the text proceeding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5695" cy="2573020"/>
                    </a:xfrm>
                    <a:prstGeom prst="rect">
                      <a:avLst/>
                    </a:prstGeom>
                    <a:noFill/>
                  </pic:spPr>
                </pic:pic>
              </a:graphicData>
            </a:graphic>
          </wp:inline>
        </w:drawing>
      </w:r>
    </w:p>
    <w:p w14:paraId="660535B4" w14:textId="68D50CC5" w:rsidR="00A335C9" w:rsidRPr="00E856B0" w:rsidRDefault="00A335C9" w:rsidP="004F6A5A">
      <w:pPr>
        <w:spacing w:line="276" w:lineRule="auto"/>
        <w:rPr>
          <w:lang w:val="en-AU"/>
        </w:rPr>
      </w:pPr>
      <w:r w:rsidRPr="00E856B0">
        <w:rPr>
          <w:lang w:val="en-AU"/>
        </w:rPr>
        <w:t xml:space="preserve">A number of programmes described these partners as enthusiastic </w:t>
      </w:r>
      <w:r w:rsidR="00A2134B" w:rsidRPr="00E856B0">
        <w:rPr>
          <w:lang w:val="en-AU"/>
        </w:rPr>
        <w:t>collaborators;</w:t>
      </w:r>
      <w:r w:rsidRPr="00E856B0">
        <w:rPr>
          <w:lang w:val="en-AU"/>
        </w:rPr>
        <w:t xml:space="preserve"> however </w:t>
      </w:r>
      <w:r w:rsidRPr="00696888">
        <w:rPr>
          <w:color w:val="000000" w:themeColor="text1"/>
          <w:lang w:val="en-AU"/>
        </w:rPr>
        <w:t>22.5% of respondents outlined some resistance from local organisations</w:t>
      </w:r>
      <w:r w:rsidR="005F3A98" w:rsidRPr="00696888">
        <w:rPr>
          <w:color w:val="000000" w:themeColor="text1"/>
          <w:lang w:val="en-AU"/>
        </w:rPr>
        <w:t>, some of whom</w:t>
      </w:r>
      <w:r w:rsidRPr="00696888">
        <w:rPr>
          <w:color w:val="000000" w:themeColor="text1"/>
          <w:lang w:val="en-AU"/>
        </w:rPr>
        <w:t xml:space="preserve"> saw the </w:t>
      </w:r>
      <w:r w:rsidR="005549F7" w:rsidRPr="00696888">
        <w:rPr>
          <w:color w:val="000000" w:themeColor="text1"/>
          <w:lang w:val="en-AU"/>
        </w:rPr>
        <w:t xml:space="preserve">regional nature </w:t>
      </w:r>
      <w:r w:rsidR="005549F7" w:rsidRPr="00696888">
        <w:rPr>
          <w:color w:val="000000" w:themeColor="text1"/>
          <w:lang w:val="en-AU"/>
        </w:rPr>
        <w:lastRenderedPageBreak/>
        <w:t xml:space="preserve">of the </w:t>
      </w:r>
      <w:r w:rsidR="00A2134B" w:rsidRPr="00696888">
        <w:rPr>
          <w:color w:val="000000" w:themeColor="text1"/>
          <w:lang w:val="en-AU"/>
        </w:rPr>
        <w:t>programme</w:t>
      </w:r>
      <w:r w:rsidRPr="00696888">
        <w:rPr>
          <w:color w:val="000000" w:themeColor="text1"/>
          <w:lang w:val="en-AU"/>
        </w:rPr>
        <w:t xml:space="preserve"> as a threat.  </w:t>
      </w:r>
      <w:r w:rsidR="005F3A98" w:rsidRPr="00696888">
        <w:rPr>
          <w:color w:val="000000" w:themeColor="text1"/>
          <w:lang w:val="en-AU"/>
        </w:rPr>
        <w:t xml:space="preserve">Some of the </w:t>
      </w:r>
      <w:r w:rsidR="00C15713" w:rsidRPr="00696888">
        <w:rPr>
          <w:color w:val="000000" w:themeColor="text1"/>
          <w:lang w:val="en-AU"/>
        </w:rPr>
        <w:t>‘</w:t>
      </w:r>
      <w:r w:rsidR="005F3A98" w:rsidRPr="00696888">
        <w:rPr>
          <w:color w:val="000000" w:themeColor="text1"/>
          <w:lang w:val="en-AU"/>
        </w:rPr>
        <w:t>Jealousy, Insecurity and Greed’ displayed by these local organisations</w:t>
      </w:r>
      <w:r w:rsidR="00A2134B" w:rsidRPr="00696888">
        <w:rPr>
          <w:color w:val="000000" w:themeColor="text1"/>
          <w:lang w:val="en-AU"/>
        </w:rPr>
        <w:t xml:space="preserve"> seems to have stemmed from a</w:t>
      </w:r>
      <w:r w:rsidR="005F3A98" w:rsidRPr="00696888">
        <w:rPr>
          <w:color w:val="000000" w:themeColor="text1"/>
          <w:lang w:val="en-AU"/>
        </w:rPr>
        <w:t xml:space="preserve"> </w:t>
      </w:r>
      <w:r w:rsidR="00A2134B" w:rsidRPr="00696888">
        <w:rPr>
          <w:color w:val="000000" w:themeColor="text1"/>
          <w:lang w:val="en-AU"/>
        </w:rPr>
        <w:t xml:space="preserve">lack of understanding of the programme aims.  </w:t>
      </w:r>
      <w:r w:rsidRPr="00696888">
        <w:rPr>
          <w:color w:val="000000" w:themeColor="text1"/>
          <w:lang w:val="en-AU"/>
        </w:rPr>
        <w:t xml:space="preserve">Community politics </w:t>
      </w:r>
      <w:r w:rsidR="00A2134B" w:rsidRPr="00696888">
        <w:rPr>
          <w:color w:val="000000" w:themeColor="text1"/>
          <w:lang w:val="en-AU"/>
        </w:rPr>
        <w:t>was</w:t>
      </w:r>
      <w:r w:rsidRPr="00696888">
        <w:rPr>
          <w:color w:val="000000" w:themeColor="text1"/>
          <w:lang w:val="en-AU"/>
        </w:rPr>
        <w:t xml:space="preserve"> also cited as</w:t>
      </w:r>
      <w:r w:rsidR="00A2134B" w:rsidRPr="00696888">
        <w:rPr>
          <w:color w:val="000000" w:themeColor="text1"/>
          <w:lang w:val="en-AU"/>
        </w:rPr>
        <w:t xml:space="preserve"> an issue</w:t>
      </w:r>
      <w:r w:rsidRPr="00696888">
        <w:rPr>
          <w:color w:val="000000" w:themeColor="text1"/>
          <w:lang w:val="en-AU"/>
        </w:rPr>
        <w:t xml:space="preserve">.  </w:t>
      </w:r>
      <w:r w:rsidRPr="00E856B0">
        <w:rPr>
          <w:lang w:val="en-AU"/>
        </w:rPr>
        <w:t>However, these seem to have been difficulties that were encountered in the early days of programmes, with respondents noting that developing relationships takes time.  Indeed, it was recognised that once a clear understanding of the programme remit was established (usually following the delivery of initial activities) local enthusiasm to collaborate increased. The vastness of the region was also cited as an issue in remote areas where location can challenge the development and maintenance of inter-agency relationships.</w:t>
      </w:r>
      <w:r w:rsidR="005D02BD" w:rsidRPr="00E856B0">
        <w:rPr>
          <w:lang w:val="en-AU"/>
        </w:rPr>
        <w:t xml:space="preserve"> Interview responses confirmed that the development of networks was a key success of the programme. </w:t>
      </w:r>
    </w:p>
    <w:p w14:paraId="04693D4E" w14:textId="26AB240A" w:rsidR="00FC709C" w:rsidRPr="00E856B0" w:rsidRDefault="00FC709C" w:rsidP="004F6A5A">
      <w:pPr>
        <w:spacing w:line="276" w:lineRule="auto"/>
        <w:rPr>
          <w:lang w:val="en-AU"/>
        </w:rPr>
      </w:pPr>
      <w:r w:rsidRPr="00E856B0">
        <w:rPr>
          <w:lang w:val="en-AU"/>
        </w:rPr>
        <w:t>The involvement of local community members in the programme</w:t>
      </w:r>
      <w:r w:rsidR="001407B0" w:rsidRPr="00E856B0">
        <w:rPr>
          <w:lang w:val="en-AU"/>
        </w:rPr>
        <w:t>s took a variety of forms, however all programmes had undertaken</w:t>
      </w:r>
      <w:r w:rsidR="00992965">
        <w:rPr>
          <w:lang w:val="en-AU"/>
        </w:rPr>
        <w:t xml:space="preserve"> community consultation</w:t>
      </w:r>
      <w:r w:rsidRPr="00E856B0">
        <w:rPr>
          <w:lang w:val="en-AU"/>
        </w:rPr>
        <w:t xml:space="preserve"> (</w:t>
      </w:r>
      <w:r w:rsidR="00715E02" w:rsidRPr="00E856B0">
        <w:rPr>
          <w:lang w:val="en-AU"/>
        </w:rPr>
        <w:t>see Figure 6</w:t>
      </w:r>
      <w:r w:rsidR="001407B0" w:rsidRPr="00E856B0">
        <w:rPr>
          <w:lang w:val="en-AU"/>
        </w:rPr>
        <w:t>).</w:t>
      </w:r>
      <w:r w:rsidRPr="00E856B0">
        <w:rPr>
          <w:lang w:val="en-AU"/>
        </w:rPr>
        <w:t xml:space="preserve">  A majority of programmes (7</w:t>
      </w:r>
      <w:r w:rsidR="001407B0" w:rsidRPr="00E856B0">
        <w:rPr>
          <w:lang w:val="en-AU"/>
        </w:rPr>
        <w:t xml:space="preserve">6.3%) </w:t>
      </w:r>
      <w:r w:rsidRPr="00E856B0">
        <w:rPr>
          <w:lang w:val="en-AU"/>
        </w:rPr>
        <w:t xml:space="preserve">also employed local people to deliver their activities </w:t>
      </w:r>
      <w:r w:rsidR="001407B0" w:rsidRPr="00E856B0">
        <w:rPr>
          <w:lang w:val="en-AU"/>
        </w:rPr>
        <w:t>and do outreach work. Using local people as role models (68.4%) and ambassadors (52.6%) was also popular.</w:t>
      </w:r>
    </w:p>
    <w:p w14:paraId="2CA4CFD4" w14:textId="62850545" w:rsidR="001407B0" w:rsidRDefault="001407B0" w:rsidP="001407B0">
      <w:pPr>
        <w:pStyle w:val="Caption"/>
        <w:keepNext/>
        <w:rPr>
          <w:sz w:val="24"/>
          <w:lang w:val="en-AU"/>
        </w:rPr>
      </w:pPr>
      <w:r w:rsidRPr="00E856B0">
        <w:rPr>
          <w:sz w:val="24"/>
          <w:lang w:val="en-AU"/>
        </w:rPr>
        <w:t xml:space="preserve">Figure </w:t>
      </w:r>
      <w:r w:rsidRPr="00E856B0">
        <w:rPr>
          <w:sz w:val="24"/>
          <w:lang w:val="en-AU"/>
        </w:rPr>
        <w:fldChar w:fldCharType="begin"/>
      </w:r>
      <w:r w:rsidRPr="00E856B0">
        <w:rPr>
          <w:sz w:val="24"/>
          <w:lang w:val="en-AU"/>
        </w:rPr>
        <w:instrText xml:space="preserve"> SEQ Figure \* ARABIC </w:instrText>
      </w:r>
      <w:r w:rsidRPr="00E856B0">
        <w:rPr>
          <w:sz w:val="24"/>
          <w:lang w:val="en-AU"/>
        </w:rPr>
        <w:fldChar w:fldCharType="separate"/>
      </w:r>
      <w:r w:rsidR="00FB7662">
        <w:rPr>
          <w:noProof/>
          <w:sz w:val="24"/>
          <w:lang w:val="en-AU"/>
        </w:rPr>
        <w:t>6</w:t>
      </w:r>
      <w:r w:rsidRPr="00E856B0">
        <w:rPr>
          <w:sz w:val="24"/>
          <w:lang w:val="en-AU"/>
        </w:rPr>
        <w:fldChar w:fldCharType="end"/>
      </w:r>
      <w:r w:rsidRPr="00E856B0">
        <w:rPr>
          <w:sz w:val="24"/>
          <w:lang w:val="en-AU"/>
        </w:rPr>
        <w:t>: Involvement of Local Community Members</w:t>
      </w:r>
    </w:p>
    <w:p w14:paraId="78152616" w14:textId="36DAC5EA" w:rsidR="00A02CFF" w:rsidRPr="00A02CFF" w:rsidRDefault="00A02CFF" w:rsidP="00A02CFF">
      <w:pPr>
        <w:rPr>
          <w:lang w:val="en-AU"/>
        </w:rPr>
      </w:pPr>
      <w:r>
        <w:rPr>
          <w:noProof/>
          <w:lang w:val="en-AU" w:eastAsia="en-AU"/>
        </w:rPr>
        <w:drawing>
          <wp:inline distT="0" distB="0" distL="0" distR="0" wp14:anchorId="1919571F" wp14:editId="687A7CEF">
            <wp:extent cx="5285740" cy="3084830"/>
            <wp:effectExtent l="0" t="0" r="0" b="1270"/>
            <wp:docPr id="24" name="Picture 24" descr="Figure 6 is a bar graph with the percentages (%) of respondents and against the Local Community Members. An overview of the data is in the text proceeding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740" cy="3084830"/>
                    </a:xfrm>
                    <a:prstGeom prst="rect">
                      <a:avLst/>
                    </a:prstGeom>
                    <a:noFill/>
                  </pic:spPr>
                </pic:pic>
              </a:graphicData>
            </a:graphic>
          </wp:inline>
        </w:drawing>
      </w:r>
    </w:p>
    <w:p w14:paraId="4E1E9F69" w14:textId="32A97E9C" w:rsidR="00642844" w:rsidRPr="00E856B0" w:rsidRDefault="00F7229E" w:rsidP="004F6A5A">
      <w:pPr>
        <w:spacing w:line="276" w:lineRule="auto"/>
        <w:rPr>
          <w:lang w:val="en-AU"/>
        </w:rPr>
      </w:pPr>
      <w:r w:rsidRPr="00E856B0">
        <w:rPr>
          <w:lang w:val="en-AU"/>
        </w:rPr>
        <w:t xml:space="preserve">The majority of programmes (92.7%) had undertaken workforce training, with this being primarily around </w:t>
      </w:r>
      <w:proofErr w:type="spellStart"/>
      <w:r w:rsidRPr="00E856B0">
        <w:rPr>
          <w:lang w:val="en-AU"/>
        </w:rPr>
        <w:t>Quitskills</w:t>
      </w:r>
      <w:proofErr w:type="spellEnd"/>
      <w:r w:rsidRPr="00E856B0">
        <w:rPr>
          <w:lang w:val="en-AU"/>
        </w:rPr>
        <w:t xml:space="preserve"> training</w:t>
      </w:r>
      <w:r w:rsidR="006E2886" w:rsidRPr="00E856B0">
        <w:rPr>
          <w:lang w:val="en-AU"/>
        </w:rPr>
        <w:t xml:space="preserve"> and g</w:t>
      </w:r>
      <w:r w:rsidRPr="00E856B0">
        <w:rPr>
          <w:lang w:val="en-AU"/>
        </w:rPr>
        <w:t xml:space="preserve">eneral </w:t>
      </w:r>
      <w:r w:rsidR="006E2886" w:rsidRPr="00E856B0">
        <w:rPr>
          <w:lang w:val="en-AU"/>
        </w:rPr>
        <w:t xml:space="preserve">business education (e.g. </w:t>
      </w:r>
      <w:r w:rsidRPr="00E856B0">
        <w:rPr>
          <w:lang w:val="en-AU"/>
        </w:rPr>
        <w:t>administrat</w:t>
      </w:r>
      <w:r w:rsidR="006E2886" w:rsidRPr="00E856B0">
        <w:rPr>
          <w:lang w:val="en-AU"/>
        </w:rPr>
        <w:t xml:space="preserve">ion, IT).  </w:t>
      </w:r>
      <w:r w:rsidR="005D02BD" w:rsidRPr="00E856B0">
        <w:rPr>
          <w:lang w:val="en-AU"/>
        </w:rPr>
        <w:t xml:space="preserve">According to interviewees, training local community members in this way allowed them to become </w:t>
      </w:r>
      <w:r w:rsidR="00642844" w:rsidRPr="00E856B0">
        <w:rPr>
          <w:lang w:val="en-AU"/>
        </w:rPr>
        <w:t xml:space="preserve">real agents of change. This was because not only did they have the knowledge and expertise to support people to make lifestyle changes, but also because of the additional advantage of having the language of the community, and awareness of community politics and “community nuances” which can have an impact on the delivery of any service or programme.  In addition to this integrity within the community, those who have quit or are in the process of quitting can often be more empathetic role models. </w:t>
      </w:r>
    </w:p>
    <w:p w14:paraId="71B6FE79" w14:textId="2A31ED7A" w:rsidR="000C1BA4" w:rsidRPr="00E856B0" w:rsidRDefault="00F7229E" w:rsidP="004F6A5A">
      <w:pPr>
        <w:spacing w:line="276" w:lineRule="auto"/>
        <w:rPr>
          <w:lang w:val="en-AU"/>
        </w:rPr>
      </w:pPr>
      <w:r w:rsidRPr="00E856B0">
        <w:rPr>
          <w:lang w:val="en-AU"/>
        </w:rPr>
        <w:t xml:space="preserve">Over half of the programmes </w:t>
      </w:r>
      <w:r w:rsidR="006E2886" w:rsidRPr="00E856B0">
        <w:rPr>
          <w:lang w:val="en-AU"/>
        </w:rPr>
        <w:t>(51.3%) described</w:t>
      </w:r>
      <w:r w:rsidRPr="00E856B0">
        <w:rPr>
          <w:lang w:val="en-AU"/>
        </w:rPr>
        <w:t xml:space="preserve"> issues with recruitment</w:t>
      </w:r>
      <w:r w:rsidR="006E2886" w:rsidRPr="00E856B0">
        <w:rPr>
          <w:lang w:val="en-AU"/>
        </w:rPr>
        <w:t xml:space="preserve"> of appropriate personnel, whilst 45.0% had also experienced problems with retention of staff.  Reasons for recruitment and retention difficulties included difficulty finding appropriately qualified staff, the remoteness of the service location, </w:t>
      </w:r>
      <w:r w:rsidR="00CF2DF9" w:rsidRPr="00E856B0">
        <w:rPr>
          <w:lang w:val="en-AU"/>
        </w:rPr>
        <w:t xml:space="preserve">a poor career pathway, </w:t>
      </w:r>
      <w:r w:rsidR="006E2886" w:rsidRPr="00E856B0">
        <w:rPr>
          <w:lang w:val="en-AU"/>
        </w:rPr>
        <w:t>and the uncertainty surrounding funding a</w:t>
      </w:r>
      <w:r w:rsidR="00CF2DF9" w:rsidRPr="00E856B0">
        <w:rPr>
          <w:lang w:val="en-AU"/>
        </w:rPr>
        <w:t>n</w:t>
      </w:r>
      <w:r w:rsidR="006E2886" w:rsidRPr="00E856B0">
        <w:rPr>
          <w:lang w:val="en-AU"/>
        </w:rPr>
        <w:t xml:space="preserve">d future contracts.  Suggestions to </w:t>
      </w:r>
      <w:r w:rsidR="00CF2DF9" w:rsidRPr="00E856B0">
        <w:rPr>
          <w:lang w:val="en-AU"/>
        </w:rPr>
        <w:t xml:space="preserve">overcome these issues included </w:t>
      </w:r>
      <w:r w:rsidR="006E2886" w:rsidRPr="00E856B0">
        <w:rPr>
          <w:lang w:val="en-AU"/>
        </w:rPr>
        <w:t xml:space="preserve">ensuring </w:t>
      </w:r>
      <w:r w:rsidR="00CF2DF9" w:rsidRPr="00E856B0">
        <w:rPr>
          <w:lang w:val="en-AU"/>
        </w:rPr>
        <w:t>competitive and appropriate</w:t>
      </w:r>
      <w:r w:rsidR="006E2886" w:rsidRPr="00E856B0">
        <w:rPr>
          <w:lang w:val="en-AU"/>
        </w:rPr>
        <w:t xml:space="preserve"> </w:t>
      </w:r>
      <w:r w:rsidR="00CF2DF9" w:rsidRPr="00E856B0">
        <w:rPr>
          <w:lang w:val="en-AU"/>
        </w:rPr>
        <w:t xml:space="preserve">rates of </w:t>
      </w:r>
      <w:r w:rsidR="006E2886" w:rsidRPr="00E856B0">
        <w:rPr>
          <w:lang w:val="en-AU"/>
        </w:rPr>
        <w:t xml:space="preserve">pay for </w:t>
      </w:r>
      <w:r w:rsidR="00CF2DF9" w:rsidRPr="00E856B0">
        <w:rPr>
          <w:lang w:val="en-AU"/>
        </w:rPr>
        <w:t xml:space="preserve">staff, and better support and training for workers.  Those organisations which had been very successful in recruiting and retaining staff (e.g. 97% retention rate) described a </w:t>
      </w:r>
      <w:r w:rsidR="00874199" w:rsidRPr="00E856B0">
        <w:rPr>
          <w:lang w:val="en-AU"/>
        </w:rPr>
        <w:t>‘</w:t>
      </w:r>
      <w:r w:rsidR="00CF2DF9" w:rsidRPr="00E856B0">
        <w:rPr>
          <w:lang w:val="en-AU"/>
        </w:rPr>
        <w:t>supported employment model</w:t>
      </w:r>
      <w:r w:rsidR="00874199" w:rsidRPr="00E856B0">
        <w:rPr>
          <w:lang w:val="en-AU"/>
        </w:rPr>
        <w:t>’</w:t>
      </w:r>
      <w:r w:rsidR="00CF2DF9" w:rsidRPr="00E856B0">
        <w:rPr>
          <w:lang w:val="en-AU"/>
        </w:rPr>
        <w:t xml:space="preserve"> whereby local </w:t>
      </w:r>
      <w:r w:rsidR="00CF2DF9" w:rsidRPr="00E856B0">
        <w:rPr>
          <w:lang w:val="en-AU"/>
        </w:rPr>
        <w:lastRenderedPageBreak/>
        <w:t xml:space="preserve">Aboriginal and Torres </w:t>
      </w:r>
      <w:r w:rsidR="00874199" w:rsidRPr="00E856B0">
        <w:rPr>
          <w:lang w:val="en-AU"/>
        </w:rPr>
        <w:t>Strait Islanders were employed and supported through training, with ongoing ‘family friendly’ support provided after qualification.</w:t>
      </w:r>
    </w:p>
    <w:p w14:paraId="28BEC845" w14:textId="5FF606E0" w:rsidR="00696888" w:rsidRPr="00A02CFF" w:rsidRDefault="007B46BD" w:rsidP="00A02CFF">
      <w:pPr>
        <w:pStyle w:val="Heading3"/>
      </w:pPr>
      <w:r>
        <w:t>d) Participant R</w:t>
      </w:r>
      <w:r w:rsidR="00736616" w:rsidRPr="00E856B0">
        <w:t>ecruitment</w:t>
      </w:r>
    </w:p>
    <w:p w14:paraId="56BB64DF" w14:textId="2984D099" w:rsidR="00E97DE3" w:rsidRPr="00E856B0" w:rsidRDefault="00EA3499" w:rsidP="004F6A5A">
      <w:pPr>
        <w:spacing w:line="276" w:lineRule="auto"/>
        <w:rPr>
          <w:lang w:val="en-AU"/>
        </w:rPr>
      </w:pPr>
      <w:r w:rsidRPr="00E856B0">
        <w:rPr>
          <w:lang w:val="en-AU"/>
        </w:rPr>
        <w:t xml:space="preserve">A large number of programmes targeted specific groups </w:t>
      </w:r>
      <w:r w:rsidR="00E97DE3" w:rsidRPr="00E856B0">
        <w:rPr>
          <w:lang w:val="en-AU"/>
        </w:rPr>
        <w:t>such as smokers (95.2%), young people (92.5%) and pregnant wom</w:t>
      </w:r>
      <w:r w:rsidR="00715E02" w:rsidRPr="00E856B0">
        <w:rPr>
          <w:lang w:val="en-AU"/>
        </w:rPr>
        <w:t>en (90.5%), as shown in Figure 7</w:t>
      </w:r>
      <w:r w:rsidR="00E97DE3" w:rsidRPr="00E856B0">
        <w:rPr>
          <w:lang w:val="en-AU"/>
        </w:rPr>
        <w:t xml:space="preserve">.  Participants were recruited through a variety of means, but especially </w:t>
      </w:r>
      <w:r w:rsidR="00D60219" w:rsidRPr="00E856B0">
        <w:rPr>
          <w:lang w:val="en-AU"/>
        </w:rPr>
        <w:t>through local</w:t>
      </w:r>
      <w:r w:rsidR="00157EB9" w:rsidRPr="00E856B0">
        <w:rPr>
          <w:lang w:val="en-AU"/>
        </w:rPr>
        <w:t xml:space="preserve"> community groups and organisations (e.g. sports clubs, clinics, </w:t>
      </w:r>
      <w:proofErr w:type="gramStart"/>
      <w:r w:rsidR="00157EB9" w:rsidRPr="00E856B0">
        <w:rPr>
          <w:lang w:val="en-AU"/>
        </w:rPr>
        <w:t>schools</w:t>
      </w:r>
      <w:proofErr w:type="gramEnd"/>
      <w:r w:rsidR="00157EB9" w:rsidRPr="00E856B0">
        <w:rPr>
          <w:lang w:val="en-AU"/>
        </w:rPr>
        <w:t>).  Community engagement, local events, word of mouth</w:t>
      </w:r>
      <w:r w:rsidR="00FC709C" w:rsidRPr="00E856B0">
        <w:rPr>
          <w:lang w:val="en-AU"/>
        </w:rPr>
        <w:t>, advertising through flyers,</w:t>
      </w:r>
      <w:r w:rsidR="00157EB9" w:rsidRPr="00E856B0">
        <w:rPr>
          <w:lang w:val="en-AU"/>
        </w:rPr>
        <w:t xml:space="preserve"> and social media were therefore seen as essential to participant recruitment.  Some programmes also used direct referral mechanisms (e.g. from GPs, local services and partner organisations), although this was much less common.</w:t>
      </w:r>
    </w:p>
    <w:p w14:paraId="10079E0F" w14:textId="5CD76961" w:rsidR="00EA3499" w:rsidRDefault="00EA3499" w:rsidP="00EA3499">
      <w:pPr>
        <w:pStyle w:val="Caption"/>
        <w:keepNext/>
        <w:rPr>
          <w:sz w:val="24"/>
          <w:szCs w:val="22"/>
          <w:lang w:val="en-AU"/>
        </w:rPr>
      </w:pPr>
      <w:r w:rsidRPr="00E856B0">
        <w:rPr>
          <w:sz w:val="24"/>
          <w:szCs w:val="22"/>
          <w:lang w:val="en-AU"/>
        </w:rPr>
        <w:t xml:space="preserve">Figure </w:t>
      </w:r>
      <w:r w:rsidRPr="00E856B0">
        <w:rPr>
          <w:sz w:val="24"/>
          <w:szCs w:val="22"/>
          <w:lang w:val="en-AU"/>
        </w:rPr>
        <w:fldChar w:fldCharType="begin"/>
      </w:r>
      <w:r w:rsidRPr="00E856B0">
        <w:rPr>
          <w:sz w:val="24"/>
          <w:szCs w:val="22"/>
          <w:lang w:val="en-AU"/>
        </w:rPr>
        <w:instrText xml:space="preserve"> SEQ Figure \* ARABIC </w:instrText>
      </w:r>
      <w:r w:rsidRPr="00E856B0">
        <w:rPr>
          <w:sz w:val="24"/>
          <w:szCs w:val="22"/>
          <w:lang w:val="en-AU"/>
        </w:rPr>
        <w:fldChar w:fldCharType="separate"/>
      </w:r>
      <w:r w:rsidR="00FB7662">
        <w:rPr>
          <w:noProof/>
          <w:sz w:val="24"/>
          <w:szCs w:val="22"/>
          <w:lang w:val="en-AU"/>
        </w:rPr>
        <w:t>7</w:t>
      </w:r>
      <w:r w:rsidRPr="00E856B0">
        <w:rPr>
          <w:sz w:val="24"/>
          <w:szCs w:val="22"/>
          <w:lang w:val="en-AU"/>
        </w:rPr>
        <w:fldChar w:fldCharType="end"/>
      </w:r>
      <w:r w:rsidRPr="00E856B0">
        <w:rPr>
          <w:sz w:val="24"/>
          <w:szCs w:val="22"/>
          <w:lang w:val="en-AU"/>
        </w:rPr>
        <w:t>: Targeted Groups</w:t>
      </w:r>
    </w:p>
    <w:p w14:paraId="7C72A93F" w14:textId="1A26A50C" w:rsidR="00A02CFF" w:rsidRPr="00A02CFF" w:rsidRDefault="00A02CFF" w:rsidP="00A02CFF">
      <w:pPr>
        <w:rPr>
          <w:lang w:val="en-AU"/>
        </w:rPr>
      </w:pPr>
      <w:r>
        <w:rPr>
          <w:noProof/>
          <w:lang w:val="en-AU" w:eastAsia="en-AU"/>
        </w:rPr>
        <w:drawing>
          <wp:inline distT="0" distB="0" distL="0" distR="0" wp14:anchorId="16394577" wp14:editId="62777AEB">
            <wp:extent cx="5285740" cy="3084830"/>
            <wp:effectExtent l="0" t="0" r="0" b="1270"/>
            <wp:docPr id="25" name="Picture 25" descr="Figure 7 is a bar graph with the percentages (%) of respondents and against the Targeted Groups. An overview of the data is in the text proceeding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5740" cy="3084830"/>
                    </a:xfrm>
                    <a:prstGeom prst="rect">
                      <a:avLst/>
                    </a:prstGeom>
                    <a:noFill/>
                  </pic:spPr>
                </pic:pic>
              </a:graphicData>
            </a:graphic>
          </wp:inline>
        </w:drawing>
      </w:r>
    </w:p>
    <w:p w14:paraId="6FC764D0" w14:textId="50D4F9A6" w:rsidR="00704CC0" w:rsidRPr="00E856B0" w:rsidRDefault="007B46BD" w:rsidP="00096EA3">
      <w:pPr>
        <w:pStyle w:val="Heading3"/>
      </w:pPr>
      <w:r>
        <w:t xml:space="preserve">e) </w:t>
      </w:r>
      <w:r w:rsidR="00711077" w:rsidRPr="00E856B0">
        <w:t>Programme Success and Impact</w:t>
      </w:r>
    </w:p>
    <w:p w14:paraId="494A8F12" w14:textId="3F782D96" w:rsidR="00DA2484" w:rsidRPr="00E856B0" w:rsidRDefault="00704CC0" w:rsidP="004F6A5A">
      <w:pPr>
        <w:spacing w:line="276" w:lineRule="auto"/>
        <w:rPr>
          <w:lang w:val="en-AU"/>
        </w:rPr>
      </w:pPr>
      <w:r w:rsidRPr="00E856B0">
        <w:rPr>
          <w:lang w:val="en-AU"/>
        </w:rPr>
        <w:t xml:space="preserve">Almost all respondents (97.4%) believed that their programme had developed capacity for </w:t>
      </w:r>
      <w:r w:rsidR="00A04023" w:rsidRPr="00E856B0">
        <w:rPr>
          <w:lang w:val="en-AU"/>
        </w:rPr>
        <w:t xml:space="preserve">local community </w:t>
      </w:r>
      <w:r w:rsidRPr="00E856B0">
        <w:rPr>
          <w:lang w:val="en-AU"/>
        </w:rPr>
        <w:t>tobacco control</w:t>
      </w:r>
      <w:r w:rsidR="00A04023" w:rsidRPr="00E856B0">
        <w:rPr>
          <w:lang w:val="en-AU"/>
        </w:rPr>
        <w:t xml:space="preserve"> and healthy lifestyle promotion</w:t>
      </w:r>
      <w:r w:rsidRPr="00E856B0">
        <w:rPr>
          <w:lang w:val="en-AU"/>
        </w:rPr>
        <w:t xml:space="preserve">.  This was suggested to have been achieved primarily through increasing </w:t>
      </w:r>
      <w:r w:rsidR="00DA2484" w:rsidRPr="00E856B0">
        <w:rPr>
          <w:lang w:val="en-AU"/>
        </w:rPr>
        <w:t>community and individual knowledge</w:t>
      </w:r>
      <w:r w:rsidRPr="00E856B0">
        <w:rPr>
          <w:lang w:val="en-AU"/>
        </w:rPr>
        <w:t xml:space="preserve"> around the effects of smoking</w:t>
      </w:r>
      <w:r w:rsidR="00A04023" w:rsidRPr="00E856B0">
        <w:rPr>
          <w:lang w:val="en-AU"/>
        </w:rPr>
        <w:t>,</w:t>
      </w:r>
      <w:r w:rsidRPr="00E856B0">
        <w:rPr>
          <w:lang w:val="en-AU"/>
        </w:rPr>
        <w:t xml:space="preserve"> and </w:t>
      </w:r>
      <w:r w:rsidR="00A04023" w:rsidRPr="00E856B0">
        <w:rPr>
          <w:lang w:val="en-AU"/>
        </w:rPr>
        <w:t>the benefits of healthy lifestyle choices around nutrition and exercise.  R</w:t>
      </w:r>
      <w:r w:rsidR="00DA2484" w:rsidRPr="00E856B0">
        <w:rPr>
          <w:lang w:val="en-AU"/>
        </w:rPr>
        <w:t xml:space="preserve">aising awareness of </w:t>
      </w:r>
      <w:r w:rsidR="00A04023" w:rsidRPr="00E856B0">
        <w:rPr>
          <w:lang w:val="en-AU"/>
        </w:rPr>
        <w:t>support for</w:t>
      </w:r>
      <w:r w:rsidRPr="00E856B0">
        <w:rPr>
          <w:lang w:val="en-AU"/>
        </w:rPr>
        <w:t xml:space="preserve"> quitting</w:t>
      </w:r>
      <w:r w:rsidR="00A04023" w:rsidRPr="00E856B0">
        <w:rPr>
          <w:lang w:val="en-AU"/>
        </w:rPr>
        <w:t xml:space="preserve"> and providing information around healthy</w:t>
      </w:r>
      <w:r w:rsidR="006A3FDC" w:rsidRPr="00E856B0">
        <w:rPr>
          <w:lang w:val="en-AU"/>
        </w:rPr>
        <w:t xml:space="preserve"> eating and physical </w:t>
      </w:r>
      <w:proofErr w:type="gramStart"/>
      <w:r w:rsidR="006A3FDC" w:rsidRPr="00E856B0">
        <w:rPr>
          <w:lang w:val="en-AU"/>
        </w:rPr>
        <w:t>exercise,</w:t>
      </w:r>
      <w:proofErr w:type="gramEnd"/>
      <w:r w:rsidR="006A3FDC" w:rsidRPr="00E856B0">
        <w:rPr>
          <w:lang w:val="en-AU"/>
        </w:rPr>
        <w:t xml:space="preserve"> </w:t>
      </w:r>
      <w:r w:rsidR="00A04023" w:rsidRPr="00E856B0">
        <w:rPr>
          <w:lang w:val="en-AU"/>
        </w:rPr>
        <w:t>was also seen as important</w:t>
      </w:r>
      <w:r w:rsidR="00DA2484" w:rsidRPr="00E856B0">
        <w:rPr>
          <w:lang w:val="en-AU"/>
        </w:rPr>
        <w:t>.  Furthermore, people were seen to be becoming more comfortable about asking advice</w:t>
      </w:r>
      <w:r w:rsidRPr="00E856B0">
        <w:rPr>
          <w:lang w:val="en-AU"/>
        </w:rPr>
        <w:t xml:space="preserve"> </w:t>
      </w:r>
      <w:r w:rsidR="00DA2484" w:rsidRPr="00E856B0">
        <w:rPr>
          <w:lang w:val="en-AU"/>
        </w:rPr>
        <w:t>with regards to quitting, and other lifestyle changes.   The development of dedicated resources and programmes for Aboriginal and Torres Strait Islanders</w:t>
      </w:r>
      <w:r w:rsidR="00A04023" w:rsidRPr="00E856B0">
        <w:rPr>
          <w:lang w:val="en-AU"/>
        </w:rPr>
        <w:t>, including a local workforce,</w:t>
      </w:r>
      <w:r w:rsidR="00DA2484" w:rsidRPr="00E856B0">
        <w:rPr>
          <w:lang w:val="en-AU"/>
        </w:rPr>
        <w:t xml:space="preserve"> was also cited as an important success.</w:t>
      </w:r>
    </w:p>
    <w:p w14:paraId="2C79A8C5" w14:textId="3459425A" w:rsidR="0097237B" w:rsidRPr="00E856B0" w:rsidRDefault="0097237B" w:rsidP="004F6A5A">
      <w:pPr>
        <w:spacing w:line="276" w:lineRule="auto"/>
        <w:rPr>
          <w:lang w:val="en-AU"/>
        </w:rPr>
      </w:pPr>
      <w:r w:rsidRPr="00E856B0">
        <w:rPr>
          <w:lang w:val="en-AU"/>
        </w:rPr>
        <w:t>The effectiveness and impact of programmes was measured in a number of ways at both community and individual</w:t>
      </w:r>
      <w:r w:rsidR="0027780D" w:rsidRPr="00E856B0">
        <w:rPr>
          <w:lang w:val="en-AU"/>
        </w:rPr>
        <w:t xml:space="preserve"> level including:</w:t>
      </w:r>
    </w:p>
    <w:p w14:paraId="655B0E07" w14:textId="10B22AF4" w:rsidR="0027780D" w:rsidRPr="00E856B0" w:rsidRDefault="0027780D" w:rsidP="004F6A5A">
      <w:pPr>
        <w:pStyle w:val="ListParagraph"/>
        <w:numPr>
          <w:ilvl w:val="0"/>
          <w:numId w:val="8"/>
        </w:numPr>
        <w:spacing w:line="276" w:lineRule="auto"/>
        <w:rPr>
          <w:lang w:val="en-AU"/>
        </w:rPr>
      </w:pPr>
      <w:r w:rsidRPr="00E856B0">
        <w:rPr>
          <w:lang w:val="en-AU"/>
        </w:rPr>
        <w:t>Number of community members attending events/activities</w:t>
      </w:r>
      <w:r w:rsidR="006047BA" w:rsidRPr="00E856B0">
        <w:rPr>
          <w:lang w:val="en-AU"/>
        </w:rPr>
        <w:t>;</w:t>
      </w:r>
    </w:p>
    <w:p w14:paraId="017D255A" w14:textId="1E268C1D" w:rsidR="0027780D" w:rsidRPr="00E856B0" w:rsidRDefault="0027780D" w:rsidP="004F6A5A">
      <w:pPr>
        <w:pStyle w:val="ListParagraph"/>
        <w:numPr>
          <w:ilvl w:val="0"/>
          <w:numId w:val="8"/>
        </w:numPr>
        <w:spacing w:line="276" w:lineRule="auto"/>
        <w:rPr>
          <w:lang w:val="en-AU"/>
        </w:rPr>
      </w:pPr>
      <w:r w:rsidRPr="00E856B0">
        <w:rPr>
          <w:lang w:val="en-AU"/>
        </w:rPr>
        <w:t>Number/reach of local community-based initiatives</w:t>
      </w:r>
      <w:r w:rsidR="006047BA" w:rsidRPr="00E856B0">
        <w:rPr>
          <w:lang w:val="en-AU"/>
        </w:rPr>
        <w:t>;</w:t>
      </w:r>
    </w:p>
    <w:p w14:paraId="250F84F5" w14:textId="47D9F439" w:rsidR="0027780D" w:rsidRPr="00E856B0" w:rsidRDefault="0027780D" w:rsidP="004F6A5A">
      <w:pPr>
        <w:pStyle w:val="ListParagraph"/>
        <w:numPr>
          <w:ilvl w:val="0"/>
          <w:numId w:val="8"/>
        </w:numPr>
        <w:spacing w:line="276" w:lineRule="auto"/>
        <w:rPr>
          <w:lang w:val="en-AU"/>
        </w:rPr>
      </w:pPr>
      <w:r w:rsidRPr="00E856B0">
        <w:rPr>
          <w:lang w:val="en-AU"/>
        </w:rPr>
        <w:t>Extent of engagement of programme teams with primary health care clinical teams</w:t>
      </w:r>
      <w:r w:rsidR="006047BA" w:rsidRPr="00E856B0">
        <w:rPr>
          <w:lang w:val="en-AU"/>
        </w:rPr>
        <w:t>;</w:t>
      </w:r>
    </w:p>
    <w:p w14:paraId="0370A835" w14:textId="0F7B17AF" w:rsidR="0027780D" w:rsidRPr="00E856B0" w:rsidRDefault="0027780D" w:rsidP="004F6A5A">
      <w:pPr>
        <w:pStyle w:val="ListParagraph"/>
        <w:numPr>
          <w:ilvl w:val="0"/>
          <w:numId w:val="8"/>
        </w:numPr>
        <w:spacing w:line="276" w:lineRule="auto"/>
        <w:rPr>
          <w:lang w:val="en-AU"/>
        </w:rPr>
      </w:pPr>
      <w:r w:rsidRPr="00E856B0">
        <w:rPr>
          <w:lang w:val="en-AU"/>
        </w:rPr>
        <w:t>Number of brochures/information leaflets provided to the community</w:t>
      </w:r>
      <w:r w:rsidR="006047BA" w:rsidRPr="00E856B0">
        <w:rPr>
          <w:lang w:val="en-AU"/>
        </w:rPr>
        <w:t>;</w:t>
      </w:r>
    </w:p>
    <w:p w14:paraId="3ED4F145" w14:textId="00485A69" w:rsidR="0027780D" w:rsidRPr="00E856B0" w:rsidRDefault="0027780D" w:rsidP="004F6A5A">
      <w:pPr>
        <w:pStyle w:val="ListParagraph"/>
        <w:numPr>
          <w:ilvl w:val="0"/>
          <w:numId w:val="8"/>
        </w:numPr>
        <w:spacing w:line="276" w:lineRule="auto"/>
        <w:rPr>
          <w:lang w:val="en-AU"/>
        </w:rPr>
      </w:pPr>
      <w:r w:rsidRPr="00E856B0">
        <w:rPr>
          <w:lang w:val="en-AU"/>
        </w:rPr>
        <w:t>Breath carbon monoxide levels</w:t>
      </w:r>
      <w:r w:rsidR="006047BA" w:rsidRPr="00E856B0">
        <w:rPr>
          <w:lang w:val="en-AU"/>
        </w:rPr>
        <w:t>;</w:t>
      </w:r>
    </w:p>
    <w:p w14:paraId="18A7F2B6" w14:textId="72C12CB5" w:rsidR="0027780D" w:rsidRPr="00E856B0" w:rsidRDefault="0027780D" w:rsidP="004F6A5A">
      <w:pPr>
        <w:pStyle w:val="ListParagraph"/>
        <w:numPr>
          <w:ilvl w:val="0"/>
          <w:numId w:val="8"/>
        </w:numPr>
        <w:spacing w:line="276" w:lineRule="auto"/>
        <w:rPr>
          <w:lang w:val="en-AU"/>
        </w:rPr>
      </w:pPr>
      <w:r w:rsidRPr="00E856B0">
        <w:rPr>
          <w:lang w:val="en-AU"/>
        </w:rPr>
        <w:lastRenderedPageBreak/>
        <w:t>Number of quit attempts by individuals</w:t>
      </w:r>
      <w:r w:rsidR="006047BA" w:rsidRPr="00E856B0">
        <w:rPr>
          <w:lang w:val="en-AU"/>
        </w:rPr>
        <w:t>;</w:t>
      </w:r>
    </w:p>
    <w:p w14:paraId="157A621B" w14:textId="77DD0F4B" w:rsidR="0027780D" w:rsidRPr="00E856B0" w:rsidRDefault="0027780D" w:rsidP="004F6A5A">
      <w:pPr>
        <w:pStyle w:val="ListParagraph"/>
        <w:numPr>
          <w:ilvl w:val="0"/>
          <w:numId w:val="8"/>
        </w:numPr>
        <w:spacing w:line="276" w:lineRule="auto"/>
        <w:rPr>
          <w:lang w:val="en-AU"/>
        </w:rPr>
      </w:pPr>
      <w:r w:rsidRPr="00E856B0">
        <w:rPr>
          <w:lang w:val="en-AU"/>
        </w:rPr>
        <w:t>Number of smoke free policies implemented</w:t>
      </w:r>
      <w:r w:rsidR="006047BA" w:rsidRPr="00E856B0">
        <w:rPr>
          <w:lang w:val="en-AU"/>
        </w:rPr>
        <w:t>;</w:t>
      </w:r>
    </w:p>
    <w:p w14:paraId="08ED727C" w14:textId="76A09BEA" w:rsidR="0027780D" w:rsidRPr="00E856B0" w:rsidRDefault="0027780D" w:rsidP="004F6A5A">
      <w:pPr>
        <w:pStyle w:val="ListParagraph"/>
        <w:numPr>
          <w:ilvl w:val="0"/>
          <w:numId w:val="8"/>
        </w:numPr>
        <w:spacing w:line="276" w:lineRule="auto"/>
        <w:rPr>
          <w:lang w:val="en-AU"/>
        </w:rPr>
      </w:pPr>
      <w:proofErr w:type="spellStart"/>
      <w:r w:rsidRPr="00E856B0">
        <w:rPr>
          <w:lang w:val="en-AU"/>
        </w:rPr>
        <w:t>Fagerstrom</w:t>
      </w:r>
      <w:proofErr w:type="spellEnd"/>
      <w:r w:rsidRPr="00E856B0">
        <w:rPr>
          <w:lang w:val="en-AU"/>
        </w:rPr>
        <w:t xml:space="preserve"> Test for Nicotine Dependence</w:t>
      </w:r>
      <w:r w:rsidR="006047BA" w:rsidRPr="00E856B0">
        <w:rPr>
          <w:lang w:val="en-AU"/>
        </w:rPr>
        <w:t>;</w:t>
      </w:r>
    </w:p>
    <w:p w14:paraId="6B120C0C" w14:textId="0A8A60F7" w:rsidR="004D777A" w:rsidRPr="00E856B0" w:rsidRDefault="004D777A" w:rsidP="004F6A5A">
      <w:pPr>
        <w:pStyle w:val="ListParagraph"/>
        <w:numPr>
          <w:ilvl w:val="0"/>
          <w:numId w:val="8"/>
        </w:numPr>
        <w:spacing w:line="276" w:lineRule="auto"/>
        <w:rPr>
          <w:lang w:val="en-AU"/>
        </w:rPr>
      </w:pPr>
      <w:r w:rsidRPr="00E856B0">
        <w:rPr>
          <w:lang w:val="en-AU"/>
        </w:rPr>
        <w:t>Length of any quit attempts of individual participants</w:t>
      </w:r>
      <w:r w:rsidR="006047BA" w:rsidRPr="00E856B0">
        <w:rPr>
          <w:lang w:val="en-AU"/>
        </w:rPr>
        <w:t>;</w:t>
      </w:r>
    </w:p>
    <w:p w14:paraId="69282F42" w14:textId="79B68811" w:rsidR="0027780D" w:rsidRPr="00E856B0" w:rsidRDefault="0027780D" w:rsidP="004F6A5A">
      <w:pPr>
        <w:pStyle w:val="ListParagraph"/>
        <w:numPr>
          <w:ilvl w:val="0"/>
          <w:numId w:val="8"/>
        </w:numPr>
        <w:spacing w:line="276" w:lineRule="auto"/>
        <w:rPr>
          <w:lang w:val="en-AU"/>
        </w:rPr>
      </w:pPr>
      <w:r w:rsidRPr="00E856B0">
        <w:rPr>
          <w:lang w:val="en-AU"/>
        </w:rPr>
        <w:t>Number of cigarettes smoked by individuals</w:t>
      </w:r>
      <w:r w:rsidR="006047BA" w:rsidRPr="00E856B0">
        <w:rPr>
          <w:lang w:val="en-AU"/>
        </w:rPr>
        <w:t>;</w:t>
      </w:r>
    </w:p>
    <w:p w14:paraId="4C9D0E84" w14:textId="6A8EF80C" w:rsidR="0027780D" w:rsidRPr="00E856B0" w:rsidRDefault="0027780D" w:rsidP="004F6A5A">
      <w:pPr>
        <w:pStyle w:val="ListParagraph"/>
        <w:numPr>
          <w:ilvl w:val="0"/>
          <w:numId w:val="8"/>
        </w:numPr>
        <w:spacing w:line="276" w:lineRule="auto"/>
        <w:rPr>
          <w:lang w:val="en-AU"/>
        </w:rPr>
      </w:pPr>
      <w:r w:rsidRPr="00E856B0">
        <w:rPr>
          <w:lang w:val="en-AU"/>
        </w:rPr>
        <w:t>Number of quit smoking groups</w:t>
      </w:r>
      <w:r w:rsidR="006047BA" w:rsidRPr="00E856B0">
        <w:rPr>
          <w:lang w:val="en-AU"/>
        </w:rPr>
        <w:t>.</w:t>
      </w:r>
    </w:p>
    <w:p w14:paraId="65AF470F" w14:textId="5015CD46" w:rsidR="00711077" w:rsidRPr="00E856B0" w:rsidRDefault="006A3FDC" w:rsidP="004F6A5A">
      <w:pPr>
        <w:spacing w:line="276" w:lineRule="auto"/>
        <w:rPr>
          <w:lang w:val="en-AU"/>
        </w:rPr>
      </w:pPr>
      <w:r w:rsidRPr="00E856B0">
        <w:rPr>
          <w:lang w:val="en-AU"/>
        </w:rPr>
        <w:t>However, s</w:t>
      </w:r>
      <w:r w:rsidR="007E0F61" w:rsidRPr="00E856B0">
        <w:rPr>
          <w:lang w:val="en-AU"/>
        </w:rPr>
        <w:t xml:space="preserve">uccess was </w:t>
      </w:r>
      <w:r w:rsidR="004D777A" w:rsidRPr="00E856B0">
        <w:rPr>
          <w:lang w:val="en-AU"/>
        </w:rPr>
        <w:t>primarily</w:t>
      </w:r>
      <w:r w:rsidR="007E0F61" w:rsidRPr="00E856B0">
        <w:rPr>
          <w:lang w:val="en-AU"/>
        </w:rPr>
        <w:t xml:space="preserve"> measured in terms of reach, with </w:t>
      </w:r>
      <w:r w:rsidR="001465BD" w:rsidRPr="00E856B0">
        <w:rPr>
          <w:lang w:val="en-AU"/>
        </w:rPr>
        <w:t xml:space="preserve">the majority of respondents (83.9%) stating that they monitored programme attendance.  </w:t>
      </w:r>
      <w:r w:rsidR="00711077" w:rsidRPr="00E856B0">
        <w:rPr>
          <w:lang w:val="en-AU"/>
        </w:rPr>
        <w:t>T</w:t>
      </w:r>
      <w:r w:rsidR="007E0F61" w:rsidRPr="00E856B0">
        <w:rPr>
          <w:lang w:val="en-AU"/>
        </w:rPr>
        <w:t xml:space="preserve">housands of individuals </w:t>
      </w:r>
      <w:r w:rsidR="00711077" w:rsidRPr="00E856B0">
        <w:rPr>
          <w:lang w:val="en-AU"/>
        </w:rPr>
        <w:t xml:space="preserve">were </w:t>
      </w:r>
      <w:r w:rsidR="007E0F61" w:rsidRPr="00E856B0">
        <w:rPr>
          <w:lang w:val="en-AU"/>
        </w:rPr>
        <w:t xml:space="preserve">estimated to have participated in </w:t>
      </w:r>
      <w:r w:rsidR="00711077" w:rsidRPr="00E856B0">
        <w:rPr>
          <w:lang w:val="en-AU"/>
        </w:rPr>
        <w:t xml:space="preserve">programmes across the </w:t>
      </w:r>
      <w:r w:rsidRPr="00E856B0">
        <w:rPr>
          <w:lang w:val="en-AU"/>
        </w:rPr>
        <w:t>Commonwealth</w:t>
      </w:r>
      <w:r w:rsidR="007E0F61" w:rsidRPr="00E856B0">
        <w:rPr>
          <w:lang w:val="en-AU"/>
        </w:rPr>
        <w:t>.  These include</w:t>
      </w:r>
      <w:r w:rsidR="00812D43" w:rsidRPr="00E856B0">
        <w:rPr>
          <w:lang w:val="en-AU"/>
        </w:rPr>
        <w:t xml:space="preserve">d smokers and non-smokers, men and </w:t>
      </w:r>
      <w:r w:rsidR="007E0F61" w:rsidRPr="00E856B0">
        <w:rPr>
          <w:lang w:val="en-AU"/>
        </w:rPr>
        <w:t xml:space="preserve">women </w:t>
      </w:r>
      <w:r w:rsidRPr="00E856B0">
        <w:rPr>
          <w:lang w:val="en-AU"/>
        </w:rPr>
        <w:t xml:space="preserve">of all ages, </w:t>
      </w:r>
      <w:r w:rsidR="00812D43" w:rsidRPr="00E856B0">
        <w:rPr>
          <w:lang w:val="en-AU"/>
        </w:rPr>
        <w:t>and children.  Due to the nature of many of the programmes, often it was only possible to estimate programme reach.  This was frequently based on event attendance numbers, meaning that overall figures often counted individuals twice.  However the fact that individuals participated in more than one activity or event should be seen as further evidence of the effective reach of these programmes.</w:t>
      </w:r>
    </w:p>
    <w:p w14:paraId="6CF40D4B" w14:textId="7D89E2F7" w:rsidR="00D16C1D" w:rsidRPr="00E856B0" w:rsidRDefault="00812D43" w:rsidP="004F6A5A">
      <w:pPr>
        <w:spacing w:line="276" w:lineRule="auto"/>
        <w:rPr>
          <w:lang w:val="en-AU"/>
        </w:rPr>
      </w:pPr>
      <w:r w:rsidRPr="00E856B0">
        <w:rPr>
          <w:lang w:val="en-AU"/>
        </w:rPr>
        <w:t>The majority of programmes (61.8%) stated that they collected data on quit attempts and referrals to smoking cessation services.  The remaining programmes that did not collect this data, explained that this was because smoking cessation was never part of the program aims and objectives</w:t>
      </w:r>
      <w:r w:rsidR="000C225D" w:rsidRPr="00E856B0">
        <w:rPr>
          <w:lang w:val="en-AU"/>
        </w:rPr>
        <w:t>, or becaus</w:t>
      </w:r>
      <w:r w:rsidR="00061217" w:rsidRPr="00E856B0">
        <w:rPr>
          <w:lang w:val="en-AU"/>
        </w:rPr>
        <w:t>e no requirement to collect these</w:t>
      </w:r>
      <w:r w:rsidR="000C225D" w:rsidRPr="00E856B0">
        <w:rPr>
          <w:lang w:val="en-AU"/>
        </w:rPr>
        <w:t xml:space="preserve"> data had been given by</w:t>
      </w:r>
      <w:r w:rsidR="00061217" w:rsidRPr="00E856B0">
        <w:rPr>
          <w:lang w:val="en-AU"/>
        </w:rPr>
        <w:t xml:space="preserve"> the </w:t>
      </w:r>
      <w:r w:rsidR="00801B15" w:rsidRPr="00E856B0">
        <w:rPr>
          <w:lang w:val="en-AU"/>
        </w:rPr>
        <w:t>funder</w:t>
      </w:r>
      <w:r w:rsidR="000C225D" w:rsidRPr="00E856B0">
        <w:rPr>
          <w:lang w:val="en-AU"/>
        </w:rPr>
        <w:t xml:space="preserve">.  </w:t>
      </w:r>
      <w:r w:rsidRPr="00E856B0">
        <w:rPr>
          <w:lang w:val="en-AU"/>
        </w:rPr>
        <w:t xml:space="preserve"> </w:t>
      </w:r>
      <w:r w:rsidR="000C225D" w:rsidRPr="00E856B0">
        <w:rPr>
          <w:lang w:val="en-AU"/>
        </w:rPr>
        <w:t xml:space="preserve">It was also noted </w:t>
      </w:r>
      <w:r w:rsidR="0080199D" w:rsidRPr="00E856B0">
        <w:rPr>
          <w:lang w:val="en-AU"/>
        </w:rPr>
        <w:t xml:space="preserve">that </w:t>
      </w:r>
      <w:proofErr w:type="spellStart"/>
      <w:r w:rsidR="0080199D" w:rsidRPr="00E856B0">
        <w:rPr>
          <w:lang w:val="en-AU"/>
        </w:rPr>
        <w:t>Quitline</w:t>
      </w:r>
      <w:proofErr w:type="spellEnd"/>
      <w:r w:rsidR="0080199D" w:rsidRPr="00E856B0">
        <w:rPr>
          <w:lang w:val="en-AU"/>
        </w:rPr>
        <w:t xml:space="preserve"> collects these figures</w:t>
      </w:r>
      <w:r w:rsidR="000C225D" w:rsidRPr="00E856B0">
        <w:rPr>
          <w:lang w:val="en-AU"/>
        </w:rPr>
        <w:t>, and that for those programmes</w:t>
      </w:r>
      <w:r w:rsidRPr="00E856B0">
        <w:rPr>
          <w:lang w:val="en-AU"/>
        </w:rPr>
        <w:t xml:space="preserve"> not </w:t>
      </w:r>
      <w:r w:rsidR="000C225D" w:rsidRPr="00E856B0">
        <w:rPr>
          <w:lang w:val="en-AU"/>
        </w:rPr>
        <w:t>attached to Aboriginal Community Control Health S</w:t>
      </w:r>
      <w:r w:rsidRPr="00E856B0">
        <w:rPr>
          <w:lang w:val="en-AU"/>
        </w:rPr>
        <w:t>ervice</w:t>
      </w:r>
      <w:r w:rsidR="000C225D" w:rsidRPr="00E856B0">
        <w:rPr>
          <w:lang w:val="en-AU"/>
        </w:rPr>
        <w:t xml:space="preserve">s, monitoring programme attendance was challenging. Data from those programmes </w:t>
      </w:r>
      <w:proofErr w:type="gramStart"/>
      <w:r w:rsidR="000C225D" w:rsidRPr="00E856B0">
        <w:rPr>
          <w:lang w:val="en-AU"/>
        </w:rPr>
        <w:t>who</w:t>
      </w:r>
      <w:proofErr w:type="gramEnd"/>
      <w:r w:rsidR="000C225D" w:rsidRPr="00E856B0">
        <w:rPr>
          <w:lang w:val="en-AU"/>
        </w:rPr>
        <w:t xml:space="preserve"> did collect this information, showed that </w:t>
      </w:r>
      <w:r w:rsidR="006A3FDC" w:rsidRPr="00E856B0">
        <w:rPr>
          <w:lang w:val="en-AU"/>
        </w:rPr>
        <w:t xml:space="preserve">an estimated </w:t>
      </w:r>
      <w:r w:rsidR="00061217" w:rsidRPr="00E856B0">
        <w:rPr>
          <w:lang w:val="en-AU"/>
        </w:rPr>
        <w:t xml:space="preserve">9,000 </w:t>
      </w:r>
      <w:r w:rsidR="006A3FDC" w:rsidRPr="00E856B0">
        <w:rPr>
          <w:lang w:val="en-AU"/>
        </w:rPr>
        <w:t xml:space="preserve">plus </w:t>
      </w:r>
      <w:r w:rsidR="00061217" w:rsidRPr="00E856B0">
        <w:rPr>
          <w:lang w:val="en-AU"/>
        </w:rPr>
        <w:t>individuals had either been refereed to smoking cessation services or had made a known quit attempt.  Whilst all age groups were represented in these data, the majority of these were aged between 16 and 60 years of age.</w:t>
      </w:r>
    </w:p>
    <w:p w14:paraId="6863C212" w14:textId="52FB419A" w:rsidR="00061217" w:rsidRPr="00E856B0" w:rsidRDefault="00061217" w:rsidP="004F6A5A">
      <w:pPr>
        <w:spacing w:line="276" w:lineRule="auto"/>
        <w:rPr>
          <w:lang w:val="en-AU"/>
        </w:rPr>
      </w:pPr>
      <w:r w:rsidRPr="00E856B0">
        <w:rPr>
          <w:lang w:val="en-AU"/>
        </w:rPr>
        <w:t>Information around successful quit attempts was much harder to</w:t>
      </w:r>
      <w:r w:rsidR="0080199D" w:rsidRPr="00E856B0">
        <w:rPr>
          <w:lang w:val="en-AU"/>
        </w:rPr>
        <w:t xml:space="preserve"> glean, since many people attempt to quit and relapse, and with transient populations it can be hard to keep track individuals. However the information supplied suggests that the programme has helped over 700 individuals successfully quit.</w:t>
      </w:r>
      <w:r w:rsidR="00A2134B">
        <w:rPr>
          <w:lang w:val="en-AU"/>
        </w:rPr>
        <w:t xml:space="preserve"> </w:t>
      </w:r>
      <w:r w:rsidR="00A2134B" w:rsidRPr="00A76FE8">
        <w:rPr>
          <w:lang w:val="en-AU"/>
        </w:rPr>
        <w:t xml:space="preserve">This figure should not be taken to represent the total outcome of programme efforts, since </w:t>
      </w:r>
      <w:r w:rsidR="00EF12B2" w:rsidRPr="00A76FE8">
        <w:rPr>
          <w:lang w:val="en-AU"/>
        </w:rPr>
        <w:t xml:space="preserve">not all programmes collected this data for the reasons outlined above.  Furthermore, </w:t>
      </w:r>
      <w:r w:rsidR="00C15713" w:rsidRPr="00A76FE8">
        <w:rPr>
          <w:lang w:val="en-AU"/>
        </w:rPr>
        <w:t>programme</w:t>
      </w:r>
      <w:r w:rsidR="00A2134B" w:rsidRPr="00A76FE8">
        <w:rPr>
          <w:lang w:val="en-AU"/>
        </w:rPr>
        <w:t xml:space="preserve"> aims </w:t>
      </w:r>
      <w:r w:rsidR="00EF12B2" w:rsidRPr="00A76FE8">
        <w:rPr>
          <w:lang w:val="en-AU"/>
        </w:rPr>
        <w:t>were usually</w:t>
      </w:r>
      <w:r w:rsidR="00A2134B" w:rsidRPr="00A76FE8">
        <w:rPr>
          <w:lang w:val="en-AU"/>
        </w:rPr>
        <w:t xml:space="preserve"> broader than just smoking cessation.  Indeed,</w:t>
      </w:r>
      <w:r w:rsidR="00C15713" w:rsidRPr="00A76FE8">
        <w:rPr>
          <w:lang w:val="en-AU"/>
        </w:rPr>
        <w:t xml:space="preserve"> </w:t>
      </w:r>
      <w:r w:rsidR="00EF12B2" w:rsidRPr="00A76FE8">
        <w:rPr>
          <w:lang w:val="en-AU"/>
        </w:rPr>
        <w:t>i</w:t>
      </w:r>
      <w:r w:rsidR="00F23535" w:rsidRPr="00A76FE8">
        <w:rPr>
          <w:lang w:val="en-AU"/>
        </w:rPr>
        <w:t xml:space="preserve">t </w:t>
      </w:r>
      <w:r w:rsidR="00F23535" w:rsidRPr="00E856B0">
        <w:rPr>
          <w:lang w:val="en-AU"/>
        </w:rPr>
        <w:t>was also noted that success is not always measured by quitting; communities and individuals had made</w:t>
      </w:r>
      <w:r w:rsidR="0080199D" w:rsidRPr="00E856B0">
        <w:rPr>
          <w:lang w:val="en-AU"/>
        </w:rPr>
        <w:t xml:space="preserve"> many other significant changes such as creating </w:t>
      </w:r>
      <w:proofErr w:type="spellStart"/>
      <w:r w:rsidR="0080199D" w:rsidRPr="00E856B0">
        <w:rPr>
          <w:lang w:val="en-AU"/>
        </w:rPr>
        <w:t>smokefree</w:t>
      </w:r>
      <w:proofErr w:type="spellEnd"/>
      <w:r w:rsidR="00F23535" w:rsidRPr="00E856B0">
        <w:rPr>
          <w:lang w:val="en-AU"/>
        </w:rPr>
        <w:t xml:space="preserve"> communities and</w:t>
      </w:r>
      <w:r w:rsidR="0080199D" w:rsidRPr="00E856B0">
        <w:rPr>
          <w:lang w:val="en-AU"/>
        </w:rPr>
        <w:t xml:space="preserve"> homes</w:t>
      </w:r>
      <w:r w:rsidR="00F23535" w:rsidRPr="00E856B0">
        <w:rPr>
          <w:lang w:val="en-AU"/>
        </w:rPr>
        <w:t>,</w:t>
      </w:r>
      <w:r w:rsidR="0080199D" w:rsidRPr="00E856B0">
        <w:rPr>
          <w:lang w:val="en-AU"/>
        </w:rPr>
        <w:t xml:space="preserve"> and cutting down on the amount </w:t>
      </w:r>
      <w:r w:rsidR="00F23535" w:rsidRPr="00E856B0">
        <w:rPr>
          <w:lang w:val="en-AU"/>
        </w:rPr>
        <w:t>smoked</w:t>
      </w:r>
      <w:r w:rsidR="0080199D" w:rsidRPr="00E856B0">
        <w:rPr>
          <w:lang w:val="en-AU"/>
        </w:rPr>
        <w:t xml:space="preserve">. </w:t>
      </w:r>
    </w:p>
    <w:p w14:paraId="07726EB1" w14:textId="717B23BD" w:rsidR="000C225D" w:rsidRPr="00E856B0" w:rsidRDefault="00E63975" w:rsidP="004F6A5A">
      <w:pPr>
        <w:spacing w:line="276" w:lineRule="auto"/>
        <w:rPr>
          <w:bCs/>
          <w:lang w:val="en-AU"/>
        </w:rPr>
      </w:pPr>
      <w:r w:rsidRPr="00E856B0">
        <w:rPr>
          <w:bCs/>
          <w:lang w:val="en-AU"/>
        </w:rPr>
        <w:t xml:space="preserve">Success was also noted in relation to other healthy lifestyle choices (see </w:t>
      </w:r>
      <w:r w:rsidR="00A76FE8">
        <w:rPr>
          <w:bCs/>
          <w:lang w:val="en-AU"/>
        </w:rPr>
        <w:fldChar w:fldCharType="begin"/>
      </w:r>
      <w:r w:rsidR="00A76FE8">
        <w:rPr>
          <w:bCs/>
          <w:lang w:val="en-AU"/>
        </w:rPr>
        <w:instrText xml:space="preserve"> REF _Ref429649538 \h </w:instrText>
      </w:r>
      <w:r w:rsidR="00A76FE8">
        <w:rPr>
          <w:bCs/>
          <w:lang w:val="en-AU"/>
        </w:rPr>
      </w:r>
      <w:r w:rsidR="00A76FE8">
        <w:rPr>
          <w:bCs/>
          <w:lang w:val="en-AU"/>
        </w:rPr>
        <w:fldChar w:fldCharType="separate"/>
      </w:r>
      <w:r w:rsidR="00A76FE8" w:rsidRPr="00E856B0">
        <w:rPr>
          <w:sz w:val="24"/>
          <w:lang w:val="en-AU"/>
        </w:rPr>
        <w:t xml:space="preserve">Figure </w:t>
      </w:r>
      <w:r w:rsidR="00A76FE8">
        <w:rPr>
          <w:noProof/>
          <w:sz w:val="24"/>
          <w:lang w:val="en-AU"/>
        </w:rPr>
        <w:t>8</w:t>
      </w:r>
      <w:r w:rsidR="00A76FE8">
        <w:rPr>
          <w:bCs/>
          <w:lang w:val="en-AU"/>
        </w:rPr>
        <w:fldChar w:fldCharType="end"/>
      </w:r>
      <w:r w:rsidRPr="00E856B0">
        <w:rPr>
          <w:bCs/>
          <w:lang w:val="en-AU"/>
        </w:rPr>
        <w:t xml:space="preserve">).  </w:t>
      </w:r>
      <w:r w:rsidR="00483169" w:rsidRPr="00E856B0">
        <w:rPr>
          <w:bCs/>
          <w:lang w:val="en-AU"/>
        </w:rPr>
        <w:t xml:space="preserve">The most cited change in behaviour related to physical activity, with 87.0% of respondents saying they had seen an increase in physical exercise in communities since the programme began.  </w:t>
      </w:r>
    </w:p>
    <w:p w14:paraId="0B06DF04" w14:textId="18CDE3B9" w:rsidR="00E63975" w:rsidRDefault="00E63975" w:rsidP="00E63975">
      <w:pPr>
        <w:pStyle w:val="Caption"/>
        <w:keepNext/>
        <w:rPr>
          <w:sz w:val="24"/>
          <w:lang w:val="en-AU"/>
        </w:rPr>
      </w:pPr>
      <w:bookmarkStart w:id="3" w:name="_Ref429649538"/>
      <w:r w:rsidRPr="00E856B0">
        <w:rPr>
          <w:sz w:val="24"/>
          <w:lang w:val="en-AU"/>
        </w:rPr>
        <w:lastRenderedPageBreak/>
        <w:t xml:space="preserve">Figure </w:t>
      </w:r>
      <w:r w:rsidRPr="00E856B0">
        <w:rPr>
          <w:sz w:val="24"/>
          <w:lang w:val="en-AU"/>
        </w:rPr>
        <w:fldChar w:fldCharType="begin"/>
      </w:r>
      <w:r w:rsidRPr="00E856B0">
        <w:rPr>
          <w:sz w:val="24"/>
          <w:lang w:val="en-AU"/>
        </w:rPr>
        <w:instrText xml:space="preserve"> SEQ Figure \* ARABIC </w:instrText>
      </w:r>
      <w:r w:rsidRPr="00E856B0">
        <w:rPr>
          <w:sz w:val="24"/>
          <w:lang w:val="en-AU"/>
        </w:rPr>
        <w:fldChar w:fldCharType="separate"/>
      </w:r>
      <w:r w:rsidR="00FB7662">
        <w:rPr>
          <w:noProof/>
          <w:sz w:val="24"/>
          <w:lang w:val="en-AU"/>
        </w:rPr>
        <w:t>8</w:t>
      </w:r>
      <w:r w:rsidRPr="00E856B0">
        <w:rPr>
          <w:sz w:val="24"/>
          <w:lang w:val="en-AU"/>
        </w:rPr>
        <w:fldChar w:fldCharType="end"/>
      </w:r>
      <w:bookmarkEnd w:id="3"/>
      <w:r w:rsidRPr="00E856B0">
        <w:rPr>
          <w:sz w:val="24"/>
          <w:lang w:val="en-AU"/>
        </w:rPr>
        <w:t>: Changes in Healthy Lifestyle Choices</w:t>
      </w:r>
    </w:p>
    <w:p w14:paraId="79F45DC7" w14:textId="428C4CE8" w:rsidR="00A76FE8" w:rsidRPr="00A76FE8" w:rsidRDefault="00A76FE8" w:rsidP="00A76FE8">
      <w:pPr>
        <w:rPr>
          <w:lang w:val="en-AU"/>
        </w:rPr>
      </w:pPr>
      <w:r>
        <w:rPr>
          <w:noProof/>
          <w:lang w:val="en-AU" w:eastAsia="en-AU"/>
        </w:rPr>
        <w:drawing>
          <wp:inline distT="0" distB="0" distL="0" distR="0" wp14:anchorId="61A525C7" wp14:editId="610C4B54">
            <wp:extent cx="5041900" cy="2834640"/>
            <wp:effectExtent l="0" t="0" r="6350" b="3810"/>
            <wp:docPr id="26" name="Picture 26" descr="Figure 8 is a grouped bar graph with the percentages (%) of respondents, against the changes in the healthy lifestyle choices. &#10;The data for Yes respondents were: &#10;• 75% Weight loss&#10;• 77.3% Healthier eating&#10;• 87% Increased involvement in physical exercise &#10;&#10;The data for No respondents were:&#10;• 25% Weight loss&#10;• 22.7% Healthier eating&#10;• 13% Increased involvement in physical exerci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0" cy="2834640"/>
                    </a:xfrm>
                    <a:prstGeom prst="rect">
                      <a:avLst/>
                    </a:prstGeom>
                    <a:noFill/>
                  </pic:spPr>
                </pic:pic>
              </a:graphicData>
            </a:graphic>
          </wp:inline>
        </w:drawing>
      </w:r>
    </w:p>
    <w:p w14:paraId="3715B8A2" w14:textId="76E61D05" w:rsidR="001465BD" w:rsidRPr="00E856B0" w:rsidRDefault="001465BD" w:rsidP="004F6A5A">
      <w:pPr>
        <w:spacing w:line="276" w:lineRule="auto"/>
        <w:rPr>
          <w:lang w:val="en-AU"/>
        </w:rPr>
      </w:pPr>
      <w:r w:rsidRPr="00E856B0">
        <w:rPr>
          <w:lang w:val="en-AU"/>
        </w:rPr>
        <w:t>Finally success was also noted by all respondents in terms of workforce and capacity development, increases in networks and partnerships, and community involvement and awareness of the effects of smoking and the benefits of healthy lifestyle choices.</w:t>
      </w:r>
      <w:r w:rsidR="00801B15" w:rsidRPr="00E856B0">
        <w:rPr>
          <w:lang w:val="en-AU"/>
        </w:rPr>
        <w:t xml:space="preserve">  Interviewees noted that the presentation of the programme as health promotion, with its broader remit around lifestyle choices, rather than solely focused on ‘quit’ services, was one of the main reasons for the programme </w:t>
      </w:r>
      <w:r w:rsidR="006047BA" w:rsidRPr="00E856B0">
        <w:rPr>
          <w:lang w:val="en-AU"/>
        </w:rPr>
        <w:t>being so well accepted in communities.</w:t>
      </w:r>
    </w:p>
    <w:p w14:paraId="3E94D21B" w14:textId="28A4B49A" w:rsidR="001465BD" w:rsidRPr="00E856B0" w:rsidRDefault="007B46BD" w:rsidP="00096EA3">
      <w:pPr>
        <w:pStyle w:val="Heading3"/>
      </w:pPr>
      <w:r>
        <w:t xml:space="preserve">f) </w:t>
      </w:r>
      <w:r w:rsidR="004D777A" w:rsidRPr="00E856B0">
        <w:t>Participant Satisfaction</w:t>
      </w:r>
    </w:p>
    <w:p w14:paraId="6E4D26CE" w14:textId="5B4F2187" w:rsidR="001465BD" w:rsidRPr="00E856B0" w:rsidRDefault="004D777A" w:rsidP="004F6A5A">
      <w:pPr>
        <w:spacing w:line="276" w:lineRule="auto"/>
        <w:rPr>
          <w:lang w:val="en-AU"/>
        </w:rPr>
      </w:pPr>
      <w:r w:rsidRPr="00E856B0">
        <w:rPr>
          <w:lang w:val="en-AU"/>
        </w:rPr>
        <w:t xml:space="preserve">Information concerning participant satisfaction with activities and events was collected by the majority of programmes (97.0%), primarily through informal discussion and observation of behaviour change. A number of programmes also used more formal means such as focus groups (90.9%) and end of programme surveys (70.0%).  However, one </w:t>
      </w:r>
      <w:r w:rsidR="00372138" w:rsidRPr="00E856B0">
        <w:rPr>
          <w:lang w:val="en-AU"/>
        </w:rPr>
        <w:t xml:space="preserve">respondent noted that low literacy skills in some groups were a potential barrier to getting formal written feedback, stating that fewer </w:t>
      </w:r>
      <w:r w:rsidRPr="00E856B0">
        <w:rPr>
          <w:lang w:val="en-AU"/>
        </w:rPr>
        <w:t xml:space="preserve">forms for participants </w:t>
      </w:r>
      <w:r w:rsidR="00372138" w:rsidRPr="00E856B0">
        <w:rPr>
          <w:lang w:val="en-AU"/>
        </w:rPr>
        <w:t xml:space="preserve">have been recommended for their programme so as to ensure community members were not “scared off’.  </w:t>
      </w:r>
    </w:p>
    <w:p w14:paraId="05C61CFA" w14:textId="27567F23" w:rsidR="00372138" w:rsidRPr="00E856B0" w:rsidRDefault="00372138" w:rsidP="004F6A5A">
      <w:pPr>
        <w:spacing w:line="276" w:lineRule="auto"/>
        <w:rPr>
          <w:lang w:val="en-AU"/>
        </w:rPr>
      </w:pPr>
      <w:r w:rsidRPr="00E856B0">
        <w:rPr>
          <w:lang w:val="en-AU"/>
        </w:rPr>
        <w:t>In general a high level of satisfaction</w:t>
      </w:r>
      <w:r w:rsidR="006047BA" w:rsidRPr="00E856B0">
        <w:rPr>
          <w:lang w:val="en-AU"/>
        </w:rPr>
        <w:t>,</w:t>
      </w:r>
      <w:r w:rsidRPr="00E856B0">
        <w:rPr>
          <w:lang w:val="en-AU"/>
        </w:rPr>
        <w:t xml:space="preserve"> with the activities and events provided, was reported.  In particular sessions were described as informative,</w:t>
      </w:r>
      <w:r w:rsidR="00A91263" w:rsidRPr="00E856B0">
        <w:rPr>
          <w:lang w:val="en-AU"/>
        </w:rPr>
        <w:t xml:space="preserve"> providing new </w:t>
      </w:r>
      <w:r w:rsidR="006047BA" w:rsidRPr="00E856B0">
        <w:rPr>
          <w:lang w:val="en-AU"/>
        </w:rPr>
        <w:t>knowledge</w:t>
      </w:r>
      <w:r w:rsidR="00A91263" w:rsidRPr="00E856B0">
        <w:rPr>
          <w:lang w:val="en-AU"/>
        </w:rPr>
        <w:t xml:space="preserve"> about the dangers of smoking as well as helpful advice around how to have a </w:t>
      </w:r>
      <w:proofErr w:type="gramStart"/>
      <w:r w:rsidR="00A91263" w:rsidRPr="00E856B0">
        <w:rPr>
          <w:lang w:val="en-AU"/>
        </w:rPr>
        <w:t>more healthy</w:t>
      </w:r>
      <w:proofErr w:type="gramEnd"/>
      <w:r w:rsidR="00A91263" w:rsidRPr="00E856B0">
        <w:rPr>
          <w:lang w:val="en-AU"/>
        </w:rPr>
        <w:t xml:space="preserve"> lifestyle.  Furthermore participants were able to see that behaviour change was something they could achieve. </w:t>
      </w:r>
    </w:p>
    <w:p w14:paraId="4C944198" w14:textId="77777777" w:rsidR="006047BA" w:rsidRPr="00E856B0" w:rsidRDefault="005776F3" w:rsidP="004F6A5A">
      <w:pPr>
        <w:spacing w:line="276" w:lineRule="auto"/>
        <w:rPr>
          <w:lang w:val="en-AU"/>
        </w:rPr>
      </w:pPr>
      <w:r w:rsidRPr="00E856B0">
        <w:rPr>
          <w:lang w:val="en-AU"/>
        </w:rPr>
        <w:t>Over half of all programmes had also undertaken some form of evaluation (56.7%) and w</w:t>
      </w:r>
      <w:r w:rsidR="0046244D" w:rsidRPr="00E856B0">
        <w:rPr>
          <w:lang w:val="en-AU"/>
        </w:rPr>
        <w:t>hen asked to indicate (with supporting evidence) the most effective part of their programme respondents proposed a number of different features</w:t>
      </w:r>
      <w:r w:rsidR="006047BA" w:rsidRPr="00E856B0">
        <w:rPr>
          <w:lang w:val="en-AU"/>
        </w:rPr>
        <w:t xml:space="preserve"> which have built awareness of the impact of smoking and the benefits of healthy lifestyle choice</w:t>
      </w:r>
      <w:r w:rsidRPr="00E856B0">
        <w:rPr>
          <w:lang w:val="en-AU"/>
        </w:rPr>
        <w:t>, highlighting in particular</w:t>
      </w:r>
      <w:r w:rsidR="006047BA" w:rsidRPr="00E856B0">
        <w:rPr>
          <w:lang w:val="en-AU"/>
        </w:rPr>
        <w:t>:</w:t>
      </w:r>
    </w:p>
    <w:p w14:paraId="63931E74" w14:textId="08F1EA09" w:rsidR="006047BA" w:rsidRPr="00E856B0" w:rsidRDefault="006047BA" w:rsidP="004F6A5A">
      <w:pPr>
        <w:pStyle w:val="ListParagraph"/>
        <w:numPr>
          <w:ilvl w:val="0"/>
          <w:numId w:val="9"/>
        </w:numPr>
        <w:spacing w:line="276" w:lineRule="auto"/>
        <w:rPr>
          <w:lang w:val="en-AU"/>
        </w:rPr>
      </w:pPr>
      <w:r w:rsidRPr="00E856B0">
        <w:rPr>
          <w:lang w:val="en-AU"/>
        </w:rPr>
        <w:t>The</w:t>
      </w:r>
      <w:r w:rsidR="0046244D" w:rsidRPr="00E856B0">
        <w:rPr>
          <w:lang w:val="en-AU"/>
        </w:rPr>
        <w:t xml:space="preserve"> developmen</w:t>
      </w:r>
      <w:r w:rsidRPr="00E856B0">
        <w:rPr>
          <w:lang w:val="en-AU"/>
        </w:rPr>
        <w:t>t of inter-agency partnerships;</w:t>
      </w:r>
    </w:p>
    <w:p w14:paraId="3181A4B7" w14:textId="39D5B189" w:rsidR="006047BA" w:rsidRPr="00E856B0" w:rsidRDefault="006047BA" w:rsidP="004F6A5A">
      <w:pPr>
        <w:pStyle w:val="ListParagraph"/>
        <w:numPr>
          <w:ilvl w:val="0"/>
          <w:numId w:val="9"/>
        </w:numPr>
        <w:spacing w:line="276" w:lineRule="auto"/>
        <w:rPr>
          <w:lang w:val="en-AU"/>
        </w:rPr>
      </w:pPr>
      <w:r w:rsidRPr="00E856B0">
        <w:rPr>
          <w:lang w:val="en-AU"/>
        </w:rPr>
        <w:t>Project</w:t>
      </w:r>
      <w:r w:rsidR="0046244D" w:rsidRPr="00E856B0">
        <w:rPr>
          <w:lang w:val="en-AU"/>
        </w:rPr>
        <w:t xml:space="preserve"> reach, community engagement with activities and </w:t>
      </w:r>
      <w:r w:rsidRPr="00E856B0">
        <w:rPr>
          <w:lang w:val="en-AU"/>
        </w:rPr>
        <w:t>events;</w:t>
      </w:r>
    </w:p>
    <w:p w14:paraId="626944F6" w14:textId="36249D4E" w:rsidR="005776F3" w:rsidRPr="00E856B0" w:rsidRDefault="006047BA" w:rsidP="004F6A5A">
      <w:pPr>
        <w:pStyle w:val="ListParagraph"/>
        <w:numPr>
          <w:ilvl w:val="0"/>
          <w:numId w:val="9"/>
        </w:numPr>
        <w:spacing w:line="276" w:lineRule="auto"/>
        <w:rPr>
          <w:lang w:val="en-AU"/>
        </w:rPr>
      </w:pPr>
      <w:r w:rsidRPr="00E856B0">
        <w:rPr>
          <w:lang w:val="en-AU"/>
        </w:rPr>
        <w:t>The</w:t>
      </w:r>
      <w:r w:rsidR="005776F3" w:rsidRPr="00E856B0">
        <w:rPr>
          <w:lang w:val="en-AU"/>
        </w:rPr>
        <w:t xml:space="preserve"> educati</w:t>
      </w:r>
      <w:r w:rsidRPr="00E856B0">
        <w:rPr>
          <w:lang w:val="en-AU"/>
        </w:rPr>
        <w:t>on in schools and the community</w:t>
      </w:r>
      <w:r w:rsidR="005776F3" w:rsidRPr="00E856B0">
        <w:rPr>
          <w:lang w:val="en-AU"/>
        </w:rPr>
        <w:t xml:space="preserve">. </w:t>
      </w:r>
    </w:p>
    <w:p w14:paraId="700192A8" w14:textId="51B13430" w:rsidR="009D4409" w:rsidRPr="00E856B0" w:rsidRDefault="007B46BD" w:rsidP="00096EA3">
      <w:pPr>
        <w:pStyle w:val="Heading3"/>
      </w:pPr>
      <w:r>
        <w:t xml:space="preserve">g) </w:t>
      </w:r>
      <w:r w:rsidR="009D4409" w:rsidRPr="00E856B0">
        <w:t>Challenges to Implementation</w:t>
      </w:r>
    </w:p>
    <w:p w14:paraId="5A9EC915" w14:textId="369C280C" w:rsidR="009D4409" w:rsidRPr="00E856B0" w:rsidRDefault="009D4409" w:rsidP="004F6A5A">
      <w:pPr>
        <w:spacing w:line="276" w:lineRule="auto"/>
        <w:rPr>
          <w:lang w:val="en-AU"/>
        </w:rPr>
      </w:pPr>
      <w:r w:rsidRPr="00E856B0">
        <w:rPr>
          <w:lang w:val="en-AU"/>
        </w:rPr>
        <w:t>Interviewees noted that prior to this programme, health programmes targeted at Aboriginal and Torres Strait Islander populations have,</w:t>
      </w:r>
      <w:r w:rsidR="006E63E8" w:rsidRPr="00E856B0">
        <w:rPr>
          <w:lang w:val="en-AU"/>
        </w:rPr>
        <w:t xml:space="preserve"> in the main been clinically based. Because of this historical context, c</w:t>
      </w:r>
      <w:r w:rsidRPr="00E856B0">
        <w:rPr>
          <w:lang w:val="en-AU"/>
        </w:rPr>
        <w:t>ommunity members</w:t>
      </w:r>
      <w:r w:rsidR="006E63E8" w:rsidRPr="00E856B0">
        <w:rPr>
          <w:lang w:val="en-AU"/>
        </w:rPr>
        <w:t xml:space="preserve"> have often, not unreasonably, expected the current programme </w:t>
      </w:r>
      <w:r w:rsidRPr="00E856B0">
        <w:rPr>
          <w:lang w:val="en-AU"/>
        </w:rPr>
        <w:t xml:space="preserve">to assist them to </w:t>
      </w:r>
      <w:r w:rsidRPr="00E856B0">
        <w:rPr>
          <w:lang w:val="en-AU"/>
        </w:rPr>
        <w:lastRenderedPageBreak/>
        <w:t xml:space="preserve">quit smoking when they make this decision.  </w:t>
      </w:r>
      <w:r w:rsidR="006E63E8" w:rsidRPr="00E856B0">
        <w:rPr>
          <w:lang w:val="en-AU"/>
        </w:rPr>
        <w:t>However, a</w:t>
      </w:r>
      <w:r w:rsidRPr="00E856B0">
        <w:rPr>
          <w:lang w:val="en-AU"/>
        </w:rPr>
        <w:t>s TIS</w:t>
      </w:r>
      <w:r w:rsidR="006E63E8" w:rsidRPr="00E856B0">
        <w:rPr>
          <w:lang w:val="en-AU"/>
        </w:rPr>
        <w:t>&amp;HL is not clinically orientated, often</w:t>
      </w:r>
      <w:r w:rsidRPr="00E856B0">
        <w:rPr>
          <w:lang w:val="en-AU"/>
        </w:rPr>
        <w:t xml:space="preserve"> the best staff can do is </w:t>
      </w:r>
      <w:proofErr w:type="gramStart"/>
      <w:r w:rsidRPr="00E856B0">
        <w:rPr>
          <w:lang w:val="en-AU"/>
        </w:rPr>
        <w:t>m</w:t>
      </w:r>
      <w:r w:rsidR="006E63E8" w:rsidRPr="00E856B0">
        <w:rPr>
          <w:lang w:val="en-AU"/>
        </w:rPr>
        <w:t>ake</w:t>
      </w:r>
      <w:proofErr w:type="gramEnd"/>
      <w:r w:rsidR="006E63E8" w:rsidRPr="00E856B0">
        <w:rPr>
          <w:lang w:val="en-AU"/>
        </w:rPr>
        <w:t xml:space="preserve"> a referral to a clinician. </w:t>
      </w:r>
      <w:r w:rsidRPr="00E856B0">
        <w:rPr>
          <w:lang w:val="en-AU"/>
        </w:rPr>
        <w:t xml:space="preserve">Community members </w:t>
      </w:r>
      <w:r w:rsidR="006E63E8" w:rsidRPr="00E856B0">
        <w:rPr>
          <w:lang w:val="en-AU"/>
        </w:rPr>
        <w:t>can be</w:t>
      </w:r>
      <w:r w:rsidRPr="00E856B0">
        <w:rPr>
          <w:lang w:val="en-AU"/>
        </w:rPr>
        <w:t xml:space="preserve"> reluctant to move away from the people </w:t>
      </w:r>
      <w:r w:rsidR="006E63E8" w:rsidRPr="00E856B0">
        <w:rPr>
          <w:lang w:val="en-AU"/>
        </w:rPr>
        <w:t xml:space="preserve">with </w:t>
      </w:r>
      <w:r w:rsidRPr="00E856B0">
        <w:rPr>
          <w:lang w:val="en-AU"/>
        </w:rPr>
        <w:t>who</w:t>
      </w:r>
      <w:r w:rsidR="006E63E8" w:rsidRPr="00E856B0">
        <w:rPr>
          <w:lang w:val="en-AU"/>
        </w:rPr>
        <w:t>m</w:t>
      </w:r>
      <w:r w:rsidRPr="00E856B0">
        <w:rPr>
          <w:lang w:val="en-AU"/>
        </w:rPr>
        <w:t xml:space="preserve"> th</w:t>
      </w:r>
      <w:r w:rsidR="006E63E8" w:rsidRPr="00E856B0">
        <w:rPr>
          <w:lang w:val="en-AU"/>
        </w:rPr>
        <w:t>ey have developed a rapport</w:t>
      </w:r>
      <w:r w:rsidRPr="00E856B0">
        <w:rPr>
          <w:lang w:val="en-AU"/>
        </w:rPr>
        <w:t>, to a new an</w:t>
      </w:r>
      <w:r w:rsidR="006E63E8" w:rsidRPr="00E856B0">
        <w:rPr>
          <w:lang w:val="en-AU"/>
        </w:rPr>
        <w:t>d</w:t>
      </w:r>
      <w:r w:rsidRPr="00E856B0">
        <w:rPr>
          <w:lang w:val="en-AU"/>
        </w:rPr>
        <w:t xml:space="preserve"> unfamiliar person in a clinical setting</w:t>
      </w:r>
      <w:r w:rsidR="006E63E8" w:rsidRPr="00E856B0">
        <w:rPr>
          <w:lang w:val="en-AU"/>
        </w:rPr>
        <w:t>.</w:t>
      </w:r>
      <w:r w:rsidRPr="00E856B0">
        <w:rPr>
          <w:lang w:val="en-AU"/>
        </w:rPr>
        <w:t xml:space="preserve">  Ideally, </w:t>
      </w:r>
      <w:r w:rsidR="006E63E8" w:rsidRPr="00E856B0">
        <w:rPr>
          <w:lang w:val="en-AU"/>
        </w:rPr>
        <w:t xml:space="preserve">interviewees felt </w:t>
      </w:r>
      <w:r w:rsidRPr="00E856B0">
        <w:rPr>
          <w:lang w:val="en-AU"/>
        </w:rPr>
        <w:t>the TIS</w:t>
      </w:r>
      <w:r w:rsidR="006E63E8" w:rsidRPr="00E856B0">
        <w:rPr>
          <w:lang w:val="en-AU"/>
        </w:rPr>
        <w:t>&amp;HL programme</w:t>
      </w:r>
      <w:r w:rsidRPr="00E856B0">
        <w:rPr>
          <w:lang w:val="en-AU"/>
        </w:rPr>
        <w:t xml:space="preserve"> could have a component tha</w:t>
      </w:r>
      <w:r w:rsidR="006E63E8" w:rsidRPr="00E856B0">
        <w:rPr>
          <w:lang w:val="en-AU"/>
        </w:rPr>
        <w:t>t allows workers to become a “broker”, continuing</w:t>
      </w:r>
      <w:r w:rsidRPr="00E856B0">
        <w:rPr>
          <w:lang w:val="en-AU"/>
        </w:rPr>
        <w:t xml:space="preserve"> to support </w:t>
      </w:r>
      <w:r w:rsidR="006E63E8" w:rsidRPr="00E856B0">
        <w:rPr>
          <w:lang w:val="en-AU"/>
        </w:rPr>
        <w:t xml:space="preserve">the client, </w:t>
      </w:r>
      <w:r w:rsidRPr="00E856B0">
        <w:rPr>
          <w:lang w:val="en-AU"/>
        </w:rPr>
        <w:t>until the</w:t>
      </w:r>
      <w:r w:rsidR="006E63E8" w:rsidRPr="00E856B0">
        <w:rPr>
          <w:lang w:val="en-AU"/>
        </w:rPr>
        <w:t>y are</w:t>
      </w:r>
      <w:r w:rsidRPr="00E856B0">
        <w:rPr>
          <w:lang w:val="en-AU"/>
        </w:rPr>
        <w:t xml:space="preserve"> comfortable moving into the new “clinical mode” of quitting.  </w:t>
      </w:r>
      <w:r w:rsidR="006E63E8" w:rsidRPr="00E856B0">
        <w:rPr>
          <w:lang w:val="en-AU"/>
        </w:rPr>
        <w:t>Ensuring the link between</w:t>
      </w:r>
      <w:r w:rsidRPr="00E856B0">
        <w:rPr>
          <w:lang w:val="en-AU"/>
        </w:rPr>
        <w:t xml:space="preserve"> health pr</w:t>
      </w:r>
      <w:r w:rsidR="006E63E8" w:rsidRPr="00E856B0">
        <w:rPr>
          <w:lang w:val="en-AU"/>
        </w:rPr>
        <w:t>omotion and clinical services is</w:t>
      </w:r>
      <w:r w:rsidRPr="00E856B0">
        <w:rPr>
          <w:lang w:val="en-AU"/>
        </w:rPr>
        <w:t xml:space="preserve"> a seamless and supportive </w:t>
      </w:r>
      <w:r w:rsidR="006E63E8" w:rsidRPr="00E856B0">
        <w:rPr>
          <w:lang w:val="en-AU"/>
        </w:rPr>
        <w:t xml:space="preserve">process is therefore essential, and whilst some local programmes have been able to do this successfully (e.g. </w:t>
      </w:r>
      <w:r w:rsidRPr="00E856B0">
        <w:rPr>
          <w:lang w:val="en-AU"/>
        </w:rPr>
        <w:t xml:space="preserve">Deadly </w:t>
      </w:r>
      <w:proofErr w:type="spellStart"/>
      <w:r w:rsidRPr="00E856B0">
        <w:rPr>
          <w:lang w:val="en-AU"/>
        </w:rPr>
        <w:t>Choices</w:t>
      </w:r>
      <w:r w:rsidR="006E63E8" w:rsidRPr="00E856B0">
        <w:rPr>
          <w:vertAlign w:val="superscript"/>
          <w:lang w:val="en-AU"/>
        </w:rPr>
        <w:t>TM</w:t>
      </w:r>
      <w:proofErr w:type="spellEnd"/>
      <w:r w:rsidR="006E63E8" w:rsidRPr="00E856B0">
        <w:rPr>
          <w:lang w:val="en-AU"/>
        </w:rPr>
        <w:t>)</w:t>
      </w:r>
      <w:proofErr w:type="gramStart"/>
      <w:r w:rsidR="006E63E8" w:rsidRPr="00E856B0">
        <w:rPr>
          <w:lang w:val="en-AU"/>
        </w:rPr>
        <w:t>,</w:t>
      </w:r>
      <w:proofErr w:type="gramEnd"/>
      <w:r w:rsidR="006E63E8" w:rsidRPr="00E856B0">
        <w:rPr>
          <w:lang w:val="en-AU"/>
        </w:rPr>
        <w:t xml:space="preserve"> others have found this more challenging.</w:t>
      </w:r>
    </w:p>
    <w:p w14:paraId="4E31B77B" w14:textId="5EE18731" w:rsidR="009D4409" w:rsidRPr="00E856B0" w:rsidRDefault="00B81CD7" w:rsidP="004F6A5A">
      <w:pPr>
        <w:spacing w:line="276" w:lineRule="auto"/>
        <w:rPr>
          <w:lang w:val="en-AU"/>
        </w:rPr>
      </w:pPr>
      <w:r w:rsidRPr="00E856B0">
        <w:rPr>
          <w:lang w:val="en-AU"/>
        </w:rPr>
        <w:t xml:space="preserve">Delivering the programme in remote and rural areas was also described as challenging.  For example, it can be very difficult and very expensive to get resources into some isolated areas.   Seasonal changes can complicate this </w:t>
      </w:r>
      <w:r w:rsidR="00902327" w:rsidRPr="00E856B0">
        <w:rPr>
          <w:lang w:val="en-AU"/>
        </w:rPr>
        <w:t xml:space="preserve">further, and </w:t>
      </w:r>
      <w:r w:rsidRPr="00E856B0">
        <w:rPr>
          <w:lang w:val="en-AU"/>
        </w:rPr>
        <w:t xml:space="preserve">present a </w:t>
      </w:r>
      <w:r w:rsidR="00902327" w:rsidRPr="00E856B0">
        <w:rPr>
          <w:lang w:val="en-AU"/>
        </w:rPr>
        <w:t xml:space="preserve">real </w:t>
      </w:r>
      <w:r w:rsidRPr="00E856B0">
        <w:rPr>
          <w:lang w:val="en-AU"/>
        </w:rPr>
        <w:t>barrier to delivery of the programme; during the</w:t>
      </w:r>
      <w:r w:rsidR="009D4409" w:rsidRPr="00E856B0">
        <w:rPr>
          <w:lang w:val="en-AU"/>
        </w:rPr>
        <w:t xml:space="preserve"> </w:t>
      </w:r>
      <w:r w:rsidRPr="00E856B0">
        <w:rPr>
          <w:lang w:val="en-AU"/>
        </w:rPr>
        <w:t>wet season</w:t>
      </w:r>
      <w:r w:rsidR="009D4409" w:rsidRPr="00E856B0">
        <w:rPr>
          <w:lang w:val="en-AU"/>
        </w:rPr>
        <w:t xml:space="preserve"> </w:t>
      </w:r>
      <w:r w:rsidRPr="00E856B0">
        <w:rPr>
          <w:lang w:val="en-AU"/>
        </w:rPr>
        <w:t xml:space="preserve">it may be </w:t>
      </w:r>
      <w:r w:rsidR="009D4409" w:rsidRPr="00E856B0">
        <w:rPr>
          <w:lang w:val="en-AU"/>
        </w:rPr>
        <w:t xml:space="preserve">impossible to get in or out of some remote and isolated communities other than by plane, </w:t>
      </w:r>
      <w:r w:rsidRPr="00E856B0">
        <w:rPr>
          <w:lang w:val="en-AU"/>
        </w:rPr>
        <w:t xml:space="preserve">and </w:t>
      </w:r>
      <w:r w:rsidR="009D4409" w:rsidRPr="00E856B0">
        <w:rPr>
          <w:lang w:val="en-AU"/>
        </w:rPr>
        <w:t xml:space="preserve">flights </w:t>
      </w:r>
      <w:r w:rsidRPr="00E856B0">
        <w:rPr>
          <w:lang w:val="en-AU"/>
        </w:rPr>
        <w:t>may be limited and</w:t>
      </w:r>
      <w:r w:rsidR="009D4409" w:rsidRPr="00E856B0">
        <w:rPr>
          <w:lang w:val="en-AU"/>
        </w:rPr>
        <w:t xml:space="preserve"> very expensive</w:t>
      </w:r>
      <w:r w:rsidRPr="00E856B0">
        <w:rPr>
          <w:lang w:val="en-AU"/>
        </w:rPr>
        <w:t xml:space="preserve">. </w:t>
      </w:r>
    </w:p>
    <w:p w14:paraId="2B50DC4D" w14:textId="07C9295F" w:rsidR="00902327" w:rsidRPr="00E856B0" w:rsidRDefault="00902327" w:rsidP="004F6A5A">
      <w:pPr>
        <w:spacing w:line="276" w:lineRule="auto"/>
        <w:rPr>
          <w:lang w:val="en-AU"/>
        </w:rPr>
      </w:pPr>
      <w:r w:rsidRPr="00E856B0">
        <w:rPr>
          <w:lang w:val="en-AU"/>
        </w:rPr>
        <w:t xml:space="preserve">Finally, some concern </w:t>
      </w:r>
      <w:r w:rsidR="000803B9" w:rsidRPr="00E856B0">
        <w:rPr>
          <w:lang w:val="en-AU"/>
        </w:rPr>
        <w:t xml:space="preserve">was also </w:t>
      </w:r>
      <w:r w:rsidRPr="00E856B0">
        <w:rPr>
          <w:lang w:val="en-AU"/>
        </w:rPr>
        <w:t xml:space="preserve">expressed </w:t>
      </w:r>
      <w:r w:rsidR="00F76763" w:rsidRPr="00E856B0">
        <w:rPr>
          <w:lang w:val="en-AU"/>
        </w:rPr>
        <w:t xml:space="preserve">by interviewees, </w:t>
      </w:r>
      <w:r w:rsidRPr="00E856B0">
        <w:rPr>
          <w:lang w:val="en-AU"/>
        </w:rPr>
        <w:t>that there was confusion over the aims and purpose of health promotion programmes</w:t>
      </w:r>
      <w:r w:rsidR="000803B9" w:rsidRPr="00E856B0">
        <w:rPr>
          <w:lang w:val="en-AU"/>
        </w:rPr>
        <w:t xml:space="preserve"> in some arenas</w:t>
      </w:r>
      <w:r w:rsidRPr="00E856B0">
        <w:rPr>
          <w:lang w:val="en-AU"/>
        </w:rPr>
        <w:t xml:space="preserve">.  </w:t>
      </w:r>
      <w:r w:rsidR="00F76763" w:rsidRPr="00E856B0">
        <w:rPr>
          <w:lang w:val="en-AU"/>
        </w:rPr>
        <w:t xml:space="preserve">These respondents believed that health promotion was concerned with prevention only, not cessation.  Thus it was felt </w:t>
      </w:r>
      <w:r w:rsidRPr="00E856B0">
        <w:rPr>
          <w:lang w:val="en-AU"/>
        </w:rPr>
        <w:t>that measuring quit attempts was not an appropriate measure of success for a health promotion programme; rather the focus should be on reach, attitudes, and commu</w:t>
      </w:r>
      <w:r w:rsidR="00CB1D86" w:rsidRPr="00E856B0">
        <w:rPr>
          <w:lang w:val="en-AU"/>
        </w:rPr>
        <w:t>nity level measures of change. However, a</w:t>
      </w:r>
      <w:r w:rsidRPr="00E856B0">
        <w:rPr>
          <w:lang w:val="en-AU"/>
        </w:rPr>
        <w:t>s one interviewee noted</w:t>
      </w:r>
      <w:r w:rsidR="00EB6638" w:rsidRPr="00E856B0">
        <w:rPr>
          <w:lang w:val="en-AU"/>
        </w:rPr>
        <w:t xml:space="preserve">, measuring stages of change </w:t>
      </w:r>
      <w:r w:rsidR="00CB1D86" w:rsidRPr="00E856B0">
        <w:rPr>
          <w:lang w:val="en-AU"/>
        </w:rPr>
        <w:t>within a community could be</w:t>
      </w:r>
      <w:r w:rsidR="00EB6638" w:rsidRPr="00E856B0">
        <w:rPr>
          <w:lang w:val="en-AU"/>
        </w:rPr>
        <w:t xml:space="preserve"> an appropriate app</w:t>
      </w:r>
      <w:r w:rsidR="00CB1D86" w:rsidRPr="00E856B0">
        <w:rPr>
          <w:lang w:val="en-AU"/>
        </w:rPr>
        <w:t xml:space="preserve">roach: thus in </w:t>
      </w:r>
      <w:r w:rsidR="00EB6638" w:rsidRPr="00E856B0">
        <w:rPr>
          <w:lang w:val="en-AU"/>
        </w:rPr>
        <w:t xml:space="preserve">some communities, where programmes have only recently been implemented, </w:t>
      </w:r>
      <w:r w:rsidR="00CB1D86" w:rsidRPr="00E856B0">
        <w:rPr>
          <w:lang w:val="en-AU"/>
        </w:rPr>
        <w:t xml:space="preserve">most individuals </w:t>
      </w:r>
      <w:r w:rsidR="00EB6638" w:rsidRPr="00E856B0">
        <w:rPr>
          <w:lang w:val="en-AU"/>
        </w:rPr>
        <w:t xml:space="preserve">will still be in a state of </w:t>
      </w:r>
      <w:r w:rsidR="00CB1D86" w:rsidRPr="00E856B0">
        <w:rPr>
          <w:lang w:val="en-AU"/>
        </w:rPr>
        <w:t>‘</w:t>
      </w:r>
      <w:r w:rsidR="00EB6638" w:rsidRPr="00E856B0">
        <w:rPr>
          <w:lang w:val="en-AU"/>
        </w:rPr>
        <w:t>contemplation</w:t>
      </w:r>
      <w:r w:rsidR="00CB1D86" w:rsidRPr="00E856B0">
        <w:rPr>
          <w:lang w:val="en-AU"/>
        </w:rPr>
        <w:t>’</w:t>
      </w:r>
      <w:r w:rsidR="00EB6638" w:rsidRPr="00E856B0">
        <w:rPr>
          <w:lang w:val="en-AU"/>
        </w:rPr>
        <w:t xml:space="preserve">, </w:t>
      </w:r>
      <w:r w:rsidR="00CB1D86" w:rsidRPr="00E856B0">
        <w:rPr>
          <w:lang w:val="en-AU"/>
        </w:rPr>
        <w:t xml:space="preserve">and impact will be best represented by </w:t>
      </w:r>
      <w:r w:rsidR="00F76763" w:rsidRPr="00E856B0">
        <w:rPr>
          <w:lang w:val="en-AU"/>
        </w:rPr>
        <w:t xml:space="preserve">community </w:t>
      </w:r>
      <w:r w:rsidR="00CB1D86" w:rsidRPr="00E856B0">
        <w:rPr>
          <w:lang w:val="en-AU"/>
        </w:rPr>
        <w:t>measures such as reach; in other communities</w:t>
      </w:r>
      <w:r w:rsidR="00EB6638" w:rsidRPr="00E856B0">
        <w:rPr>
          <w:lang w:val="en-AU"/>
        </w:rPr>
        <w:t xml:space="preserve"> </w:t>
      </w:r>
      <w:r w:rsidR="00CB1D86" w:rsidRPr="00E856B0">
        <w:rPr>
          <w:lang w:val="en-AU"/>
        </w:rPr>
        <w:t>where programmes have been running for longer there should be individuals who</w:t>
      </w:r>
      <w:r w:rsidR="00EB6638" w:rsidRPr="00E856B0">
        <w:rPr>
          <w:lang w:val="en-AU"/>
        </w:rPr>
        <w:t xml:space="preserve"> </w:t>
      </w:r>
      <w:r w:rsidR="00CB1D86" w:rsidRPr="00E856B0">
        <w:rPr>
          <w:lang w:val="en-AU"/>
        </w:rPr>
        <w:t xml:space="preserve">have reached ‘preparation’ or ‘action’ stages, thus </w:t>
      </w:r>
      <w:r w:rsidR="00F76763" w:rsidRPr="00E856B0">
        <w:rPr>
          <w:lang w:val="en-AU"/>
        </w:rPr>
        <w:t>individual measures</w:t>
      </w:r>
      <w:r w:rsidR="00CB1D86" w:rsidRPr="00E856B0">
        <w:rPr>
          <w:lang w:val="en-AU"/>
        </w:rPr>
        <w:t xml:space="preserve"> of </w:t>
      </w:r>
      <w:proofErr w:type="spellStart"/>
      <w:r w:rsidR="00CB1D86" w:rsidRPr="00E856B0">
        <w:rPr>
          <w:lang w:val="en-AU"/>
        </w:rPr>
        <w:t>behavior</w:t>
      </w:r>
      <w:proofErr w:type="spellEnd"/>
      <w:r w:rsidR="00CB1D86" w:rsidRPr="00E856B0">
        <w:rPr>
          <w:lang w:val="en-AU"/>
        </w:rPr>
        <w:t xml:space="preserve">  </w:t>
      </w:r>
      <w:r w:rsidR="00F76763" w:rsidRPr="00E856B0">
        <w:rPr>
          <w:lang w:val="en-AU"/>
        </w:rPr>
        <w:t>change become more relevant.</w:t>
      </w:r>
    </w:p>
    <w:p w14:paraId="0A0E17B2" w14:textId="2183FBE8" w:rsidR="00244C7D" w:rsidRPr="00E856B0" w:rsidRDefault="007B46BD" w:rsidP="00096EA3">
      <w:pPr>
        <w:pStyle w:val="Heading3"/>
      </w:pPr>
      <w:r>
        <w:t>h) Services and Activities Important for Reducing S</w:t>
      </w:r>
      <w:r w:rsidR="00244C7D" w:rsidRPr="00E856B0">
        <w:t>moking</w:t>
      </w:r>
    </w:p>
    <w:p w14:paraId="30F43B52" w14:textId="59EE1BB0" w:rsidR="005C4658" w:rsidRPr="00E856B0" w:rsidRDefault="00244C7D" w:rsidP="004F6A5A">
      <w:pPr>
        <w:spacing w:line="276" w:lineRule="auto"/>
        <w:rPr>
          <w:lang w:val="en-AU"/>
        </w:rPr>
      </w:pPr>
      <w:r w:rsidRPr="00E856B0">
        <w:rPr>
          <w:lang w:val="en-AU"/>
        </w:rPr>
        <w:t>The majority of respondents agreed that there are a number of different services and activities that are important for reducing smoking.</w:t>
      </w:r>
      <w:r w:rsidR="00572D37" w:rsidRPr="00E856B0">
        <w:rPr>
          <w:lang w:val="en-AU"/>
        </w:rPr>
        <w:t xml:space="preserve"> As </w:t>
      </w:r>
      <w:r w:rsidR="005C4658" w:rsidRPr="00E856B0">
        <w:rPr>
          <w:lang w:val="en-AU"/>
        </w:rPr>
        <w:t>Table</w:t>
      </w:r>
      <w:r w:rsidR="00572D37" w:rsidRPr="00E856B0">
        <w:rPr>
          <w:lang w:val="en-AU"/>
        </w:rPr>
        <w:t xml:space="preserve"> 1 shows, everyone agreed that raising community awareness of the issues related to smoking/healthy lifestyles</w:t>
      </w:r>
      <w:r w:rsidR="005C4658" w:rsidRPr="00E856B0">
        <w:rPr>
          <w:lang w:val="en-AU"/>
        </w:rPr>
        <w:t xml:space="preserve">, improving access to Nicotine Replacement Therapy (NRT), and local media campaigns were very important activities.  The majority also placed importance on developing clear pathways to smoking cessation services, improving access to cessation services for communities and individuals, improving one-on-one cessation services, local workforce training and development and culturally appropriate </w:t>
      </w:r>
      <w:proofErr w:type="spellStart"/>
      <w:r w:rsidR="005C4658" w:rsidRPr="00E856B0">
        <w:rPr>
          <w:lang w:val="en-AU"/>
        </w:rPr>
        <w:t>Quitline</w:t>
      </w:r>
      <w:proofErr w:type="spellEnd"/>
      <w:r w:rsidR="005C4658" w:rsidRPr="00E856B0">
        <w:rPr>
          <w:lang w:val="en-AU"/>
        </w:rPr>
        <w:t xml:space="preserve"> services.  In contrast there was some </w:t>
      </w:r>
      <w:r w:rsidR="00E856B0" w:rsidRPr="00E856B0">
        <w:rPr>
          <w:lang w:val="en-AU"/>
        </w:rPr>
        <w:t>disagreement</w:t>
      </w:r>
      <w:r w:rsidR="005C4658" w:rsidRPr="00E856B0">
        <w:rPr>
          <w:lang w:val="en-AU"/>
        </w:rPr>
        <w:t xml:space="preserve"> </w:t>
      </w:r>
      <w:r w:rsidR="00E856B0" w:rsidRPr="00E856B0">
        <w:rPr>
          <w:lang w:val="en-AU"/>
        </w:rPr>
        <w:t>regarding</w:t>
      </w:r>
      <w:r w:rsidR="005C4658" w:rsidRPr="00E856B0">
        <w:rPr>
          <w:lang w:val="en-AU"/>
        </w:rPr>
        <w:t xml:space="preserve"> the importance of local and national Key Performance Indicators for smoking cessation/healthy lifestyle programmes and national campaigns.</w:t>
      </w:r>
    </w:p>
    <w:p w14:paraId="7B66D976" w14:textId="6E0D1444" w:rsidR="00B6104D" w:rsidRPr="00BB621F" w:rsidRDefault="00B6104D" w:rsidP="00B6104D">
      <w:pPr>
        <w:pStyle w:val="Caption"/>
        <w:keepNext/>
        <w:rPr>
          <w:sz w:val="24"/>
          <w:lang w:val="en-AU"/>
        </w:rPr>
      </w:pPr>
      <w:r w:rsidRPr="00BB621F">
        <w:rPr>
          <w:sz w:val="24"/>
          <w:lang w:val="en-AU"/>
        </w:rPr>
        <w:t xml:space="preserve">Table </w:t>
      </w:r>
      <w:r w:rsidRPr="00BB621F">
        <w:rPr>
          <w:sz w:val="24"/>
          <w:lang w:val="en-AU"/>
        </w:rPr>
        <w:fldChar w:fldCharType="begin"/>
      </w:r>
      <w:r w:rsidRPr="00BB621F">
        <w:rPr>
          <w:sz w:val="24"/>
          <w:lang w:val="en-AU"/>
        </w:rPr>
        <w:instrText xml:space="preserve"> SEQ Table \* ARABIC </w:instrText>
      </w:r>
      <w:r w:rsidRPr="00BB621F">
        <w:rPr>
          <w:sz w:val="24"/>
          <w:lang w:val="en-AU"/>
        </w:rPr>
        <w:fldChar w:fldCharType="separate"/>
      </w:r>
      <w:r w:rsidR="00FB7662">
        <w:rPr>
          <w:noProof/>
          <w:sz w:val="24"/>
          <w:lang w:val="en-AU"/>
        </w:rPr>
        <w:t>1</w:t>
      </w:r>
      <w:r w:rsidRPr="00BB621F">
        <w:rPr>
          <w:sz w:val="24"/>
          <w:lang w:val="en-AU"/>
        </w:rPr>
        <w:fldChar w:fldCharType="end"/>
      </w:r>
      <w:r w:rsidR="00EF3715" w:rsidRPr="00BB621F">
        <w:rPr>
          <w:sz w:val="24"/>
          <w:lang w:val="en-AU"/>
        </w:rPr>
        <w:t>: Importance</w:t>
      </w:r>
      <w:r w:rsidRPr="00BB621F">
        <w:rPr>
          <w:sz w:val="24"/>
          <w:lang w:val="en-AU"/>
        </w:rPr>
        <w:t xml:space="preserve"> of Activities for Reducing Smoking</w:t>
      </w:r>
    </w:p>
    <w:tbl>
      <w:tblPr>
        <w:tblStyle w:val="TableGrid"/>
        <w:tblW w:w="0" w:type="auto"/>
        <w:tblLook w:val="04A0" w:firstRow="1" w:lastRow="0" w:firstColumn="1" w:lastColumn="0" w:noHBand="0" w:noVBand="1"/>
        <w:tblDescription w:val="Table 1 details the importance of activities for reducing smoking.  This table consists of 6 column headings; column 1. Blank (lising activities) column 2. Very Unimportant, column 3. Somewhat Unimportant, column 4. Neutral, column 5. Somewhat Important and column 6. Very Important"/>
      </w:tblPr>
      <w:tblGrid>
        <w:gridCol w:w="2834"/>
        <w:gridCol w:w="1274"/>
        <w:gridCol w:w="1369"/>
        <w:gridCol w:w="781"/>
        <w:gridCol w:w="1202"/>
        <w:gridCol w:w="1056"/>
      </w:tblGrid>
      <w:tr w:rsidR="00B6104D" w:rsidRPr="00E856B0" w14:paraId="7FF966BB" w14:textId="77777777" w:rsidTr="007F182C">
        <w:trPr>
          <w:tblHeader/>
        </w:trPr>
        <w:tc>
          <w:tcPr>
            <w:tcW w:w="0" w:type="auto"/>
          </w:tcPr>
          <w:p w14:paraId="34270860" w14:textId="77777777" w:rsidR="00B6104D" w:rsidRPr="00E856B0" w:rsidRDefault="00B6104D" w:rsidP="005C4658">
            <w:pPr>
              <w:spacing w:after="100" w:afterAutospacing="1"/>
              <w:rPr>
                <w:sz w:val="20"/>
                <w:szCs w:val="20"/>
                <w:lang w:val="en-AU"/>
              </w:rPr>
            </w:pPr>
          </w:p>
        </w:tc>
        <w:tc>
          <w:tcPr>
            <w:tcW w:w="0" w:type="auto"/>
          </w:tcPr>
          <w:p w14:paraId="58791E58" w14:textId="04BF6B39" w:rsidR="00B6104D" w:rsidRPr="00E856B0" w:rsidRDefault="00B6104D" w:rsidP="005C4658">
            <w:pPr>
              <w:spacing w:after="100" w:afterAutospacing="1"/>
              <w:jc w:val="center"/>
              <w:rPr>
                <w:sz w:val="20"/>
                <w:szCs w:val="20"/>
                <w:lang w:val="en-AU"/>
              </w:rPr>
            </w:pPr>
            <w:r w:rsidRPr="00E856B0">
              <w:rPr>
                <w:b/>
                <w:sz w:val="20"/>
                <w:szCs w:val="20"/>
                <w:lang w:val="en-AU"/>
              </w:rPr>
              <w:t>Very Unimportant</w:t>
            </w:r>
          </w:p>
        </w:tc>
        <w:tc>
          <w:tcPr>
            <w:tcW w:w="0" w:type="auto"/>
          </w:tcPr>
          <w:p w14:paraId="47F19D33" w14:textId="3E811CCF" w:rsidR="00B6104D" w:rsidRPr="00E856B0" w:rsidRDefault="00B6104D" w:rsidP="005C4658">
            <w:pPr>
              <w:spacing w:after="100" w:afterAutospacing="1"/>
              <w:jc w:val="center"/>
              <w:rPr>
                <w:sz w:val="20"/>
                <w:szCs w:val="20"/>
                <w:lang w:val="en-AU"/>
              </w:rPr>
            </w:pPr>
            <w:r w:rsidRPr="00E856B0">
              <w:rPr>
                <w:b/>
                <w:sz w:val="20"/>
                <w:szCs w:val="20"/>
                <w:lang w:val="en-AU"/>
              </w:rPr>
              <w:t>Somewhat Unimportant</w:t>
            </w:r>
          </w:p>
        </w:tc>
        <w:tc>
          <w:tcPr>
            <w:tcW w:w="0" w:type="auto"/>
          </w:tcPr>
          <w:p w14:paraId="398DFD25" w14:textId="106B10EF" w:rsidR="00B6104D" w:rsidRPr="00E856B0" w:rsidRDefault="00572D37" w:rsidP="005C4658">
            <w:pPr>
              <w:spacing w:after="100" w:afterAutospacing="1"/>
              <w:jc w:val="center"/>
              <w:rPr>
                <w:sz w:val="20"/>
                <w:szCs w:val="20"/>
                <w:lang w:val="en-AU"/>
              </w:rPr>
            </w:pPr>
            <w:r w:rsidRPr="00E856B0">
              <w:rPr>
                <w:b/>
                <w:sz w:val="20"/>
                <w:szCs w:val="20"/>
                <w:lang w:val="en-AU"/>
              </w:rPr>
              <w:t>Neutral</w:t>
            </w:r>
          </w:p>
        </w:tc>
        <w:tc>
          <w:tcPr>
            <w:tcW w:w="0" w:type="auto"/>
          </w:tcPr>
          <w:p w14:paraId="173552DB" w14:textId="45711853" w:rsidR="00B6104D" w:rsidRPr="00E856B0" w:rsidRDefault="00B6104D" w:rsidP="005C4658">
            <w:pPr>
              <w:spacing w:after="100" w:afterAutospacing="1"/>
              <w:jc w:val="center"/>
              <w:rPr>
                <w:sz w:val="20"/>
                <w:szCs w:val="20"/>
                <w:lang w:val="en-AU"/>
              </w:rPr>
            </w:pPr>
            <w:r w:rsidRPr="00E856B0">
              <w:rPr>
                <w:b/>
                <w:sz w:val="20"/>
                <w:szCs w:val="20"/>
                <w:lang w:val="en-AU"/>
              </w:rPr>
              <w:t>Somewhat Important</w:t>
            </w:r>
          </w:p>
        </w:tc>
        <w:tc>
          <w:tcPr>
            <w:tcW w:w="0" w:type="auto"/>
          </w:tcPr>
          <w:p w14:paraId="73B849F0" w14:textId="4B53B28D" w:rsidR="00B6104D" w:rsidRPr="00E856B0" w:rsidRDefault="00B6104D" w:rsidP="005C4658">
            <w:pPr>
              <w:spacing w:after="100" w:afterAutospacing="1"/>
              <w:jc w:val="center"/>
              <w:rPr>
                <w:b/>
                <w:sz w:val="20"/>
                <w:szCs w:val="20"/>
                <w:lang w:val="en-AU"/>
              </w:rPr>
            </w:pPr>
            <w:r w:rsidRPr="00E856B0">
              <w:rPr>
                <w:b/>
                <w:sz w:val="20"/>
                <w:szCs w:val="20"/>
                <w:lang w:val="en-AU"/>
              </w:rPr>
              <w:t>Very</w:t>
            </w:r>
            <w:r w:rsidR="005C4658" w:rsidRPr="00E856B0">
              <w:rPr>
                <w:b/>
                <w:sz w:val="20"/>
                <w:szCs w:val="20"/>
                <w:lang w:val="en-AU"/>
              </w:rPr>
              <w:t xml:space="preserve"> </w:t>
            </w:r>
            <w:r w:rsidRPr="00E856B0">
              <w:rPr>
                <w:b/>
                <w:sz w:val="20"/>
                <w:szCs w:val="20"/>
                <w:lang w:val="en-AU"/>
              </w:rPr>
              <w:t>Important</w:t>
            </w:r>
          </w:p>
        </w:tc>
      </w:tr>
      <w:tr w:rsidR="00572D37" w:rsidRPr="00E856B0" w14:paraId="45A68020" w14:textId="77777777" w:rsidTr="00572D37">
        <w:tc>
          <w:tcPr>
            <w:tcW w:w="0" w:type="auto"/>
          </w:tcPr>
          <w:p w14:paraId="6E051AFB" w14:textId="655B1AEA" w:rsidR="00572D37" w:rsidRPr="00E856B0" w:rsidRDefault="00572D37" w:rsidP="005C4658">
            <w:pPr>
              <w:spacing w:after="100" w:afterAutospacing="1"/>
              <w:rPr>
                <w:sz w:val="20"/>
                <w:szCs w:val="20"/>
                <w:lang w:val="en-AU"/>
              </w:rPr>
            </w:pPr>
            <w:r w:rsidRPr="00E856B0">
              <w:rPr>
                <w:sz w:val="20"/>
                <w:szCs w:val="20"/>
                <w:lang w:val="en-AU"/>
              </w:rPr>
              <w:t>Raising community awareness of the issues related to smoking/healthy lifestyles</w:t>
            </w:r>
          </w:p>
        </w:tc>
        <w:tc>
          <w:tcPr>
            <w:tcW w:w="0" w:type="auto"/>
          </w:tcPr>
          <w:p w14:paraId="54E8F16A" w14:textId="422F7906"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D792BD5" w14:textId="3242AA8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07824E72" w14:textId="4294E49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2D082436" w14:textId="6512761B"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2C61F952" w14:textId="427420E5" w:rsidR="00572D37" w:rsidRPr="00E856B0" w:rsidRDefault="00572D37" w:rsidP="005C4658">
            <w:pPr>
              <w:spacing w:after="100" w:afterAutospacing="1"/>
              <w:jc w:val="center"/>
              <w:rPr>
                <w:sz w:val="20"/>
                <w:szCs w:val="20"/>
                <w:lang w:val="en-AU"/>
              </w:rPr>
            </w:pPr>
            <w:r w:rsidRPr="00E856B0">
              <w:rPr>
                <w:sz w:val="20"/>
                <w:szCs w:val="20"/>
                <w:lang w:val="en-AU"/>
              </w:rPr>
              <w:t>100%</w:t>
            </w:r>
          </w:p>
        </w:tc>
      </w:tr>
      <w:tr w:rsidR="00572D37" w:rsidRPr="00E856B0" w14:paraId="31AA8FAB" w14:textId="77777777" w:rsidTr="00572D37">
        <w:tc>
          <w:tcPr>
            <w:tcW w:w="0" w:type="auto"/>
          </w:tcPr>
          <w:p w14:paraId="7AAE3EE7" w14:textId="48BA53E0" w:rsidR="00572D37" w:rsidRPr="00E856B0" w:rsidRDefault="00572D37" w:rsidP="005C4658">
            <w:pPr>
              <w:spacing w:after="100" w:afterAutospacing="1"/>
              <w:rPr>
                <w:sz w:val="20"/>
                <w:szCs w:val="20"/>
                <w:lang w:val="en-AU"/>
              </w:rPr>
            </w:pPr>
            <w:r w:rsidRPr="00E856B0">
              <w:rPr>
                <w:sz w:val="20"/>
                <w:szCs w:val="20"/>
                <w:lang w:val="en-AU"/>
              </w:rPr>
              <w:t xml:space="preserve">Applying </w:t>
            </w:r>
            <w:r w:rsidRPr="00641317">
              <w:rPr>
                <w:rStyle w:val="IntenseEmphasis"/>
              </w:rPr>
              <w:t>locally</w:t>
            </w:r>
            <w:r w:rsidRPr="00E856B0">
              <w:rPr>
                <w:b/>
                <w:i/>
                <w:sz w:val="20"/>
                <w:szCs w:val="20"/>
                <w:lang w:val="en-AU"/>
              </w:rPr>
              <w:t xml:space="preserve"> </w:t>
            </w:r>
            <w:r w:rsidRPr="00E856B0">
              <w:rPr>
                <w:sz w:val="20"/>
                <w:szCs w:val="20"/>
                <w:lang w:val="en-AU"/>
              </w:rPr>
              <w:t>agreed Key Performance Indicators for smoking cessation/healthy lifestyle programmes</w:t>
            </w:r>
          </w:p>
        </w:tc>
        <w:tc>
          <w:tcPr>
            <w:tcW w:w="0" w:type="auto"/>
          </w:tcPr>
          <w:p w14:paraId="09B01C42" w14:textId="52D22176" w:rsidR="00572D37" w:rsidRPr="00E856B0" w:rsidRDefault="00572D37" w:rsidP="005C4658">
            <w:pPr>
              <w:spacing w:after="100" w:afterAutospacing="1"/>
              <w:jc w:val="center"/>
              <w:rPr>
                <w:sz w:val="20"/>
                <w:szCs w:val="20"/>
                <w:lang w:val="en-AU"/>
              </w:rPr>
            </w:pPr>
            <w:r w:rsidRPr="00E856B0">
              <w:rPr>
                <w:sz w:val="20"/>
                <w:szCs w:val="20"/>
                <w:lang w:val="en-AU"/>
              </w:rPr>
              <w:t>3.8%</w:t>
            </w:r>
          </w:p>
        </w:tc>
        <w:tc>
          <w:tcPr>
            <w:tcW w:w="0" w:type="auto"/>
          </w:tcPr>
          <w:p w14:paraId="2EFB7B35" w14:textId="625A7D63"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438B8AA" w14:textId="448930C8" w:rsidR="00572D37" w:rsidRPr="00E856B0" w:rsidRDefault="00572D37" w:rsidP="005C4658">
            <w:pPr>
              <w:spacing w:after="100" w:afterAutospacing="1"/>
              <w:jc w:val="center"/>
              <w:rPr>
                <w:sz w:val="20"/>
                <w:szCs w:val="20"/>
                <w:lang w:val="en-AU"/>
              </w:rPr>
            </w:pPr>
            <w:r w:rsidRPr="00E856B0">
              <w:rPr>
                <w:sz w:val="20"/>
                <w:szCs w:val="20"/>
                <w:lang w:val="en-AU"/>
              </w:rPr>
              <w:t>3.8%</w:t>
            </w:r>
          </w:p>
        </w:tc>
        <w:tc>
          <w:tcPr>
            <w:tcW w:w="0" w:type="auto"/>
          </w:tcPr>
          <w:p w14:paraId="4F111D6F" w14:textId="5E213F1F" w:rsidR="00572D37" w:rsidRPr="00E856B0" w:rsidRDefault="00572D37" w:rsidP="005C4658">
            <w:pPr>
              <w:spacing w:after="100" w:afterAutospacing="1"/>
              <w:jc w:val="center"/>
              <w:rPr>
                <w:sz w:val="20"/>
                <w:szCs w:val="20"/>
                <w:lang w:val="en-AU"/>
              </w:rPr>
            </w:pPr>
            <w:r w:rsidRPr="00E856B0">
              <w:rPr>
                <w:sz w:val="20"/>
                <w:szCs w:val="20"/>
                <w:lang w:val="en-AU"/>
              </w:rPr>
              <w:t>11.5%</w:t>
            </w:r>
          </w:p>
        </w:tc>
        <w:tc>
          <w:tcPr>
            <w:tcW w:w="0" w:type="auto"/>
          </w:tcPr>
          <w:p w14:paraId="5EA316B2" w14:textId="3C7F79A1" w:rsidR="00572D37" w:rsidRPr="00E856B0" w:rsidRDefault="00572D37" w:rsidP="005C4658">
            <w:pPr>
              <w:spacing w:after="100" w:afterAutospacing="1"/>
              <w:jc w:val="center"/>
              <w:rPr>
                <w:sz w:val="20"/>
                <w:szCs w:val="20"/>
                <w:lang w:val="en-AU"/>
              </w:rPr>
            </w:pPr>
            <w:r w:rsidRPr="00E856B0">
              <w:rPr>
                <w:sz w:val="20"/>
                <w:szCs w:val="20"/>
                <w:lang w:val="en-AU"/>
              </w:rPr>
              <w:t>76.9%</w:t>
            </w:r>
          </w:p>
        </w:tc>
      </w:tr>
      <w:tr w:rsidR="00572D37" w:rsidRPr="00E856B0" w14:paraId="4FC618B4" w14:textId="77777777" w:rsidTr="00572D37">
        <w:tc>
          <w:tcPr>
            <w:tcW w:w="0" w:type="auto"/>
          </w:tcPr>
          <w:p w14:paraId="607F486B" w14:textId="22F9F5F2" w:rsidR="00572D37" w:rsidRPr="00E856B0" w:rsidRDefault="00572D37" w:rsidP="005C4658">
            <w:pPr>
              <w:spacing w:after="100" w:afterAutospacing="1"/>
              <w:rPr>
                <w:sz w:val="20"/>
                <w:szCs w:val="20"/>
                <w:lang w:val="en-AU"/>
              </w:rPr>
            </w:pPr>
            <w:r w:rsidRPr="00E856B0">
              <w:rPr>
                <w:sz w:val="20"/>
                <w:szCs w:val="20"/>
                <w:lang w:val="en-AU"/>
              </w:rPr>
              <w:t xml:space="preserve">Applying </w:t>
            </w:r>
            <w:r w:rsidRPr="00ED08C0">
              <w:rPr>
                <w:rStyle w:val="IntenseEmphasis"/>
              </w:rPr>
              <w:t>nationally</w:t>
            </w:r>
            <w:r w:rsidRPr="00E856B0">
              <w:rPr>
                <w:b/>
                <w:i/>
                <w:sz w:val="20"/>
                <w:szCs w:val="20"/>
                <w:lang w:val="en-AU"/>
              </w:rPr>
              <w:t xml:space="preserve"> </w:t>
            </w:r>
            <w:r w:rsidRPr="00E856B0">
              <w:rPr>
                <w:sz w:val="20"/>
                <w:szCs w:val="20"/>
                <w:lang w:val="en-AU"/>
              </w:rPr>
              <w:t xml:space="preserve">agreed Key Performance Indicators for smoking cessation/healthy lifestyle </w:t>
            </w:r>
            <w:r w:rsidRPr="00E856B0">
              <w:rPr>
                <w:sz w:val="20"/>
                <w:szCs w:val="20"/>
                <w:lang w:val="en-AU"/>
              </w:rPr>
              <w:lastRenderedPageBreak/>
              <w:t>programmes</w:t>
            </w:r>
          </w:p>
        </w:tc>
        <w:tc>
          <w:tcPr>
            <w:tcW w:w="0" w:type="auto"/>
          </w:tcPr>
          <w:p w14:paraId="0E0A11C2" w14:textId="6A5D07E6" w:rsidR="00572D37" w:rsidRPr="00E856B0" w:rsidRDefault="00572D37" w:rsidP="005C4658">
            <w:pPr>
              <w:spacing w:after="100" w:afterAutospacing="1"/>
              <w:jc w:val="center"/>
              <w:rPr>
                <w:sz w:val="20"/>
                <w:szCs w:val="20"/>
                <w:lang w:val="en-AU"/>
              </w:rPr>
            </w:pPr>
            <w:r w:rsidRPr="00E856B0">
              <w:rPr>
                <w:sz w:val="20"/>
                <w:szCs w:val="20"/>
                <w:lang w:val="en-AU"/>
              </w:rPr>
              <w:lastRenderedPageBreak/>
              <w:t>11.5%</w:t>
            </w:r>
          </w:p>
        </w:tc>
        <w:tc>
          <w:tcPr>
            <w:tcW w:w="0" w:type="auto"/>
          </w:tcPr>
          <w:p w14:paraId="3357EDA2" w14:textId="0E04EB3C"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F44357E" w14:textId="6DC106C1" w:rsidR="00572D37" w:rsidRPr="00E856B0" w:rsidRDefault="00572D37" w:rsidP="005C4658">
            <w:pPr>
              <w:spacing w:after="100" w:afterAutospacing="1"/>
              <w:jc w:val="center"/>
              <w:rPr>
                <w:sz w:val="20"/>
                <w:szCs w:val="20"/>
                <w:lang w:val="en-AU"/>
              </w:rPr>
            </w:pPr>
            <w:r w:rsidRPr="00E856B0">
              <w:rPr>
                <w:sz w:val="20"/>
                <w:szCs w:val="20"/>
                <w:lang w:val="en-AU"/>
              </w:rPr>
              <w:t>7.7%</w:t>
            </w:r>
          </w:p>
        </w:tc>
        <w:tc>
          <w:tcPr>
            <w:tcW w:w="0" w:type="auto"/>
          </w:tcPr>
          <w:p w14:paraId="06C51438" w14:textId="212D0F87" w:rsidR="00572D37" w:rsidRPr="00E856B0" w:rsidRDefault="00572D37" w:rsidP="005C4658">
            <w:pPr>
              <w:spacing w:after="100" w:afterAutospacing="1"/>
              <w:jc w:val="center"/>
              <w:rPr>
                <w:sz w:val="20"/>
                <w:szCs w:val="20"/>
                <w:lang w:val="en-AU"/>
              </w:rPr>
            </w:pPr>
            <w:r w:rsidRPr="00E856B0">
              <w:rPr>
                <w:sz w:val="20"/>
                <w:szCs w:val="20"/>
                <w:lang w:val="en-AU"/>
              </w:rPr>
              <w:t>30.8%</w:t>
            </w:r>
          </w:p>
        </w:tc>
        <w:tc>
          <w:tcPr>
            <w:tcW w:w="0" w:type="auto"/>
          </w:tcPr>
          <w:p w14:paraId="51A55BF8" w14:textId="58B979CB" w:rsidR="00572D37" w:rsidRPr="00E856B0" w:rsidRDefault="00572D37" w:rsidP="005C4658">
            <w:pPr>
              <w:spacing w:after="100" w:afterAutospacing="1"/>
              <w:jc w:val="center"/>
              <w:rPr>
                <w:sz w:val="20"/>
                <w:szCs w:val="20"/>
                <w:lang w:val="en-AU"/>
              </w:rPr>
            </w:pPr>
            <w:r w:rsidRPr="00E856B0">
              <w:rPr>
                <w:sz w:val="20"/>
                <w:szCs w:val="20"/>
                <w:lang w:val="en-AU"/>
              </w:rPr>
              <w:t>42.3%</w:t>
            </w:r>
          </w:p>
        </w:tc>
      </w:tr>
      <w:tr w:rsidR="00572D37" w:rsidRPr="00E856B0" w14:paraId="5DD44043" w14:textId="77777777" w:rsidTr="00572D37">
        <w:tc>
          <w:tcPr>
            <w:tcW w:w="0" w:type="auto"/>
          </w:tcPr>
          <w:p w14:paraId="77566743" w14:textId="798DF4B7" w:rsidR="00572D37" w:rsidRPr="00E856B0" w:rsidRDefault="00572D37" w:rsidP="005C4658">
            <w:pPr>
              <w:spacing w:after="100" w:afterAutospacing="1"/>
              <w:rPr>
                <w:sz w:val="20"/>
                <w:szCs w:val="20"/>
                <w:lang w:val="en-AU"/>
              </w:rPr>
            </w:pPr>
            <w:r w:rsidRPr="00E856B0">
              <w:rPr>
                <w:sz w:val="20"/>
                <w:szCs w:val="20"/>
                <w:lang w:val="en-AU"/>
              </w:rPr>
              <w:lastRenderedPageBreak/>
              <w:t>Developing clear pathways to smoking cessation services</w:t>
            </w:r>
          </w:p>
        </w:tc>
        <w:tc>
          <w:tcPr>
            <w:tcW w:w="0" w:type="auto"/>
          </w:tcPr>
          <w:p w14:paraId="48C474DE" w14:textId="0A549E66"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5906F9A" w14:textId="6B4D5A5C"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33C4487C" w14:textId="11907B2E"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0C1D7CBD" w14:textId="6ED23BA5" w:rsidR="00572D37" w:rsidRPr="00E856B0" w:rsidRDefault="00572D37" w:rsidP="005C4658">
            <w:pPr>
              <w:spacing w:after="100" w:afterAutospacing="1"/>
              <w:jc w:val="center"/>
              <w:rPr>
                <w:sz w:val="20"/>
                <w:szCs w:val="20"/>
                <w:lang w:val="en-AU"/>
              </w:rPr>
            </w:pPr>
            <w:r w:rsidRPr="00E856B0">
              <w:rPr>
                <w:sz w:val="20"/>
                <w:szCs w:val="20"/>
                <w:lang w:val="en-AU"/>
              </w:rPr>
              <w:t>7.7%</w:t>
            </w:r>
          </w:p>
        </w:tc>
        <w:tc>
          <w:tcPr>
            <w:tcW w:w="0" w:type="auto"/>
          </w:tcPr>
          <w:p w14:paraId="62472145" w14:textId="12472207" w:rsidR="00572D37" w:rsidRPr="00E856B0" w:rsidRDefault="00572D37" w:rsidP="005C4658">
            <w:pPr>
              <w:spacing w:after="100" w:afterAutospacing="1"/>
              <w:jc w:val="center"/>
              <w:rPr>
                <w:sz w:val="20"/>
                <w:szCs w:val="20"/>
                <w:lang w:val="en-AU"/>
              </w:rPr>
            </w:pPr>
            <w:r w:rsidRPr="00E856B0">
              <w:rPr>
                <w:sz w:val="20"/>
                <w:szCs w:val="20"/>
                <w:lang w:val="en-AU"/>
              </w:rPr>
              <w:t>92.3%</w:t>
            </w:r>
          </w:p>
        </w:tc>
      </w:tr>
      <w:tr w:rsidR="00572D37" w:rsidRPr="00E856B0" w14:paraId="2D8253A3" w14:textId="77777777" w:rsidTr="00572D37">
        <w:tc>
          <w:tcPr>
            <w:tcW w:w="0" w:type="auto"/>
          </w:tcPr>
          <w:p w14:paraId="32B22F45" w14:textId="3D59650B" w:rsidR="00572D37" w:rsidRPr="00E856B0" w:rsidRDefault="00572D37" w:rsidP="005C4658">
            <w:pPr>
              <w:spacing w:after="100" w:afterAutospacing="1"/>
              <w:rPr>
                <w:sz w:val="20"/>
                <w:szCs w:val="20"/>
                <w:lang w:val="en-AU"/>
              </w:rPr>
            </w:pPr>
            <w:r w:rsidRPr="00E856B0">
              <w:rPr>
                <w:sz w:val="20"/>
                <w:szCs w:val="20"/>
                <w:lang w:val="en-AU"/>
              </w:rPr>
              <w:t>Improving access to Nicotine Replacement Therapy (NRT)</w:t>
            </w:r>
          </w:p>
        </w:tc>
        <w:tc>
          <w:tcPr>
            <w:tcW w:w="0" w:type="auto"/>
          </w:tcPr>
          <w:p w14:paraId="78CC373D" w14:textId="4DF12E66"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0C8593C" w14:textId="388DE050"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D7022CF" w14:textId="35E32E10"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61F43E95" w14:textId="676ADCD9"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211BCBB" w14:textId="09A76426" w:rsidR="00572D37" w:rsidRPr="00E856B0" w:rsidRDefault="00572D37" w:rsidP="005C4658">
            <w:pPr>
              <w:spacing w:after="100" w:afterAutospacing="1"/>
              <w:jc w:val="center"/>
              <w:rPr>
                <w:sz w:val="20"/>
                <w:szCs w:val="20"/>
                <w:lang w:val="en-AU"/>
              </w:rPr>
            </w:pPr>
            <w:r w:rsidRPr="00E856B0">
              <w:rPr>
                <w:sz w:val="20"/>
                <w:szCs w:val="20"/>
                <w:lang w:val="en-AU"/>
              </w:rPr>
              <w:t>100%</w:t>
            </w:r>
          </w:p>
        </w:tc>
      </w:tr>
      <w:tr w:rsidR="00572D37" w:rsidRPr="00E856B0" w14:paraId="7D166410" w14:textId="77777777" w:rsidTr="00572D37">
        <w:tc>
          <w:tcPr>
            <w:tcW w:w="0" w:type="auto"/>
          </w:tcPr>
          <w:p w14:paraId="7BCF57DF" w14:textId="3F4C3FCB" w:rsidR="00572D37" w:rsidRPr="00E856B0" w:rsidRDefault="00572D37" w:rsidP="005C4658">
            <w:pPr>
              <w:spacing w:after="100" w:afterAutospacing="1"/>
              <w:rPr>
                <w:sz w:val="20"/>
                <w:szCs w:val="20"/>
                <w:lang w:val="en-AU"/>
              </w:rPr>
            </w:pPr>
            <w:r w:rsidRPr="00E856B0">
              <w:rPr>
                <w:sz w:val="20"/>
                <w:szCs w:val="20"/>
                <w:lang w:val="en-AU"/>
              </w:rPr>
              <w:t xml:space="preserve">Improving access to cessation services for </w:t>
            </w:r>
            <w:r w:rsidRPr="00ED08C0">
              <w:rPr>
                <w:rStyle w:val="IntenseEmphasis"/>
              </w:rPr>
              <w:t>communities</w:t>
            </w:r>
          </w:p>
        </w:tc>
        <w:tc>
          <w:tcPr>
            <w:tcW w:w="0" w:type="auto"/>
          </w:tcPr>
          <w:p w14:paraId="5C6B0709" w14:textId="75B9CE2F"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1276678C" w14:textId="7427CCBE"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10F9DC62" w14:textId="35E695FA"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C885598" w14:textId="6A146286" w:rsidR="00572D37" w:rsidRPr="00E856B0" w:rsidRDefault="00572D37" w:rsidP="005C4658">
            <w:pPr>
              <w:spacing w:after="100" w:afterAutospacing="1"/>
              <w:jc w:val="center"/>
              <w:rPr>
                <w:sz w:val="20"/>
                <w:szCs w:val="20"/>
                <w:lang w:val="en-AU"/>
              </w:rPr>
            </w:pPr>
            <w:r w:rsidRPr="00E856B0">
              <w:rPr>
                <w:sz w:val="20"/>
                <w:szCs w:val="20"/>
                <w:lang w:val="en-AU"/>
              </w:rPr>
              <w:t>3.8%</w:t>
            </w:r>
          </w:p>
        </w:tc>
        <w:tc>
          <w:tcPr>
            <w:tcW w:w="0" w:type="auto"/>
          </w:tcPr>
          <w:p w14:paraId="754898AF" w14:textId="2B148C31" w:rsidR="00572D37" w:rsidRPr="00E856B0" w:rsidRDefault="00572D37" w:rsidP="005C4658">
            <w:pPr>
              <w:spacing w:after="100" w:afterAutospacing="1"/>
              <w:jc w:val="center"/>
              <w:rPr>
                <w:sz w:val="20"/>
                <w:szCs w:val="20"/>
                <w:lang w:val="en-AU"/>
              </w:rPr>
            </w:pPr>
            <w:r w:rsidRPr="00E856B0">
              <w:rPr>
                <w:sz w:val="20"/>
                <w:szCs w:val="20"/>
                <w:lang w:val="en-AU"/>
              </w:rPr>
              <w:t>96.2%</w:t>
            </w:r>
          </w:p>
        </w:tc>
      </w:tr>
      <w:tr w:rsidR="00572D37" w:rsidRPr="00E856B0" w14:paraId="5AA44FC8" w14:textId="77777777" w:rsidTr="00572D37">
        <w:tc>
          <w:tcPr>
            <w:tcW w:w="0" w:type="auto"/>
          </w:tcPr>
          <w:p w14:paraId="5F09A8A1" w14:textId="6B3813FA" w:rsidR="00572D37" w:rsidRPr="00E856B0" w:rsidRDefault="00572D37" w:rsidP="005C4658">
            <w:pPr>
              <w:spacing w:after="100" w:afterAutospacing="1"/>
              <w:rPr>
                <w:sz w:val="20"/>
                <w:szCs w:val="20"/>
                <w:lang w:val="en-AU"/>
              </w:rPr>
            </w:pPr>
            <w:r w:rsidRPr="00E856B0">
              <w:rPr>
                <w:sz w:val="20"/>
                <w:szCs w:val="20"/>
                <w:lang w:val="en-AU"/>
              </w:rPr>
              <w:t xml:space="preserve">Improving access to cessation services for </w:t>
            </w:r>
            <w:r w:rsidRPr="00ED08C0">
              <w:rPr>
                <w:rStyle w:val="IntenseEmphasis"/>
              </w:rPr>
              <w:t>individuals</w:t>
            </w:r>
          </w:p>
        </w:tc>
        <w:tc>
          <w:tcPr>
            <w:tcW w:w="0" w:type="auto"/>
          </w:tcPr>
          <w:p w14:paraId="10971B35" w14:textId="38D9259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3A22D348" w14:textId="7D840B3D"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0FFB7741" w14:textId="4DB01DE4"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3D1AB887" w14:textId="7877A20B" w:rsidR="00572D37" w:rsidRPr="00E856B0" w:rsidRDefault="00572D37" w:rsidP="005C4658">
            <w:pPr>
              <w:spacing w:after="100" w:afterAutospacing="1"/>
              <w:jc w:val="center"/>
              <w:rPr>
                <w:sz w:val="20"/>
                <w:szCs w:val="20"/>
                <w:lang w:val="en-AU"/>
              </w:rPr>
            </w:pPr>
            <w:r w:rsidRPr="00E856B0">
              <w:rPr>
                <w:sz w:val="20"/>
                <w:szCs w:val="20"/>
                <w:lang w:val="en-AU"/>
              </w:rPr>
              <w:t>11.5%</w:t>
            </w:r>
          </w:p>
        </w:tc>
        <w:tc>
          <w:tcPr>
            <w:tcW w:w="0" w:type="auto"/>
          </w:tcPr>
          <w:p w14:paraId="4525EA8F" w14:textId="2090879E" w:rsidR="00572D37" w:rsidRPr="00E856B0" w:rsidRDefault="00572D37" w:rsidP="005C4658">
            <w:pPr>
              <w:spacing w:after="100" w:afterAutospacing="1"/>
              <w:jc w:val="center"/>
              <w:rPr>
                <w:sz w:val="20"/>
                <w:szCs w:val="20"/>
                <w:lang w:val="en-AU"/>
              </w:rPr>
            </w:pPr>
            <w:r w:rsidRPr="00E856B0">
              <w:rPr>
                <w:sz w:val="20"/>
                <w:szCs w:val="20"/>
                <w:lang w:val="en-AU"/>
              </w:rPr>
              <w:t>88.5%</w:t>
            </w:r>
          </w:p>
        </w:tc>
      </w:tr>
      <w:tr w:rsidR="00572D37" w:rsidRPr="00E856B0" w14:paraId="498CB988" w14:textId="77777777" w:rsidTr="00572D37">
        <w:tc>
          <w:tcPr>
            <w:tcW w:w="0" w:type="auto"/>
          </w:tcPr>
          <w:p w14:paraId="6C9591B5" w14:textId="616357BA" w:rsidR="00572D37" w:rsidRPr="00E856B0" w:rsidRDefault="00572D37" w:rsidP="005C4658">
            <w:pPr>
              <w:spacing w:after="100" w:afterAutospacing="1"/>
              <w:rPr>
                <w:sz w:val="20"/>
                <w:szCs w:val="20"/>
                <w:lang w:val="en-AU"/>
              </w:rPr>
            </w:pPr>
            <w:r w:rsidRPr="00E856B0">
              <w:rPr>
                <w:sz w:val="20"/>
                <w:szCs w:val="20"/>
                <w:lang w:val="en-AU"/>
              </w:rPr>
              <w:t>Improving one-on-one cessation services</w:t>
            </w:r>
          </w:p>
        </w:tc>
        <w:tc>
          <w:tcPr>
            <w:tcW w:w="0" w:type="auto"/>
          </w:tcPr>
          <w:p w14:paraId="4103B5BB" w14:textId="63AF898B"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3E30BDC4" w14:textId="603C8ED5"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65F8CD7" w14:textId="0E406C74"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AAB0000" w14:textId="588D6745" w:rsidR="00572D37" w:rsidRPr="00E856B0" w:rsidRDefault="00572D37" w:rsidP="005C4658">
            <w:pPr>
              <w:spacing w:after="100" w:afterAutospacing="1"/>
              <w:jc w:val="center"/>
              <w:rPr>
                <w:sz w:val="20"/>
                <w:szCs w:val="20"/>
                <w:lang w:val="en-AU"/>
              </w:rPr>
            </w:pPr>
            <w:r w:rsidRPr="00E856B0">
              <w:rPr>
                <w:sz w:val="20"/>
                <w:szCs w:val="20"/>
                <w:lang w:val="en-AU"/>
              </w:rPr>
              <w:t>19.2%</w:t>
            </w:r>
          </w:p>
        </w:tc>
        <w:tc>
          <w:tcPr>
            <w:tcW w:w="0" w:type="auto"/>
          </w:tcPr>
          <w:p w14:paraId="6D2BEF6A" w14:textId="43BFA6B2" w:rsidR="00572D37" w:rsidRPr="00E856B0" w:rsidRDefault="00572D37" w:rsidP="005C4658">
            <w:pPr>
              <w:spacing w:after="100" w:afterAutospacing="1"/>
              <w:jc w:val="center"/>
              <w:rPr>
                <w:sz w:val="20"/>
                <w:szCs w:val="20"/>
                <w:lang w:val="en-AU"/>
              </w:rPr>
            </w:pPr>
            <w:r w:rsidRPr="00E856B0">
              <w:rPr>
                <w:sz w:val="20"/>
                <w:szCs w:val="20"/>
                <w:lang w:val="en-AU"/>
              </w:rPr>
              <w:t>80.8%</w:t>
            </w:r>
          </w:p>
        </w:tc>
      </w:tr>
      <w:tr w:rsidR="00572D37" w:rsidRPr="00E856B0" w14:paraId="533F5487" w14:textId="77777777" w:rsidTr="00572D37">
        <w:tc>
          <w:tcPr>
            <w:tcW w:w="0" w:type="auto"/>
          </w:tcPr>
          <w:p w14:paraId="28063119" w14:textId="3B2968CA" w:rsidR="00572D37" w:rsidRPr="00E856B0" w:rsidRDefault="00572D37" w:rsidP="005C4658">
            <w:pPr>
              <w:spacing w:after="100" w:afterAutospacing="1"/>
              <w:rPr>
                <w:sz w:val="20"/>
                <w:szCs w:val="20"/>
                <w:lang w:val="en-AU"/>
              </w:rPr>
            </w:pPr>
            <w:r w:rsidRPr="00E856B0">
              <w:rPr>
                <w:sz w:val="20"/>
                <w:szCs w:val="20"/>
                <w:lang w:val="en-AU"/>
              </w:rPr>
              <w:t>Social marketing</w:t>
            </w:r>
          </w:p>
        </w:tc>
        <w:tc>
          <w:tcPr>
            <w:tcW w:w="0" w:type="auto"/>
          </w:tcPr>
          <w:p w14:paraId="10966566" w14:textId="2A6AD255"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0E2D4E41" w14:textId="5F13CE49"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4BCC14F" w14:textId="15DDA455"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0850E9F1" w14:textId="72F6143D" w:rsidR="00572D37" w:rsidRPr="00E856B0" w:rsidRDefault="00572D37" w:rsidP="005C4658">
            <w:pPr>
              <w:spacing w:after="100" w:afterAutospacing="1"/>
              <w:jc w:val="center"/>
              <w:rPr>
                <w:sz w:val="20"/>
                <w:szCs w:val="20"/>
                <w:lang w:val="en-AU"/>
              </w:rPr>
            </w:pPr>
            <w:r w:rsidRPr="00E856B0">
              <w:rPr>
                <w:sz w:val="20"/>
                <w:szCs w:val="20"/>
                <w:lang w:val="en-AU"/>
              </w:rPr>
              <w:t>11.5%</w:t>
            </w:r>
          </w:p>
        </w:tc>
        <w:tc>
          <w:tcPr>
            <w:tcW w:w="0" w:type="auto"/>
          </w:tcPr>
          <w:p w14:paraId="232B67F1" w14:textId="65734D50" w:rsidR="00572D37" w:rsidRPr="00E856B0" w:rsidRDefault="00572D37" w:rsidP="005C4658">
            <w:pPr>
              <w:spacing w:after="100" w:afterAutospacing="1"/>
              <w:jc w:val="center"/>
              <w:rPr>
                <w:sz w:val="20"/>
                <w:szCs w:val="20"/>
                <w:lang w:val="en-AU"/>
              </w:rPr>
            </w:pPr>
            <w:r w:rsidRPr="00E856B0">
              <w:rPr>
                <w:sz w:val="20"/>
                <w:szCs w:val="20"/>
                <w:lang w:val="en-AU"/>
              </w:rPr>
              <w:t>88.5%</w:t>
            </w:r>
          </w:p>
        </w:tc>
      </w:tr>
      <w:tr w:rsidR="00572D37" w:rsidRPr="00E856B0" w14:paraId="41815F23" w14:textId="77777777" w:rsidTr="00572D37">
        <w:tc>
          <w:tcPr>
            <w:tcW w:w="0" w:type="auto"/>
          </w:tcPr>
          <w:p w14:paraId="540AC083" w14:textId="65721B94" w:rsidR="00572D37" w:rsidRPr="00E856B0" w:rsidRDefault="00572D37" w:rsidP="005C4658">
            <w:pPr>
              <w:spacing w:after="100" w:afterAutospacing="1"/>
              <w:rPr>
                <w:sz w:val="20"/>
                <w:szCs w:val="20"/>
                <w:lang w:val="en-AU"/>
              </w:rPr>
            </w:pPr>
            <w:r w:rsidRPr="00E856B0">
              <w:rPr>
                <w:sz w:val="20"/>
                <w:szCs w:val="20"/>
                <w:lang w:val="en-AU"/>
              </w:rPr>
              <w:t>National media campaigns</w:t>
            </w:r>
          </w:p>
        </w:tc>
        <w:tc>
          <w:tcPr>
            <w:tcW w:w="0" w:type="auto"/>
          </w:tcPr>
          <w:p w14:paraId="3B883C2E" w14:textId="1369D84C" w:rsidR="00572D37" w:rsidRPr="00E856B0" w:rsidRDefault="00572D37" w:rsidP="005C4658">
            <w:pPr>
              <w:spacing w:after="100" w:afterAutospacing="1"/>
              <w:jc w:val="center"/>
              <w:rPr>
                <w:sz w:val="20"/>
                <w:szCs w:val="20"/>
                <w:lang w:val="en-AU"/>
              </w:rPr>
            </w:pPr>
            <w:r w:rsidRPr="00E856B0">
              <w:rPr>
                <w:sz w:val="20"/>
                <w:szCs w:val="20"/>
                <w:lang w:val="en-AU"/>
              </w:rPr>
              <w:t>3.8%</w:t>
            </w:r>
          </w:p>
        </w:tc>
        <w:tc>
          <w:tcPr>
            <w:tcW w:w="0" w:type="auto"/>
          </w:tcPr>
          <w:p w14:paraId="0B98E0E1" w14:textId="5E9B941B" w:rsidR="00572D37" w:rsidRPr="00E856B0" w:rsidRDefault="00572D37" w:rsidP="005C4658">
            <w:pPr>
              <w:spacing w:after="100" w:afterAutospacing="1"/>
              <w:jc w:val="center"/>
              <w:rPr>
                <w:sz w:val="20"/>
                <w:szCs w:val="20"/>
                <w:lang w:val="en-AU"/>
              </w:rPr>
            </w:pPr>
            <w:r w:rsidRPr="00E856B0">
              <w:rPr>
                <w:sz w:val="20"/>
                <w:szCs w:val="20"/>
                <w:lang w:val="en-AU"/>
              </w:rPr>
              <w:t>7.7%</w:t>
            </w:r>
          </w:p>
        </w:tc>
        <w:tc>
          <w:tcPr>
            <w:tcW w:w="0" w:type="auto"/>
          </w:tcPr>
          <w:p w14:paraId="74797B56" w14:textId="118DA801" w:rsidR="00572D37" w:rsidRPr="00E856B0" w:rsidRDefault="00572D37" w:rsidP="005C4658">
            <w:pPr>
              <w:spacing w:after="100" w:afterAutospacing="1"/>
              <w:jc w:val="center"/>
              <w:rPr>
                <w:sz w:val="20"/>
                <w:szCs w:val="20"/>
                <w:lang w:val="en-AU"/>
              </w:rPr>
            </w:pPr>
            <w:r w:rsidRPr="00E856B0">
              <w:rPr>
                <w:sz w:val="20"/>
                <w:szCs w:val="20"/>
                <w:lang w:val="en-AU"/>
              </w:rPr>
              <w:t>7.7%</w:t>
            </w:r>
          </w:p>
        </w:tc>
        <w:tc>
          <w:tcPr>
            <w:tcW w:w="0" w:type="auto"/>
          </w:tcPr>
          <w:p w14:paraId="737D8F25" w14:textId="0272D9D3" w:rsidR="00572D37" w:rsidRPr="00E856B0" w:rsidRDefault="00572D37" w:rsidP="005C4658">
            <w:pPr>
              <w:spacing w:after="100" w:afterAutospacing="1"/>
              <w:jc w:val="center"/>
              <w:rPr>
                <w:sz w:val="20"/>
                <w:szCs w:val="20"/>
                <w:lang w:val="en-AU"/>
              </w:rPr>
            </w:pPr>
            <w:r w:rsidRPr="00E856B0">
              <w:rPr>
                <w:sz w:val="20"/>
                <w:szCs w:val="20"/>
                <w:lang w:val="en-AU"/>
              </w:rPr>
              <w:t>26.9%</w:t>
            </w:r>
          </w:p>
        </w:tc>
        <w:tc>
          <w:tcPr>
            <w:tcW w:w="0" w:type="auto"/>
          </w:tcPr>
          <w:p w14:paraId="32E976DA" w14:textId="0B1B349E" w:rsidR="00572D37" w:rsidRPr="00E856B0" w:rsidRDefault="00572D37" w:rsidP="005C4658">
            <w:pPr>
              <w:spacing w:after="100" w:afterAutospacing="1"/>
              <w:jc w:val="center"/>
              <w:rPr>
                <w:sz w:val="20"/>
                <w:szCs w:val="20"/>
                <w:lang w:val="en-AU"/>
              </w:rPr>
            </w:pPr>
            <w:r w:rsidRPr="00E856B0">
              <w:rPr>
                <w:sz w:val="20"/>
                <w:szCs w:val="20"/>
                <w:lang w:val="en-AU"/>
              </w:rPr>
              <w:t>50%</w:t>
            </w:r>
          </w:p>
        </w:tc>
      </w:tr>
      <w:tr w:rsidR="00572D37" w:rsidRPr="00E856B0" w14:paraId="17389186" w14:textId="77777777" w:rsidTr="00572D37">
        <w:tc>
          <w:tcPr>
            <w:tcW w:w="0" w:type="auto"/>
          </w:tcPr>
          <w:p w14:paraId="5162FC18" w14:textId="6598DFAB" w:rsidR="00572D37" w:rsidRPr="00E856B0" w:rsidRDefault="00572D37" w:rsidP="005C4658">
            <w:pPr>
              <w:spacing w:after="100" w:afterAutospacing="1"/>
              <w:rPr>
                <w:sz w:val="20"/>
                <w:szCs w:val="20"/>
                <w:lang w:val="en-AU"/>
              </w:rPr>
            </w:pPr>
            <w:r w:rsidRPr="00E856B0">
              <w:rPr>
                <w:sz w:val="20"/>
                <w:szCs w:val="20"/>
                <w:lang w:val="en-AU"/>
              </w:rPr>
              <w:t>Local media campaigns</w:t>
            </w:r>
          </w:p>
        </w:tc>
        <w:tc>
          <w:tcPr>
            <w:tcW w:w="0" w:type="auto"/>
          </w:tcPr>
          <w:p w14:paraId="5D6DF437" w14:textId="2DBE5763"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627DB11" w14:textId="7A2B2E1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E3ED777" w14:textId="65944810"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2BDCE93E" w14:textId="049D814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4ECB069" w14:textId="2975571D" w:rsidR="00572D37" w:rsidRPr="00E856B0" w:rsidRDefault="00572D37" w:rsidP="005C4658">
            <w:pPr>
              <w:spacing w:after="100" w:afterAutospacing="1"/>
              <w:jc w:val="center"/>
              <w:rPr>
                <w:sz w:val="20"/>
                <w:szCs w:val="20"/>
                <w:lang w:val="en-AU"/>
              </w:rPr>
            </w:pPr>
            <w:r w:rsidRPr="00E856B0">
              <w:rPr>
                <w:sz w:val="20"/>
                <w:szCs w:val="20"/>
                <w:lang w:val="en-AU"/>
              </w:rPr>
              <w:t>100%</w:t>
            </w:r>
          </w:p>
        </w:tc>
      </w:tr>
      <w:tr w:rsidR="00572D37" w:rsidRPr="00E856B0" w14:paraId="0B16756F" w14:textId="77777777" w:rsidTr="00572D37">
        <w:tc>
          <w:tcPr>
            <w:tcW w:w="0" w:type="auto"/>
          </w:tcPr>
          <w:p w14:paraId="56E8C5D8" w14:textId="34C99A55" w:rsidR="00572D37" w:rsidRPr="00E856B0" w:rsidRDefault="00572D37" w:rsidP="005C4658">
            <w:pPr>
              <w:spacing w:after="100" w:afterAutospacing="1"/>
              <w:rPr>
                <w:sz w:val="20"/>
                <w:szCs w:val="20"/>
                <w:lang w:val="en-AU"/>
              </w:rPr>
            </w:pPr>
            <w:r w:rsidRPr="00E856B0">
              <w:rPr>
                <w:sz w:val="20"/>
                <w:szCs w:val="20"/>
                <w:lang w:val="en-AU"/>
              </w:rPr>
              <w:t>Local workforce training and development programmes</w:t>
            </w:r>
          </w:p>
        </w:tc>
        <w:tc>
          <w:tcPr>
            <w:tcW w:w="0" w:type="auto"/>
          </w:tcPr>
          <w:p w14:paraId="3AFACC9B" w14:textId="159BB09B"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517E2F36" w14:textId="10D2DF36"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28827AE" w14:textId="04C9D73D"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7C672216" w14:textId="4E52F09D" w:rsidR="00572D37" w:rsidRPr="00E856B0" w:rsidRDefault="00572D37" w:rsidP="005C4658">
            <w:pPr>
              <w:spacing w:after="100" w:afterAutospacing="1"/>
              <w:jc w:val="center"/>
              <w:rPr>
                <w:sz w:val="20"/>
                <w:szCs w:val="20"/>
                <w:lang w:val="en-AU"/>
              </w:rPr>
            </w:pPr>
            <w:r w:rsidRPr="00E856B0">
              <w:rPr>
                <w:sz w:val="20"/>
                <w:szCs w:val="20"/>
                <w:lang w:val="en-AU"/>
              </w:rPr>
              <w:t>7.7%</w:t>
            </w:r>
          </w:p>
        </w:tc>
        <w:tc>
          <w:tcPr>
            <w:tcW w:w="0" w:type="auto"/>
          </w:tcPr>
          <w:p w14:paraId="1B93AB11" w14:textId="5EE58C60" w:rsidR="00572D37" w:rsidRPr="00E856B0" w:rsidRDefault="00572D37" w:rsidP="005C4658">
            <w:pPr>
              <w:spacing w:after="100" w:afterAutospacing="1"/>
              <w:jc w:val="center"/>
              <w:rPr>
                <w:sz w:val="20"/>
                <w:szCs w:val="20"/>
                <w:lang w:val="en-AU"/>
              </w:rPr>
            </w:pPr>
            <w:r w:rsidRPr="00E856B0">
              <w:rPr>
                <w:sz w:val="20"/>
                <w:szCs w:val="20"/>
                <w:lang w:val="en-AU"/>
              </w:rPr>
              <w:t>92.3%</w:t>
            </w:r>
          </w:p>
        </w:tc>
      </w:tr>
      <w:tr w:rsidR="00572D37" w:rsidRPr="00E856B0" w14:paraId="1669ECBD" w14:textId="77777777" w:rsidTr="00572D37">
        <w:tc>
          <w:tcPr>
            <w:tcW w:w="0" w:type="auto"/>
          </w:tcPr>
          <w:p w14:paraId="5A9D75B6" w14:textId="35328858" w:rsidR="00572D37" w:rsidRPr="00E856B0" w:rsidRDefault="00572D37" w:rsidP="005C4658">
            <w:pPr>
              <w:spacing w:after="100" w:afterAutospacing="1"/>
              <w:rPr>
                <w:sz w:val="20"/>
                <w:szCs w:val="20"/>
                <w:lang w:val="en-AU"/>
              </w:rPr>
            </w:pPr>
            <w:r w:rsidRPr="00E856B0">
              <w:rPr>
                <w:sz w:val="20"/>
                <w:szCs w:val="20"/>
                <w:lang w:val="en-AU"/>
              </w:rPr>
              <w:t xml:space="preserve">Culturally appropriate </w:t>
            </w:r>
            <w:proofErr w:type="spellStart"/>
            <w:r w:rsidRPr="00E856B0">
              <w:rPr>
                <w:sz w:val="20"/>
                <w:szCs w:val="20"/>
                <w:lang w:val="en-AU"/>
              </w:rPr>
              <w:t>Quitline</w:t>
            </w:r>
            <w:proofErr w:type="spellEnd"/>
            <w:r w:rsidRPr="00E856B0">
              <w:rPr>
                <w:sz w:val="20"/>
                <w:szCs w:val="20"/>
                <w:lang w:val="en-AU"/>
              </w:rPr>
              <w:t xml:space="preserve"> services</w:t>
            </w:r>
          </w:p>
        </w:tc>
        <w:tc>
          <w:tcPr>
            <w:tcW w:w="0" w:type="auto"/>
          </w:tcPr>
          <w:p w14:paraId="65B9AA18" w14:textId="5C0D72EA"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447C4035" w14:textId="0AFE5D78"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1EBF58E6" w14:textId="5B546BA1" w:rsidR="00572D37" w:rsidRPr="00E856B0" w:rsidRDefault="00572D37" w:rsidP="005C4658">
            <w:pPr>
              <w:spacing w:after="100" w:afterAutospacing="1"/>
              <w:jc w:val="center"/>
              <w:rPr>
                <w:sz w:val="20"/>
                <w:szCs w:val="20"/>
                <w:lang w:val="en-AU"/>
              </w:rPr>
            </w:pPr>
            <w:r w:rsidRPr="00E856B0">
              <w:rPr>
                <w:sz w:val="20"/>
                <w:szCs w:val="20"/>
                <w:lang w:val="en-AU"/>
              </w:rPr>
              <w:t>-</w:t>
            </w:r>
          </w:p>
        </w:tc>
        <w:tc>
          <w:tcPr>
            <w:tcW w:w="0" w:type="auto"/>
          </w:tcPr>
          <w:p w14:paraId="2DC244E6" w14:textId="32B0A955" w:rsidR="00572D37" w:rsidRPr="00E856B0" w:rsidRDefault="00572D37" w:rsidP="005C4658">
            <w:pPr>
              <w:spacing w:after="100" w:afterAutospacing="1"/>
              <w:jc w:val="center"/>
              <w:rPr>
                <w:sz w:val="20"/>
                <w:szCs w:val="20"/>
                <w:lang w:val="en-AU"/>
              </w:rPr>
            </w:pPr>
            <w:r w:rsidRPr="00E856B0">
              <w:rPr>
                <w:sz w:val="20"/>
                <w:szCs w:val="20"/>
                <w:lang w:val="en-AU"/>
              </w:rPr>
              <w:t>15.4%</w:t>
            </w:r>
          </w:p>
        </w:tc>
        <w:tc>
          <w:tcPr>
            <w:tcW w:w="0" w:type="auto"/>
          </w:tcPr>
          <w:p w14:paraId="10DA0120" w14:textId="3E5CFD38" w:rsidR="00572D37" w:rsidRPr="00E856B0" w:rsidRDefault="00572D37" w:rsidP="005C4658">
            <w:pPr>
              <w:spacing w:after="100" w:afterAutospacing="1"/>
              <w:jc w:val="center"/>
              <w:rPr>
                <w:sz w:val="20"/>
                <w:szCs w:val="20"/>
                <w:lang w:val="en-AU"/>
              </w:rPr>
            </w:pPr>
            <w:r w:rsidRPr="00E856B0">
              <w:rPr>
                <w:sz w:val="20"/>
                <w:szCs w:val="20"/>
                <w:lang w:val="en-AU"/>
              </w:rPr>
              <w:t>84.6%</w:t>
            </w:r>
          </w:p>
        </w:tc>
      </w:tr>
    </w:tbl>
    <w:p w14:paraId="7B877398" w14:textId="04D1D1F2" w:rsidR="005776F3" w:rsidRPr="00E856B0" w:rsidRDefault="007B46BD" w:rsidP="00096EA3">
      <w:pPr>
        <w:pStyle w:val="Heading3"/>
      </w:pPr>
      <w:proofErr w:type="spellStart"/>
      <w:r>
        <w:t>i</w:t>
      </w:r>
      <w:proofErr w:type="spellEnd"/>
      <w:r>
        <w:t xml:space="preserve">) </w:t>
      </w:r>
      <w:r w:rsidR="008B5FA7" w:rsidRPr="00E856B0">
        <w:t>Future Planning</w:t>
      </w:r>
    </w:p>
    <w:p w14:paraId="5D651BC8" w14:textId="35B37CFF" w:rsidR="008B5FA7" w:rsidRPr="00E856B0" w:rsidRDefault="008B5FA7" w:rsidP="004F6A5A">
      <w:pPr>
        <w:spacing w:line="276" w:lineRule="auto"/>
        <w:rPr>
          <w:lang w:val="en-AU"/>
        </w:rPr>
      </w:pPr>
      <w:r w:rsidRPr="00E856B0">
        <w:rPr>
          <w:lang w:val="en-AU"/>
        </w:rPr>
        <w:t>Most programmes had taken steps to ensure the sustainability</w:t>
      </w:r>
      <w:r w:rsidR="00E119EA" w:rsidRPr="00E856B0">
        <w:rPr>
          <w:lang w:val="en-AU"/>
        </w:rPr>
        <w:t xml:space="preserve"> of their programme (96.5%). </w:t>
      </w:r>
      <w:r w:rsidRPr="00E856B0">
        <w:rPr>
          <w:lang w:val="en-AU"/>
        </w:rPr>
        <w:t xml:space="preserve"> </w:t>
      </w:r>
      <w:r w:rsidR="00E119EA" w:rsidRPr="00E856B0">
        <w:rPr>
          <w:lang w:val="en-AU"/>
        </w:rPr>
        <w:t xml:space="preserve">As Figure 9 shows </w:t>
      </w:r>
      <w:r w:rsidRPr="00E856B0">
        <w:rPr>
          <w:lang w:val="en-AU"/>
        </w:rPr>
        <w:t xml:space="preserve">the most popular step </w:t>
      </w:r>
      <w:r w:rsidR="00E119EA" w:rsidRPr="00E856B0">
        <w:rPr>
          <w:lang w:val="en-AU"/>
        </w:rPr>
        <w:t>was</w:t>
      </w:r>
      <w:r w:rsidRPr="00E856B0">
        <w:rPr>
          <w:lang w:val="en-AU"/>
        </w:rPr>
        <w:t xml:space="preserve"> to have developed a detailed plan of what services and activities should be maintained (72.4%), identified what is need</w:t>
      </w:r>
      <w:r w:rsidR="006047BA" w:rsidRPr="00E856B0">
        <w:rPr>
          <w:lang w:val="en-AU"/>
        </w:rPr>
        <w:t>ed</w:t>
      </w:r>
      <w:r w:rsidRPr="00E856B0">
        <w:rPr>
          <w:lang w:val="en-AU"/>
        </w:rPr>
        <w:t xml:space="preserve"> to manage and operate these activities (69.0%%), c</w:t>
      </w:r>
      <w:r w:rsidR="00E119EA" w:rsidRPr="00E856B0">
        <w:rPr>
          <w:lang w:val="en-AU"/>
        </w:rPr>
        <w:t>ollected the data to support this</w:t>
      </w:r>
      <w:r w:rsidRPr="00E856B0">
        <w:rPr>
          <w:lang w:val="en-AU"/>
        </w:rPr>
        <w:t xml:space="preserve"> choice </w:t>
      </w:r>
      <w:r w:rsidR="00E119EA" w:rsidRPr="00E856B0">
        <w:rPr>
          <w:lang w:val="en-AU"/>
        </w:rPr>
        <w:t>(69.0%) and m</w:t>
      </w:r>
      <w:r w:rsidRPr="00E856B0">
        <w:rPr>
          <w:lang w:val="en-AU"/>
        </w:rPr>
        <w:t>ade stakeholders aware of these plans</w:t>
      </w:r>
      <w:r w:rsidR="00E119EA" w:rsidRPr="00E856B0">
        <w:rPr>
          <w:lang w:val="en-AU"/>
        </w:rPr>
        <w:t xml:space="preserve"> (62.1%).</w:t>
      </w:r>
    </w:p>
    <w:p w14:paraId="5E00E8A8" w14:textId="4B32843A" w:rsidR="00E119EA" w:rsidRDefault="00E119EA" w:rsidP="00E119EA">
      <w:pPr>
        <w:pStyle w:val="Caption"/>
        <w:keepNext/>
        <w:rPr>
          <w:sz w:val="24"/>
          <w:szCs w:val="24"/>
          <w:lang w:val="en-AU"/>
        </w:rPr>
      </w:pPr>
      <w:r w:rsidRPr="00E856B0">
        <w:rPr>
          <w:sz w:val="24"/>
          <w:szCs w:val="24"/>
          <w:lang w:val="en-AU"/>
        </w:rPr>
        <w:t xml:space="preserve">Figure </w:t>
      </w:r>
      <w:r w:rsidRPr="00E856B0">
        <w:rPr>
          <w:sz w:val="24"/>
          <w:szCs w:val="24"/>
          <w:lang w:val="en-AU"/>
        </w:rPr>
        <w:fldChar w:fldCharType="begin"/>
      </w:r>
      <w:r w:rsidRPr="00E856B0">
        <w:rPr>
          <w:sz w:val="24"/>
          <w:szCs w:val="24"/>
          <w:lang w:val="en-AU"/>
        </w:rPr>
        <w:instrText xml:space="preserve"> SEQ Figure \* ARABIC </w:instrText>
      </w:r>
      <w:r w:rsidRPr="00E856B0">
        <w:rPr>
          <w:sz w:val="24"/>
          <w:szCs w:val="24"/>
          <w:lang w:val="en-AU"/>
        </w:rPr>
        <w:fldChar w:fldCharType="separate"/>
      </w:r>
      <w:r w:rsidR="00FB7662">
        <w:rPr>
          <w:noProof/>
          <w:sz w:val="24"/>
          <w:szCs w:val="24"/>
          <w:lang w:val="en-AU"/>
        </w:rPr>
        <w:t>9</w:t>
      </w:r>
      <w:r w:rsidRPr="00E856B0">
        <w:rPr>
          <w:sz w:val="24"/>
          <w:szCs w:val="24"/>
          <w:lang w:val="en-AU"/>
        </w:rPr>
        <w:fldChar w:fldCharType="end"/>
      </w:r>
      <w:r w:rsidR="00ED08C0">
        <w:rPr>
          <w:sz w:val="24"/>
          <w:szCs w:val="24"/>
          <w:lang w:val="en-AU"/>
        </w:rPr>
        <w:t>: Planning for sustainability</w:t>
      </w:r>
    </w:p>
    <w:p w14:paraId="6C078C3F" w14:textId="17CCB5E4" w:rsidR="00ED08C0" w:rsidRPr="00ED08C0" w:rsidRDefault="00ED08C0" w:rsidP="00ED08C0">
      <w:pPr>
        <w:rPr>
          <w:lang w:val="en-AU"/>
        </w:rPr>
      </w:pPr>
      <w:r>
        <w:rPr>
          <w:noProof/>
          <w:lang w:val="en-AU" w:eastAsia="en-AU"/>
        </w:rPr>
        <w:drawing>
          <wp:inline distT="0" distB="0" distL="0" distR="0" wp14:anchorId="1A35D75B" wp14:editId="59CAA8FA">
            <wp:extent cx="5285740" cy="3084830"/>
            <wp:effectExtent l="0" t="0" r="0" b="1270"/>
            <wp:docPr id="27" name="Picture 27" descr="Figure 9 is a bar graph with the percentages (%) of respondents, against the planning for sustainability. An overview of the data is in the text proceeding to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5740" cy="3084830"/>
                    </a:xfrm>
                    <a:prstGeom prst="rect">
                      <a:avLst/>
                    </a:prstGeom>
                    <a:noFill/>
                  </pic:spPr>
                </pic:pic>
              </a:graphicData>
            </a:graphic>
          </wp:inline>
        </w:drawing>
      </w:r>
    </w:p>
    <w:p w14:paraId="792F0CAE" w14:textId="0DFDFE09" w:rsidR="00C1380B" w:rsidRPr="00E856B0" w:rsidRDefault="00C1380B" w:rsidP="004F6A5A">
      <w:pPr>
        <w:spacing w:line="276" w:lineRule="auto"/>
        <w:rPr>
          <w:lang w:val="en-AU"/>
        </w:rPr>
      </w:pPr>
      <w:r w:rsidRPr="00E856B0">
        <w:rPr>
          <w:lang w:val="en-AU"/>
        </w:rPr>
        <w:t>When asked what would provide good value in terms of</w:t>
      </w:r>
      <w:r w:rsidR="000F3C3B" w:rsidRPr="00E856B0">
        <w:rPr>
          <w:lang w:val="en-AU"/>
        </w:rPr>
        <w:t xml:space="preserve"> reducing smoking in the future, respondents pointed towards the importance of population level approaches.  In particular it was strongly felt that </w:t>
      </w:r>
      <w:r w:rsidR="000F3C3B" w:rsidRPr="00E856B0">
        <w:rPr>
          <w:lang w:val="en-AU"/>
        </w:rPr>
        <w:lastRenderedPageBreak/>
        <w:t>local teams to deliver educational events, school programmes and targeted culturally sensitive smoking cessation was the way forward.</w:t>
      </w:r>
      <w:r w:rsidR="006047BA" w:rsidRPr="00E856B0">
        <w:rPr>
          <w:lang w:val="en-AU"/>
        </w:rPr>
        <w:t xml:space="preserve"> This was supported by the interviews</w:t>
      </w:r>
      <w:r w:rsidR="00532D75" w:rsidRPr="00E856B0">
        <w:rPr>
          <w:lang w:val="en-AU"/>
        </w:rPr>
        <w:t>, with one participant stressing that this health promotion advance is a</w:t>
      </w:r>
    </w:p>
    <w:p w14:paraId="704BBFC9" w14:textId="2A394F1E" w:rsidR="000F3C3B" w:rsidRPr="00E856B0" w:rsidRDefault="00532D75" w:rsidP="004F6A5A">
      <w:pPr>
        <w:spacing w:line="276" w:lineRule="auto"/>
        <w:rPr>
          <w:lang w:val="en-AU"/>
        </w:rPr>
      </w:pPr>
      <w:r w:rsidRPr="00E856B0">
        <w:rPr>
          <w:lang w:val="en-AU"/>
        </w:rPr>
        <w:t>“… Cultural Revolution – it is a new approach bringing about much needed change.”</w:t>
      </w:r>
    </w:p>
    <w:p w14:paraId="25097C4E" w14:textId="26E925D7" w:rsidR="000F3C3B" w:rsidRPr="00E856B0" w:rsidRDefault="000F3C3B" w:rsidP="004F6A5A">
      <w:pPr>
        <w:spacing w:line="276" w:lineRule="auto"/>
        <w:rPr>
          <w:lang w:val="en-AU"/>
        </w:rPr>
      </w:pPr>
      <w:r w:rsidRPr="00E856B0">
        <w:rPr>
          <w:lang w:val="en-AU"/>
        </w:rPr>
        <w:t>Finally great value was placed on the support provided by both the national and regional conferences in terms of networking, sharing good practice and keeping up to date on new evidence in the area.</w:t>
      </w:r>
      <w:r w:rsidR="0004572C" w:rsidRPr="00E856B0">
        <w:rPr>
          <w:lang w:val="en-AU"/>
        </w:rPr>
        <w:t xml:space="preserve"> In particular the meetings were seen as providing a framework to the programme; for teams who are working in isolation for much of the year this was seen as an important opportunity for communication, inspiration and guidance.</w:t>
      </w:r>
    </w:p>
    <w:p w14:paraId="4500F66A" w14:textId="76600023" w:rsidR="00933954" w:rsidRPr="007B46BD" w:rsidRDefault="004F6A5A" w:rsidP="007B46BD">
      <w:pPr>
        <w:pStyle w:val="Heading2"/>
      </w:pPr>
      <w:r>
        <w:t xml:space="preserve">Feedback from </w:t>
      </w:r>
      <w:r w:rsidR="00237842" w:rsidRPr="007B46BD">
        <w:t>Industry experts</w:t>
      </w:r>
    </w:p>
    <w:p w14:paraId="50FA1866" w14:textId="0D9A4C67" w:rsidR="00B07F4D" w:rsidRPr="00E856B0" w:rsidRDefault="007B46BD" w:rsidP="00096EA3">
      <w:pPr>
        <w:pStyle w:val="Heading3"/>
      </w:pPr>
      <w:r>
        <w:t xml:space="preserve">a) </w:t>
      </w:r>
      <w:r w:rsidR="00C72E1E" w:rsidRPr="00E856B0">
        <w:t xml:space="preserve">Allocation of </w:t>
      </w:r>
      <w:r>
        <w:t>Programme F</w:t>
      </w:r>
      <w:r w:rsidR="00237842" w:rsidRPr="00E856B0">
        <w:t xml:space="preserve">unding </w:t>
      </w:r>
    </w:p>
    <w:p w14:paraId="319DC18F" w14:textId="30759747" w:rsidR="00D76746" w:rsidRPr="00E856B0" w:rsidRDefault="00C72E1E" w:rsidP="004F6A5A">
      <w:pPr>
        <w:spacing w:line="276" w:lineRule="auto"/>
        <w:rPr>
          <w:lang w:val="en-AU"/>
        </w:rPr>
      </w:pPr>
      <w:r w:rsidRPr="00E856B0">
        <w:rPr>
          <w:lang w:val="en-AU"/>
        </w:rPr>
        <w:t>Respondents were o</w:t>
      </w:r>
      <w:r w:rsidR="0048246A" w:rsidRPr="00E856B0">
        <w:rPr>
          <w:lang w:val="en-AU"/>
        </w:rPr>
        <w:t>verwhelmingly positive</w:t>
      </w:r>
      <w:r w:rsidRPr="00E856B0">
        <w:rPr>
          <w:lang w:val="en-AU"/>
        </w:rPr>
        <w:t xml:space="preserve"> about the </w:t>
      </w:r>
      <w:r w:rsidR="00D76746" w:rsidRPr="00E856B0">
        <w:rPr>
          <w:lang w:val="en-AU"/>
        </w:rPr>
        <w:t xml:space="preserve">appropriateness of the </w:t>
      </w:r>
      <w:r w:rsidRPr="00E856B0">
        <w:rPr>
          <w:lang w:val="en-AU"/>
        </w:rPr>
        <w:t xml:space="preserve">allocation of programme funding </w:t>
      </w:r>
      <w:r w:rsidR="0048246A" w:rsidRPr="00E856B0">
        <w:rPr>
          <w:lang w:val="en-AU"/>
        </w:rPr>
        <w:t>to health promotion activities</w:t>
      </w:r>
      <w:r w:rsidR="00D76746" w:rsidRPr="00E856B0">
        <w:rPr>
          <w:lang w:val="en-AU"/>
        </w:rPr>
        <w:t>.  Examples of</w:t>
      </w:r>
      <w:r w:rsidR="0048246A" w:rsidRPr="00E856B0">
        <w:rPr>
          <w:lang w:val="en-AU"/>
        </w:rPr>
        <w:t xml:space="preserve"> funding </w:t>
      </w:r>
      <w:r w:rsidR="00D76746" w:rsidRPr="00E856B0">
        <w:rPr>
          <w:lang w:val="en-AU"/>
        </w:rPr>
        <w:t>successes included the development of</w:t>
      </w:r>
      <w:r w:rsidR="0048246A" w:rsidRPr="00E856B0">
        <w:rPr>
          <w:lang w:val="en-AU"/>
        </w:rPr>
        <w:t xml:space="preserve"> a network of regional tobacco coordinat</w:t>
      </w:r>
      <w:r w:rsidR="00D76746" w:rsidRPr="00E856B0">
        <w:rPr>
          <w:lang w:val="en-AU"/>
        </w:rPr>
        <w:t xml:space="preserve">ors and tobacco action workers, </w:t>
      </w:r>
      <w:r w:rsidR="0048246A" w:rsidRPr="00E856B0">
        <w:rPr>
          <w:lang w:val="en-AU"/>
        </w:rPr>
        <w:t>delivery of social marketing campaigns</w:t>
      </w:r>
      <w:r w:rsidR="00D76746" w:rsidRPr="00E856B0">
        <w:rPr>
          <w:lang w:val="en-AU"/>
        </w:rPr>
        <w:t xml:space="preserve">, building capacity in the community controlled and health sector to address smoking and other lifestyle related risk factors, </w:t>
      </w:r>
      <w:r w:rsidR="00DC64EF" w:rsidRPr="00E856B0">
        <w:rPr>
          <w:lang w:val="en-AU"/>
        </w:rPr>
        <w:t xml:space="preserve">and so </w:t>
      </w:r>
      <w:r w:rsidR="00992965" w:rsidRPr="00E856B0">
        <w:rPr>
          <w:lang w:val="en-AU"/>
        </w:rPr>
        <w:t>creating</w:t>
      </w:r>
      <w:r w:rsidR="00DC64EF" w:rsidRPr="00E856B0">
        <w:rPr>
          <w:lang w:val="en-AU"/>
        </w:rPr>
        <w:t xml:space="preserve"> a community of practice. </w:t>
      </w:r>
      <w:r w:rsidR="00D76746" w:rsidRPr="00E856B0">
        <w:rPr>
          <w:lang w:val="en-AU"/>
        </w:rPr>
        <w:t>How</w:t>
      </w:r>
      <w:r w:rsidR="00DC64EF" w:rsidRPr="00E856B0">
        <w:rPr>
          <w:lang w:val="en-AU"/>
        </w:rPr>
        <w:t>e</w:t>
      </w:r>
      <w:r w:rsidR="00D76746" w:rsidRPr="00E856B0">
        <w:rPr>
          <w:lang w:val="en-AU"/>
        </w:rPr>
        <w:t>ver</w:t>
      </w:r>
      <w:r w:rsidR="00DC64EF" w:rsidRPr="00E856B0">
        <w:rPr>
          <w:lang w:val="en-AU"/>
        </w:rPr>
        <w:t>,</w:t>
      </w:r>
      <w:r w:rsidR="00D76746" w:rsidRPr="00E856B0">
        <w:rPr>
          <w:lang w:val="en-AU"/>
        </w:rPr>
        <w:t xml:space="preserve"> it was also noted that whilst TIS</w:t>
      </w:r>
      <w:r w:rsidR="00DC64EF" w:rsidRPr="00E856B0">
        <w:rPr>
          <w:lang w:val="en-AU"/>
        </w:rPr>
        <w:t>&amp;</w:t>
      </w:r>
      <w:r w:rsidR="00D76746" w:rsidRPr="00E856B0">
        <w:rPr>
          <w:lang w:val="en-AU"/>
        </w:rPr>
        <w:t>HL teams based in community-driven organisations were a sound approach, the emphasis o</w:t>
      </w:r>
      <w:r w:rsidR="00DC64EF" w:rsidRPr="00E856B0">
        <w:rPr>
          <w:lang w:val="en-AU"/>
        </w:rPr>
        <w:t>n achieving national coverage by</w:t>
      </w:r>
      <w:r w:rsidR="00D76746" w:rsidRPr="00E856B0">
        <w:rPr>
          <w:lang w:val="en-AU"/>
        </w:rPr>
        <w:t xml:space="preserve"> the teams m</w:t>
      </w:r>
      <w:r w:rsidR="0086204A" w:rsidRPr="00E856B0">
        <w:rPr>
          <w:lang w:val="en-AU"/>
        </w:rPr>
        <w:t>ight</w:t>
      </w:r>
      <w:r w:rsidR="00D76746" w:rsidRPr="00E856B0">
        <w:rPr>
          <w:lang w:val="en-AU"/>
        </w:rPr>
        <w:t xml:space="preserve"> have compromised the programme</w:t>
      </w:r>
      <w:r w:rsidR="0086204A" w:rsidRPr="00E856B0">
        <w:rPr>
          <w:lang w:val="en-AU"/>
        </w:rPr>
        <w:t xml:space="preserve"> in some </w:t>
      </w:r>
      <w:r w:rsidR="00D76746" w:rsidRPr="00E856B0">
        <w:rPr>
          <w:lang w:val="en-AU"/>
        </w:rPr>
        <w:t xml:space="preserve">areas </w:t>
      </w:r>
      <w:r w:rsidR="0086204A" w:rsidRPr="00E856B0">
        <w:rPr>
          <w:lang w:val="en-AU"/>
        </w:rPr>
        <w:t xml:space="preserve">where </w:t>
      </w:r>
      <w:r w:rsidR="00DC64EF" w:rsidRPr="00E856B0">
        <w:rPr>
          <w:lang w:val="en-AU"/>
        </w:rPr>
        <w:t>the necessary</w:t>
      </w:r>
      <w:r w:rsidR="00D76746" w:rsidRPr="00E856B0">
        <w:rPr>
          <w:lang w:val="en-AU"/>
        </w:rPr>
        <w:t xml:space="preserve"> skills and community commitment were lacking.</w:t>
      </w:r>
      <w:r w:rsidR="00992965">
        <w:rPr>
          <w:lang w:val="en-AU"/>
        </w:rPr>
        <w:t xml:space="preserve"> </w:t>
      </w:r>
      <w:r w:rsidR="00820141">
        <w:rPr>
          <w:lang w:val="en-AU"/>
        </w:rPr>
        <w:t>Keeping teams local was seen as important.</w:t>
      </w:r>
      <w:r w:rsidR="00992965">
        <w:rPr>
          <w:lang w:val="en-AU"/>
        </w:rPr>
        <w:t xml:space="preserve"> </w:t>
      </w:r>
    </w:p>
    <w:p w14:paraId="77AE5E28" w14:textId="302D61C3" w:rsidR="0048246A" w:rsidRPr="00E856B0" w:rsidRDefault="00D76746" w:rsidP="004F6A5A">
      <w:pPr>
        <w:spacing w:line="276" w:lineRule="auto"/>
        <w:rPr>
          <w:lang w:val="en-AU"/>
        </w:rPr>
      </w:pPr>
      <w:r w:rsidRPr="00E856B0">
        <w:rPr>
          <w:lang w:val="en-AU"/>
        </w:rPr>
        <w:t>Despite the challenges of rol</w:t>
      </w:r>
      <w:r w:rsidR="00DC64EF" w:rsidRPr="00E856B0">
        <w:rPr>
          <w:lang w:val="en-AU"/>
        </w:rPr>
        <w:t>l</w:t>
      </w:r>
      <w:r w:rsidRPr="00E856B0">
        <w:rPr>
          <w:lang w:val="en-AU"/>
        </w:rPr>
        <w:t xml:space="preserve"> out, industry experts were clear that the programme had been able to change lo</w:t>
      </w:r>
      <w:r w:rsidR="00DC64EF" w:rsidRPr="00E856B0">
        <w:rPr>
          <w:lang w:val="en-AU"/>
        </w:rPr>
        <w:t xml:space="preserve">cal social norms around smoking and </w:t>
      </w:r>
      <w:r w:rsidRPr="00E856B0">
        <w:rPr>
          <w:lang w:val="en-AU"/>
        </w:rPr>
        <w:t xml:space="preserve">increase protection from </w:t>
      </w:r>
      <w:r w:rsidR="00DC64EF" w:rsidRPr="00E856B0">
        <w:rPr>
          <w:lang w:val="en-AU"/>
        </w:rPr>
        <w:t>second-hand smoke</w:t>
      </w:r>
      <w:r w:rsidRPr="00E856B0">
        <w:rPr>
          <w:lang w:val="en-AU"/>
        </w:rPr>
        <w:t xml:space="preserve"> through promotion of </w:t>
      </w:r>
      <w:proofErr w:type="spellStart"/>
      <w:r w:rsidRPr="00E856B0">
        <w:rPr>
          <w:lang w:val="en-AU"/>
        </w:rPr>
        <w:t>smokefree</w:t>
      </w:r>
      <w:proofErr w:type="spellEnd"/>
      <w:r w:rsidRPr="00E856B0">
        <w:rPr>
          <w:lang w:val="en-AU"/>
        </w:rPr>
        <w:t xml:space="preserve"> homes</w:t>
      </w:r>
      <w:r w:rsidR="00DC64EF" w:rsidRPr="00E856B0">
        <w:rPr>
          <w:lang w:val="en-AU"/>
        </w:rPr>
        <w:t>,</w:t>
      </w:r>
      <w:r w:rsidRPr="00E856B0">
        <w:rPr>
          <w:lang w:val="en-AU"/>
        </w:rPr>
        <w:t xml:space="preserve"> spaces and events</w:t>
      </w:r>
      <w:r w:rsidR="00DC64EF" w:rsidRPr="00E856B0">
        <w:rPr>
          <w:lang w:val="en-AU"/>
        </w:rPr>
        <w:t>. It was also noted that</w:t>
      </w:r>
      <w:r w:rsidR="0086204A" w:rsidRPr="00E856B0">
        <w:rPr>
          <w:lang w:val="en-AU"/>
        </w:rPr>
        <w:t xml:space="preserve"> </w:t>
      </w:r>
      <w:r w:rsidR="0048246A" w:rsidRPr="00E856B0">
        <w:rPr>
          <w:lang w:val="en-AU"/>
        </w:rPr>
        <w:t xml:space="preserve">there is clear evidence from </w:t>
      </w:r>
      <w:r w:rsidR="00DC64EF" w:rsidRPr="00E856B0">
        <w:rPr>
          <w:lang w:val="en-AU"/>
        </w:rPr>
        <w:t>‘Talking about the Smokes’</w:t>
      </w:r>
      <w:r w:rsidR="0048246A" w:rsidRPr="00E856B0">
        <w:rPr>
          <w:lang w:val="en-AU"/>
        </w:rPr>
        <w:t xml:space="preserve"> </w:t>
      </w:r>
      <w:r w:rsidR="00F173C9" w:rsidRPr="00E856B0">
        <w:rPr>
          <w:lang w:val="en-AU"/>
        </w:rPr>
        <w:t xml:space="preserve">(TATS) </w:t>
      </w:r>
      <w:r w:rsidR="0048246A" w:rsidRPr="00E856B0">
        <w:rPr>
          <w:lang w:val="en-AU"/>
        </w:rPr>
        <w:t>that A</w:t>
      </w:r>
      <w:r w:rsidR="00DC64EF" w:rsidRPr="00E856B0">
        <w:rPr>
          <w:lang w:val="en-AU"/>
        </w:rPr>
        <w:t xml:space="preserve">boriginal and </w:t>
      </w:r>
      <w:r w:rsidR="0048246A" w:rsidRPr="00E856B0">
        <w:rPr>
          <w:lang w:val="en-AU"/>
        </w:rPr>
        <w:t>T</w:t>
      </w:r>
      <w:r w:rsidR="00DC64EF" w:rsidRPr="00E856B0">
        <w:rPr>
          <w:lang w:val="en-AU"/>
        </w:rPr>
        <w:t xml:space="preserve">orre </w:t>
      </w:r>
      <w:r w:rsidR="0048246A" w:rsidRPr="00E856B0">
        <w:rPr>
          <w:lang w:val="en-AU"/>
        </w:rPr>
        <w:t>S</w:t>
      </w:r>
      <w:r w:rsidR="00DC64EF" w:rsidRPr="00E856B0">
        <w:rPr>
          <w:lang w:val="en-AU"/>
        </w:rPr>
        <w:t xml:space="preserve">trait </w:t>
      </w:r>
      <w:r w:rsidR="0048246A" w:rsidRPr="00E856B0">
        <w:rPr>
          <w:lang w:val="en-AU"/>
        </w:rPr>
        <w:t>I</w:t>
      </w:r>
      <w:r w:rsidR="00DC64EF" w:rsidRPr="00E856B0">
        <w:rPr>
          <w:lang w:val="en-AU"/>
        </w:rPr>
        <w:t>slander</w:t>
      </w:r>
      <w:r w:rsidR="0048246A" w:rsidRPr="00E856B0">
        <w:rPr>
          <w:lang w:val="en-AU"/>
        </w:rPr>
        <w:t xml:space="preserve"> smokers are </w:t>
      </w:r>
      <w:r w:rsidR="0086204A" w:rsidRPr="00E856B0">
        <w:rPr>
          <w:lang w:val="en-AU"/>
        </w:rPr>
        <w:t>now well informed and are acting to</w:t>
      </w:r>
      <w:r w:rsidR="0048246A" w:rsidRPr="00E856B0">
        <w:rPr>
          <w:lang w:val="en-AU"/>
        </w:rPr>
        <w:t xml:space="preserve"> reduce smoking.</w:t>
      </w:r>
      <w:r w:rsidR="00DC64EF" w:rsidRPr="00E856B0">
        <w:rPr>
          <w:lang w:val="en-AU"/>
        </w:rPr>
        <w:t xml:space="preserve">  </w:t>
      </w:r>
    </w:p>
    <w:p w14:paraId="3C54F127" w14:textId="7371C556" w:rsidR="00237842" w:rsidRPr="00E856B0" w:rsidRDefault="007B46BD" w:rsidP="00096EA3">
      <w:pPr>
        <w:pStyle w:val="Heading3"/>
        <w:rPr>
          <w:noProof/>
        </w:rPr>
      </w:pPr>
      <w:r>
        <w:rPr>
          <w:noProof/>
        </w:rPr>
        <w:t xml:space="preserve">b) </w:t>
      </w:r>
      <w:r w:rsidR="0025785B" w:rsidRPr="00E856B0">
        <w:rPr>
          <w:noProof/>
        </w:rPr>
        <w:t>Effective Aspects of the Programme</w:t>
      </w:r>
    </w:p>
    <w:p w14:paraId="7F1EE1A2" w14:textId="3909CDB4" w:rsidR="004E0301" w:rsidRPr="00E856B0" w:rsidRDefault="004E0301" w:rsidP="004F6A5A">
      <w:pPr>
        <w:spacing w:line="276" w:lineRule="auto"/>
        <w:rPr>
          <w:lang w:val="en-AU" w:eastAsia="en-AU"/>
        </w:rPr>
      </w:pPr>
      <w:r w:rsidRPr="00E856B0">
        <w:rPr>
          <w:lang w:val="en-AU"/>
        </w:rPr>
        <w:t>All respondents felt the TIS</w:t>
      </w:r>
      <w:r w:rsidR="00DC64EF" w:rsidRPr="00E856B0">
        <w:rPr>
          <w:lang w:val="en-AU"/>
        </w:rPr>
        <w:t>&amp;</w:t>
      </w:r>
      <w:r w:rsidRPr="00E856B0">
        <w:rPr>
          <w:lang w:val="en-AU"/>
        </w:rPr>
        <w:t xml:space="preserve">HL Programme had been effective in </w:t>
      </w:r>
      <w:r w:rsidR="00DC64EF" w:rsidRPr="00E856B0">
        <w:rPr>
          <w:lang w:val="en-AU"/>
        </w:rPr>
        <w:t>i</w:t>
      </w:r>
      <w:r w:rsidRPr="00E856B0">
        <w:rPr>
          <w:lang w:val="en-AU"/>
        </w:rPr>
        <w:t>ncreasing the number of successful quitters among Aboriginal and Torres Strait Islander people and the</w:t>
      </w:r>
      <w:r w:rsidRPr="00E856B0">
        <w:rPr>
          <w:noProof/>
          <w:lang w:val="en-AU"/>
        </w:rPr>
        <w:t xml:space="preserve"> majority (77.8%) also felt the programme had been effective in reducing tobacco uptake among Aboriginal and Torres Strait Islander people. However less than half thought it had been effective for increasing involvement in physical exercise among Aboriginal and Torres Strait Islander people (44.4%) or Increasing healthy eating within </w:t>
      </w:r>
      <w:r w:rsidR="00DC64EF" w:rsidRPr="00E856B0">
        <w:rPr>
          <w:noProof/>
          <w:lang w:val="en-AU"/>
        </w:rPr>
        <w:t>this group</w:t>
      </w:r>
      <w:r w:rsidRPr="00E856B0">
        <w:rPr>
          <w:noProof/>
          <w:lang w:val="en-AU"/>
        </w:rPr>
        <w:t xml:space="preserve"> (22.2%).</w:t>
      </w:r>
    </w:p>
    <w:p w14:paraId="2605CC05" w14:textId="599432A6" w:rsidR="0086204A" w:rsidRPr="00E856B0" w:rsidRDefault="0086204A" w:rsidP="004F6A5A">
      <w:pPr>
        <w:spacing w:line="276" w:lineRule="auto"/>
        <w:rPr>
          <w:lang w:val="en-AU"/>
        </w:rPr>
      </w:pPr>
      <w:r w:rsidRPr="00E856B0">
        <w:rPr>
          <w:lang w:val="en-AU"/>
        </w:rPr>
        <w:t xml:space="preserve">A number of </w:t>
      </w:r>
      <w:r w:rsidR="00E86F24" w:rsidRPr="00E856B0">
        <w:rPr>
          <w:lang w:val="en-AU"/>
        </w:rPr>
        <w:t>aspects of the programme</w:t>
      </w:r>
      <w:r w:rsidRPr="00E856B0">
        <w:rPr>
          <w:lang w:val="en-AU"/>
        </w:rPr>
        <w:t xml:space="preserve"> were highlighted </w:t>
      </w:r>
      <w:r w:rsidR="00E86F24" w:rsidRPr="00E856B0">
        <w:rPr>
          <w:lang w:val="en-AU"/>
        </w:rPr>
        <w:t>as having had a positive impact on changing</w:t>
      </w:r>
      <w:r w:rsidR="00232634" w:rsidRPr="00E856B0">
        <w:rPr>
          <w:lang w:val="en-AU"/>
        </w:rPr>
        <w:t xml:space="preserve"> attitudes and </w:t>
      </w:r>
      <w:r w:rsidR="00F173C9" w:rsidRPr="00E856B0">
        <w:rPr>
          <w:lang w:val="en-AU"/>
        </w:rPr>
        <w:t>behaviours</w:t>
      </w:r>
      <w:r w:rsidR="00232634" w:rsidRPr="00E856B0">
        <w:rPr>
          <w:lang w:val="en-AU"/>
        </w:rPr>
        <w:t xml:space="preserve"> in Aboriginal and Torres Strait islander communities.</w:t>
      </w:r>
      <w:r w:rsidR="00DC64EF" w:rsidRPr="00E856B0">
        <w:rPr>
          <w:lang w:val="en-AU"/>
        </w:rPr>
        <w:t xml:space="preserve"> </w:t>
      </w:r>
      <w:r w:rsidR="00CC1B78" w:rsidRPr="00E856B0">
        <w:rPr>
          <w:lang w:val="en-AU"/>
        </w:rPr>
        <w:t>However the primary focus wa</w:t>
      </w:r>
      <w:r w:rsidR="00DC64EF" w:rsidRPr="00E856B0">
        <w:rPr>
          <w:lang w:val="en-AU"/>
        </w:rPr>
        <w:t>s on the local nature of the pro</w:t>
      </w:r>
      <w:r w:rsidR="00CC1B78" w:rsidRPr="00E856B0">
        <w:rPr>
          <w:lang w:val="en-AU"/>
        </w:rPr>
        <w:t>gramme.</w:t>
      </w:r>
    </w:p>
    <w:p w14:paraId="6A0DFAF4" w14:textId="77777777" w:rsidR="006D1B21" w:rsidRPr="00E856B0" w:rsidRDefault="00232634" w:rsidP="004F6A5A">
      <w:pPr>
        <w:spacing w:line="276" w:lineRule="auto"/>
        <w:rPr>
          <w:lang w:val="en-AU"/>
        </w:rPr>
      </w:pPr>
      <w:r w:rsidRPr="00E856B0">
        <w:rPr>
          <w:lang w:val="en-AU"/>
        </w:rPr>
        <w:t>Firstly</w:t>
      </w:r>
      <w:r w:rsidR="00DC64EF" w:rsidRPr="00E856B0">
        <w:rPr>
          <w:lang w:val="en-AU"/>
        </w:rPr>
        <w:t>,</w:t>
      </w:r>
      <w:r w:rsidRPr="00E856B0">
        <w:rPr>
          <w:lang w:val="en-AU"/>
        </w:rPr>
        <w:t xml:space="preserve"> the greater </w:t>
      </w:r>
      <w:r w:rsidR="00DC64EF" w:rsidRPr="00E856B0">
        <w:rPr>
          <w:lang w:val="en-AU"/>
        </w:rPr>
        <w:t xml:space="preserve">ownership </w:t>
      </w:r>
      <w:r w:rsidRPr="00E856B0">
        <w:rPr>
          <w:lang w:val="en-AU"/>
        </w:rPr>
        <w:t xml:space="preserve">of tobacco use, and other lifestyle related chronic disease risk factors </w:t>
      </w:r>
      <w:r w:rsidR="00DC64EF" w:rsidRPr="00E856B0">
        <w:rPr>
          <w:lang w:val="en-AU"/>
        </w:rPr>
        <w:t xml:space="preserve">within community controlled and Aboriginal Health sectors, </w:t>
      </w:r>
      <w:r w:rsidRPr="00E856B0">
        <w:rPr>
          <w:lang w:val="en-AU"/>
        </w:rPr>
        <w:t xml:space="preserve">was </w:t>
      </w:r>
      <w:r w:rsidR="00DC64EF" w:rsidRPr="00E856B0">
        <w:rPr>
          <w:lang w:val="en-AU"/>
        </w:rPr>
        <w:t>viewed very positively.  It was felt that this had</w:t>
      </w:r>
      <w:r w:rsidRPr="00E856B0">
        <w:rPr>
          <w:lang w:val="en-AU"/>
        </w:rPr>
        <w:t xml:space="preserve"> resulted in the development of local campaign</w:t>
      </w:r>
      <w:r w:rsidR="00F173C9" w:rsidRPr="00E856B0">
        <w:rPr>
          <w:lang w:val="en-AU"/>
        </w:rPr>
        <w:t>s, local</w:t>
      </w:r>
      <w:r w:rsidRPr="00E856B0">
        <w:rPr>
          <w:lang w:val="en-AU"/>
        </w:rPr>
        <w:t xml:space="preserve"> resources</w:t>
      </w:r>
      <w:r w:rsidR="00F173C9" w:rsidRPr="00E856B0">
        <w:rPr>
          <w:lang w:val="en-AU"/>
        </w:rPr>
        <w:t>,</w:t>
      </w:r>
      <w:r w:rsidRPr="00E856B0">
        <w:rPr>
          <w:lang w:val="en-AU"/>
        </w:rPr>
        <w:t xml:space="preserve"> and new innovative practices</w:t>
      </w:r>
      <w:r w:rsidR="00A45650" w:rsidRPr="00E856B0">
        <w:rPr>
          <w:lang w:val="en-AU"/>
        </w:rPr>
        <w:t xml:space="preserve"> (</w:t>
      </w:r>
      <w:r w:rsidR="00F173C9" w:rsidRPr="00E856B0">
        <w:rPr>
          <w:lang w:val="en-AU"/>
        </w:rPr>
        <w:t>e.g.</w:t>
      </w:r>
      <w:r w:rsidR="00A45650" w:rsidRPr="00E856B0">
        <w:rPr>
          <w:lang w:val="en-AU"/>
        </w:rPr>
        <w:t xml:space="preserve"> </w:t>
      </w:r>
      <w:r w:rsidR="00F173C9" w:rsidRPr="00E856B0">
        <w:rPr>
          <w:lang w:val="en-AU"/>
        </w:rPr>
        <w:t xml:space="preserve">the </w:t>
      </w:r>
      <w:r w:rsidR="00A45650" w:rsidRPr="00E856B0">
        <w:rPr>
          <w:lang w:val="en-AU"/>
        </w:rPr>
        <w:t xml:space="preserve">Deadly </w:t>
      </w:r>
      <w:proofErr w:type="spellStart"/>
      <w:r w:rsidR="00A45650" w:rsidRPr="00E856B0">
        <w:rPr>
          <w:lang w:val="en-AU"/>
        </w:rPr>
        <w:t>Choices</w:t>
      </w:r>
      <w:r w:rsidR="00F173C9" w:rsidRPr="00E856B0">
        <w:rPr>
          <w:vertAlign w:val="superscript"/>
          <w:lang w:val="en-AU"/>
        </w:rPr>
        <w:t>TM</w:t>
      </w:r>
      <w:proofErr w:type="spellEnd"/>
      <w:r w:rsidR="00A45650" w:rsidRPr="00E856B0">
        <w:rPr>
          <w:lang w:val="en-AU"/>
        </w:rPr>
        <w:t xml:space="preserve"> initiative)</w:t>
      </w:r>
      <w:r w:rsidRPr="00E856B0">
        <w:rPr>
          <w:lang w:val="en-AU"/>
        </w:rPr>
        <w:t xml:space="preserve"> that work. </w:t>
      </w:r>
    </w:p>
    <w:p w14:paraId="0E7731DE" w14:textId="35614699" w:rsidR="001F76DE" w:rsidRPr="00E856B0" w:rsidRDefault="00CC1B78" w:rsidP="004F6A5A">
      <w:pPr>
        <w:spacing w:line="276" w:lineRule="auto"/>
        <w:rPr>
          <w:lang w:val="en-AU"/>
        </w:rPr>
      </w:pPr>
      <w:r w:rsidRPr="00E856B0">
        <w:rPr>
          <w:lang w:val="en-AU"/>
        </w:rPr>
        <w:t>Continuing this local theme,</w:t>
      </w:r>
      <w:r w:rsidR="00232634" w:rsidRPr="00E856B0">
        <w:rPr>
          <w:lang w:val="en-AU"/>
        </w:rPr>
        <w:t xml:space="preserve"> the direct relevance of the social marketing to Indigenous </w:t>
      </w:r>
      <w:r w:rsidR="00F173C9" w:rsidRPr="00E856B0">
        <w:rPr>
          <w:lang w:val="en-AU"/>
        </w:rPr>
        <w:t>Australians</w:t>
      </w:r>
      <w:r w:rsidRPr="00E856B0">
        <w:rPr>
          <w:lang w:val="en-AU"/>
        </w:rPr>
        <w:t xml:space="preserve"> was noted, with the locally developed messaging</w:t>
      </w:r>
      <w:r w:rsidR="00232634" w:rsidRPr="00E856B0">
        <w:rPr>
          <w:lang w:val="en-AU"/>
        </w:rPr>
        <w:t xml:space="preserve"> highlighted as having ensured a cultural shift within communities.</w:t>
      </w:r>
      <w:r w:rsidR="001F76DE" w:rsidRPr="00E856B0">
        <w:rPr>
          <w:lang w:val="en-AU"/>
        </w:rPr>
        <w:t xml:space="preserve"> </w:t>
      </w:r>
      <w:r w:rsidR="00F173C9" w:rsidRPr="00E856B0">
        <w:rPr>
          <w:lang w:val="en-AU"/>
        </w:rPr>
        <w:t>For example, the</w:t>
      </w:r>
      <w:r w:rsidR="00E96E58" w:rsidRPr="00E856B0">
        <w:rPr>
          <w:lang w:val="en-AU"/>
        </w:rPr>
        <w:t xml:space="preserve"> effectiveness of the DASSA</w:t>
      </w:r>
      <w:r w:rsidR="00E96E58" w:rsidRPr="00E856B0">
        <w:rPr>
          <w:vertAlign w:val="superscript"/>
          <w:lang w:val="en-AU"/>
        </w:rPr>
        <w:t>TM</w:t>
      </w:r>
      <w:r w:rsidR="00E96E58" w:rsidRPr="00E856B0">
        <w:rPr>
          <w:lang w:val="en-AU"/>
        </w:rPr>
        <w:t xml:space="preserve"> ambassador led model which uses local and respected Indigenous community members to help spread messages about the importance of reducing smoking and increasing healthy behaviours was </w:t>
      </w:r>
      <w:r w:rsidR="00F173C9" w:rsidRPr="00E856B0">
        <w:rPr>
          <w:lang w:val="en-AU"/>
        </w:rPr>
        <w:t xml:space="preserve">also </w:t>
      </w:r>
      <w:r w:rsidR="00E96E58" w:rsidRPr="00E856B0">
        <w:rPr>
          <w:lang w:val="en-AU"/>
        </w:rPr>
        <w:t xml:space="preserve">highlighted. </w:t>
      </w:r>
      <w:r w:rsidR="004C2BBB" w:rsidRPr="00E856B0">
        <w:rPr>
          <w:lang w:val="en-AU"/>
        </w:rPr>
        <w:t xml:space="preserve">However </w:t>
      </w:r>
      <w:r w:rsidR="00F173C9" w:rsidRPr="00E856B0">
        <w:rPr>
          <w:lang w:val="en-AU"/>
        </w:rPr>
        <w:t xml:space="preserve">it was noted that </w:t>
      </w:r>
      <w:r w:rsidR="00F173C9" w:rsidRPr="00E856B0">
        <w:rPr>
          <w:lang w:val="en-AU"/>
        </w:rPr>
        <w:lastRenderedPageBreak/>
        <w:t xml:space="preserve">for many interventions there has been </w:t>
      </w:r>
      <w:r w:rsidR="004C2BBB" w:rsidRPr="00E856B0">
        <w:rPr>
          <w:lang w:val="en-AU"/>
        </w:rPr>
        <w:t>no evaluation</w:t>
      </w:r>
      <w:r w:rsidR="00F173C9" w:rsidRPr="00E856B0">
        <w:rPr>
          <w:lang w:val="en-AU"/>
        </w:rPr>
        <w:t>, thus there is a</w:t>
      </w:r>
      <w:r w:rsidR="004C2BBB" w:rsidRPr="00E856B0">
        <w:rPr>
          <w:lang w:val="en-AU"/>
        </w:rPr>
        <w:t xml:space="preserve"> lack of hard evidence. </w:t>
      </w:r>
      <w:r w:rsidR="00F173C9" w:rsidRPr="00E856B0">
        <w:rPr>
          <w:lang w:val="en-AU"/>
        </w:rPr>
        <w:t>I</w:t>
      </w:r>
      <w:r w:rsidR="00E96E58" w:rsidRPr="00E856B0">
        <w:rPr>
          <w:lang w:val="en-AU"/>
        </w:rPr>
        <w:t>t was also noted that</w:t>
      </w:r>
      <w:r w:rsidR="00EF3FF7" w:rsidRPr="00E856B0">
        <w:rPr>
          <w:lang w:val="en-AU"/>
        </w:rPr>
        <w:t xml:space="preserve"> the work on changing social norms is not easy to quantif</w:t>
      </w:r>
      <w:r w:rsidR="00E96E58" w:rsidRPr="00E856B0">
        <w:rPr>
          <w:lang w:val="en-AU"/>
        </w:rPr>
        <w:t>y wi</w:t>
      </w:r>
      <w:r w:rsidR="00F173C9" w:rsidRPr="00E856B0">
        <w:rPr>
          <w:lang w:val="en-AU"/>
        </w:rPr>
        <w:t>th</w:t>
      </w:r>
      <w:r w:rsidR="00E96E58" w:rsidRPr="00E856B0">
        <w:rPr>
          <w:lang w:val="en-AU"/>
        </w:rPr>
        <w:t>out data from before the teams</w:t>
      </w:r>
      <w:r w:rsidR="00EF3FF7" w:rsidRPr="00E856B0">
        <w:rPr>
          <w:lang w:val="en-AU"/>
        </w:rPr>
        <w:t xml:space="preserve"> operated.</w:t>
      </w:r>
      <w:r w:rsidR="001F76DE" w:rsidRPr="00E856B0">
        <w:rPr>
          <w:lang w:val="en-AU"/>
        </w:rPr>
        <w:t xml:space="preserve"> </w:t>
      </w:r>
      <w:r w:rsidR="00F173C9" w:rsidRPr="00E856B0">
        <w:rPr>
          <w:lang w:val="en-AU"/>
        </w:rPr>
        <w:t xml:space="preserve">Furthermore, it was suggested that </w:t>
      </w:r>
      <w:r w:rsidR="001F76DE" w:rsidRPr="00E856B0">
        <w:rPr>
          <w:lang w:val="en-AU"/>
        </w:rPr>
        <w:t xml:space="preserve">the evidence from TATS is that a greater focus will need to be on supporting </w:t>
      </w:r>
      <w:r w:rsidR="00F173C9" w:rsidRPr="00E856B0">
        <w:rPr>
          <w:lang w:val="en-AU"/>
        </w:rPr>
        <w:t>cessation</w:t>
      </w:r>
      <w:r w:rsidR="001F76DE" w:rsidRPr="00E856B0">
        <w:rPr>
          <w:lang w:val="en-AU"/>
        </w:rPr>
        <w:t xml:space="preserve"> in </w:t>
      </w:r>
      <w:r w:rsidR="00F173C9" w:rsidRPr="00E856B0">
        <w:rPr>
          <w:lang w:val="en-AU"/>
        </w:rPr>
        <w:t xml:space="preserve">the </w:t>
      </w:r>
      <w:r w:rsidR="001F76DE" w:rsidRPr="00E856B0">
        <w:rPr>
          <w:lang w:val="en-AU"/>
        </w:rPr>
        <w:t>future</w:t>
      </w:r>
      <w:r w:rsidR="00F173C9" w:rsidRPr="00E856B0">
        <w:rPr>
          <w:lang w:val="en-AU"/>
        </w:rPr>
        <w:t>,</w:t>
      </w:r>
      <w:r w:rsidR="001F76DE" w:rsidRPr="00E856B0">
        <w:rPr>
          <w:lang w:val="en-AU"/>
        </w:rPr>
        <w:t xml:space="preserve"> as much of the preliminary work has now been done. Local efforts </w:t>
      </w:r>
      <w:r w:rsidR="00F173C9" w:rsidRPr="00E856B0">
        <w:rPr>
          <w:lang w:val="en-AU"/>
        </w:rPr>
        <w:t>however h</w:t>
      </w:r>
      <w:r w:rsidR="001F76DE" w:rsidRPr="00E856B0">
        <w:rPr>
          <w:lang w:val="en-AU"/>
        </w:rPr>
        <w:t xml:space="preserve">ave been </w:t>
      </w:r>
      <w:r w:rsidR="00F173C9" w:rsidRPr="00E856B0">
        <w:rPr>
          <w:lang w:val="en-AU"/>
        </w:rPr>
        <w:t>extremely</w:t>
      </w:r>
      <w:r w:rsidR="001F76DE" w:rsidRPr="00E856B0">
        <w:rPr>
          <w:lang w:val="en-AU"/>
        </w:rPr>
        <w:t xml:space="preserve"> important in driving smokers to an interest in quitting.</w:t>
      </w:r>
    </w:p>
    <w:p w14:paraId="53CA29C0" w14:textId="206AB27C" w:rsidR="00EF3FF7" w:rsidRPr="00E856B0" w:rsidRDefault="006D1B21" w:rsidP="004F6A5A">
      <w:pPr>
        <w:spacing w:line="276" w:lineRule="auto"/>
        <w:rPr>
          <w:lang w:val="en-AU"/>
        </w:rPr>
      </w:pPr>
      <w:r w:rsidRPr="00E856B0">
        <w:rPr>
          <w:lang w:val="en-AU"/>
        </w:rPr>
        <w:t>The</w:t>
      </w:r>
      <w:r w:rsidR="00CC1B78" w:rsidRPr="00E856B0">
        <w:rPr>
          <w:lang w:val="en-AU"/>
        </w:rPr>
        <w:t xml:space="preserve"> development of a local </w:t>
      </w:r>
      <w:r w:rsidR="00232634" w:rsidRPr="00E856B0">
        <w:rPr>
          <w:lang w:val="en-AU"/>
        </w:rPr>
        <w:t xml:space="preserve">workforce of highly skilled health workers </w:t>
      </w:r>
      <w:r w:rsidR="00CC1B78" w:rsidRPr="00E856B0">
        <w:rPr>
          <w:lang w:val="en-AU"/>
        </w:rPr>
        <w:t xml:space="preserve">was </w:t>
      </w:r>
      <w:r w:rsidRPr="00E856B0">
        <w:rPr>
          <w:lang w:val="en-AU"/>
        </w:rPr>
        <w:t xml:space="preserve">also </w:t>
      </w:r>
      <w:r w:rsidR="00EF3FF7" w:rsidRPr="00E856B0">
        <w:rPr>
          <w:lang w:val="en-AU"/>
        </w:rPr>
        <w:t>commended</w:t>
      </w:r>
      <w:r w:rsidR="00516E14" w:rsidRPr="00E856B0">
        <w:rPr>
          <w:lang w:val="en-AU"/>
        </w:rPr>
        <w:t xml:space="preserve">; in particular, the importance of </w:t>
      </w:r>
      <w:proofErr w:type="spellStart"/>
      <w:r w:rsidR="00516E14" w:rsidRPr="00E856B0">
        <w:rPr>
          <w:lang w:val="en-AU"/>
        </w:rPr>
        <w:t>Quitskills</w:t>
      </w:r>
      <w:proofErr w:type="spellEnd"/>
      <w:r w:rsidR="00516E14" w:rsidRPr="00E856B0">
        <w:rPr>
          <w:lang w:val="en-AU"/>
        </w:rPr>
        <w:t xml:space="preserve"> Training was highlighted.</w:t>
      </w:r>
      <w:r w:rsidR="00EF3FF7" w:rsidRPr="00E856B0">
        <w:rPr>
          <w:lang w:val="en-AU"/>
        </w:rPr>
        <w:t xml:space="preserve"> </w:t>
      </w:r>
      <w:r w:rsidRPr="00E856B0">
        <w:rPr>
          <w:lang w:val="en-AU"/>
        </w:rPr>
        <w:t xml:space="preserve">It was </w:t>
      </w:r>
      <w:r w:rsidR="00516E14" w:rsidRPr="00E856B0">
        <w:rPr>
          <w:lang w:val="en-AU"/>
        </w:rPr>
        <w:t xml:space="preserve">also </w:t>
      </w:r>
      <w:r w:rsidRPr="00E856B0">
        <w:rPr>
          <w:lang w:val="en-AU"/>
        </w:rPr>
        <w:t xml:space="preserve">noted that for many </w:t>
      </w:r>
      <w:r w:rsidR="00A45650" w:rsidRPr="00E856B0">
        <w:rPr>
          <w:lang w:val="en-AU"/>
        </w:rPr>
        <w:t xml:space="preserve">organisations, </w:t>
      </w:r>
      <w:r w:rsidRPr="00E856B0">
        <w:rPr>
          <w:lang w:val="en-AU"/>
        </w:rPr>
        <w:t xml:space="preserve">this </w:t>
      </w:r>
      <w:r w:rsidR="00A45650" w:rsidRPr="00E856B0">
        <w:rPr>
          <w:lang w:val="en-AU"/>
        </w:rPr>
        <w:t xml:space="preserve">is the first time that they have had such a dedicated workforce. There was high level of agreement among the stakeholders that the trained workers had the necessary skills </w:t>
      </w:r>
      <w:r w:rsidRPr="00E856B0">
        <w:rPr>
          <w:lang w:val="en-AU"/>
        </w:rPr>
        <w:t>to deliver the programme, but that</w:t>
      </w:r>
      <w:r w:rsidR="00A45650" w:rsidRPr="00E856B0">
        <w:rPr>
          <w:lang w:val="en-AU"/>
        </w:rPr>
        <w:t xml:space="preserve"> the knowledge and skills base of the workers w</w:t>
      </w:r>
      <w:r w:rsidRPr="00E856B0">
        <w:rPr>
          <w:lang w:val="en-AU"/>
        </w:rPr>
        <w:t xml:space="preserve">ould </w:t>
      </w:r>
      <w:r w:rsidR="00A45650" w:rsidRPr="00E856B0">
        <w:rPr>
          <w:lang w:val="en-AU"/>
        </w:rPr>
        <w:t xml:space="preserve">continue to evolve </w:t>
      </w:r>
      <w:r w:rsidRPr="00E856B0">
        <w:rPr>
          <w:lang w:val="en-AU"/>
        </w:rPr>
        <w:t xml:space="preserve">with ongoing experience, </w:t>
      </w:r>
      <w:r w:rsidR="00A45650" w:rsidRPr="00E856B0">
        <w:rPr>
          <w:lang w:val="en-AU"/>
        </w:rPr>
        <w:t>mentoring</w:t>
      </w:r>
      <w:r w:rsidRPr="00E856B0">
        <w:rPr>
          <w:lang w:val="en-AU"/>
        </w:rPr>
        <w:t>,</w:t>
      </w:r>
      <w:r w:rsidR="00A45650" w:rsidRPr="00E856B0">
        <w:rPr>
          <w:lang w:val="en-AU"/>
        </w:rPr>
        <w:t xml:space="preserve"> and formal training in certificate level skills. </w:t>
      </w:r>
      <w:r w:rsidRPr="00E856B0">
        <w:rPr>
          <w:lang w:val="en-AU"/>
        </w:rPr>
        <w:t xml:space="preserve">Once again, the unique position of this workforce </w:t>
      </w:r>
      <w:r w:rsidR="00516E14" w:rsidRPr="00E856B0">
        <w:rPr>
          <w:lang w:val="en-AU"/>
        </w:rPr>
        <w:t xml:space="preserve">to understand and communicate with the local community was </w:t>
      </w:r>
      <w:r w:rsidRPr="00E856B0">
        <w:rPr>
          <w:lang w:val="en-AU"/>
        </w:rPr>
        <w:t>stressed</w:t>
      </w:r>
      <w:r w:rsidR="00516E14" w:rsidRPr="00E856B0">
        <w:rPr>
          <w:lang w:val="en-AU"/>
        </w:rPr>
        <w:t>.  It was thought to be this that enabled the teams to design activities that would</w:t>
      </w:r>
      <w:r w:rsidR="00A45650" w:rsidRPr="00E856B0">
        <w:rPr>
          <w:lang w:val="en-AU"/>
        </w:rPr>
        <w:t xml:space="preserve"> meet the identified needs of the local community. </w:t>
      </w:r>
    </w:p>
    <w:p w14:paraId="7D430355" w14:textId="525C1C48" w:rsidR="004D21B9" w:rsidRPr="00E856B0" w:rsidRDefault="004D21B9" w:rsidP="004F6A5A">
      <w:pPr>
        <w:spacing w:line="276" w:lineRule="auto"/>
        <w:rPr>
          <w:lang w:val="en-AU"/>
        </w:rPr>
      </w:pPr>
      <w:r w:rsidRPr="00E856B0">
        <w:rPr>
          <w:lang w:val="en-AU"/>
        </w:rPr>
        <w:t xml:space="preserve">It was also felt that programme measures had increased the options available to communities to support better lifestyle choices through the provision of brief intervention services, health education and workforce skill development. For example, communities are </w:t>
      </w:r>
      <w:r w:rsidR="001A6E76" w:rsidRPr="00E856B0">
        <w:rPr>
          <w:lang w:val="en-AU"/>
        </w:rPr>
        <w:t xml:space="preserve">now more aware that they can </w:t>
      </w:r>
      <w:r w:rsidRPr="00E856B0">
        <w:rPr>
          <w:lang w:val="en-AU"/>
        </w:rPr>
        <w:t xml:space="preserve">access smoking cessation medicines free through </w:t>
      </w:r>
      <w:r w:rsidR="00180C4A">
        <w:rPr>
          <w:lang w:val="en-AU"/>
        </w:rPr>
        <w:t>‘</w:t>
      </w:r>
      <w:r w:rsidR="001A6E76" w:rsidRPr="00E856B0">
        <w:rPr>
          <w:lang w:val="en-AU"/>
        </w:rPr>
        <w:t>Closing the Gap</w:t>
      </w:r>
      <w:r w:rsidR="00180C4A">
        <w:rPr>
          <w:lang w:val="en-AU"/>
        </w:rPr>
        <w:t>’</w:t>
      </w:r>
      <w:r w:rsidRPr="00E856B0">
        <w:rPr>
          <w:lang w:val="en-AU"/>
        </w:rPr>
        <w:t xml:space="preserve"> scripts</w:t>
      </w:r>
      <w:r w:rsidR="001A6E76" w:rsidRPr="00E856B0">
        <w:rPr>
          <w:lang w:val="en-AU"/>
        </w:rPr>
        <w:t>.  Furthermore,</w:t>
      </w:r>
      <w:r w:rsidRPr="00E856B0">
        <w:rPr>
          <w:lang w:val="en-AU"/>
        </w:rPr>
        <w:t xml:space="preserve"> </w:t>
      </w:r>
      <w:r w:rsidR="001A6E76" w:rsidRPr="00E856B0">
        <w:rPr>
          <w:lang w:val="en-AU"/>
        </w:rPr>
        <w:t xml:space="preserve">it was suggested that </w:t>
      </w:r>
      <w:r w:rsidRPr="00E856B0">
        <w:rPr>
          <w:lang w:val="en-AU"/>
        </w:rPr>
        <w:t xml:space="preserve">Aboriginal and Torres Strait Islander people are now better supported to access </w:t>
      </w:r>
      <w:r w:rsidR="001A6E76" w:rsidRPr="00E856B0">
        <w:rPr>
          <w:lang w:val="en-AU"/>
        </w:rPr>
        <w:t xml:space="preserve">the </w:t>
      </w:r>
      <w:r w:rsidRPr="00E856B0">
        <w:rPr>
          <w:lang w:val="en-AU"/>
        </w:rPr>
        <w:t xml:space="preserve">services that will assist them to modify their lifestyles through the enhancement of </w:t>
      </w:r>
      <w:proofErr w:type="spellStart"/>
      <w:r w:rsidRPr="00E856B0">
        <w:rPr>
          <w:lang w:val="en-AU"/>
        </w:rPr>
        <w:t>Quitline</w:t>
      </w:r>
      <w:proofErr w:type="spellEnd"/>
      <w:r w:rsidRPr="00E856B0">
        <w:rPr>
          <w:lang w:val="en-AU"/>
        </w:rPr>
        <w:t xml:space="preserve"> services</w:t>
      </w:r>
      <w:r w:rsidR="001A6E76" w:rsidRPr="00E856B0">
        <w:rPr>
          <w:lang w:val="en-AU"/>
        </w:rPr>
        <w:t>,</w:t>
      </w:r>
      <w:r w:rsidRPr="00E856B0">
        <w:rPr>
          <w:lang w:val="en-AU"/>
        </w:rPr>
        <w:t xml:space="preserve"> the brokering of access to </w:t>
      </w:r>
      <w:proofErr w:type="spellStart"/>
      <w:r w:rsidRPr="00E856B0">
        <w:rPr>
          <w:lang w:val="en-AU"/>
        </w:rPr>
        <w:t>Quitline</w:t>
      </w:r>
      <w:proofErr w:type="spellEnd"/>
      <w:r w:rsidRPr="00E856B0">
        <w:rPr>
          <w:lang w:val="en-AU"/>
        </w:rPr>
        <w:t xml:space="preserve">, and provision of information on NRT.  Many of the regional TS&amp;HL teams have worked with their state/territory </w:t>
      </w:r>
      <w:proofErr w:type="spellStart"/>
      <w:r w:rsidRPr="00E856B0">
        <w:rPr>
          <w:lang w:val="en-AU"/>
        </w:rPr>
        <w:t>Quitline</w:t>
      </w:r>
      <w:proofErr w:type="spellEnd"/>
      <w:r w:rsidRPr="00E856B0">
        <w:rPr>
          <w:lang w:val="en-AU"/>
        </w:rPr>
        <w:t xml:space="preserve"> services and are encouraging individuals to make use of this service, which together with the national </w:t>
      </w:r>
      <w:r w:rsidR="001A6E76" w:rsidRPr="00E856B0">
        <w:rPr>
          <w:lang w:val="en-AU"/>
        </w:rPr>
        <w:t>‘</w:t>
      </w:r>
      <w:r w:rsidRPr="00E856B0">
        <w:rPr>
          <w:lang w:val="en-AU"/>
        </w:rPr>
        <w:t>Break the Chain</w:t>
      </w:r>
      <w:r w:rsidR="001A6E76" w:rsidRPr="00E856B0">
        <w:rPr>
          <w:lang w:val="en-AU"/>
        </w:rPr>
        <w:t>’</w:t>
      </w:r>
      <w:r w:rsidRPr="00E856B0">
        <w:rPr>
          <w:lang w:val="en-AU"/>
        </w:rPr>
        <w:t xml:space="preserve"> campaign are believed to have contributed to the increase in the number of Aboriginal and Torres Strait Islander people making calls to some state/territory </w:t>
      </w:r>
      <w:proofErr w:type="spellStart"/>
      <w:r w:rsidRPr="00E856B0">
        <w:rPr>
          <w:lang w:val="en-AU"/>
        </w:rPr>
        <w:t>Quitlines</w:t>
      </w:r>
      <w:proofErr w:type="spellEnd"/>
      <w:r w:rsidRPr="00E856B0">
        <w:rPr>
          <w:lang w:val="en-AU"/>
        </w:rPr>
        <w:t xml:space="preserve">.   </w:t>
      </w:r>
      <w:r w:rsidR="001A6E76" w:rsidRPr="00E856B0">
        <w:rPr>
          <w:lang w:val="en-AU"/>
        </w:rPr>
        <w:t xml:space="preserve">For example, there is </w:t>
      </w:r>
      <w:r w:rsidR="001062BF">
        <w:rPr>
          <w:lang w:val="en-AU"/>
        </w:rPr>
        <w:t>evidence that</w:t>
      </w:r>
      <w:r w:rsidR="001A6E76" w:rsidRPr="00E856B0">
        <w:rPr>
          <w:lang w:val="en-AU"/>
        </w:rPr>
        <w:t xml:space="preserve"> </w:t>
      </w:r>
      <w:r w:rsidRPr="00E856B0">
        <w:rPr>
          <w:lang w:val="en-AU"/>
        </w:rPr>
        <w:t xml:space="preserve">shows an increase in Aboriginal and Torres Strait Islander </w:t>
      </w:r>
      <w:r w:rsidR="004C2BBB" w:rsidRPr="00E856B0">
        <w:rPr>
          <w:lang w:val="en-AU"/>
        </w:rPr>
        <w:t xml:space="preserve">callers to the </w:t>
      </w:r>
      <w:proofErr w:type="spellStart"/>
      <w:r w:rsidR="004C2BBB" w:rsidRPr="00E856B0">
        <w:rPr>
          <w:lang w:val="en-AU"/>
        </w:rPr>
        <w:t>Quitli</w:t>
      </w:r>
      <w:r w:rsidR="001A6E76" w:rsidRPr="00E856B0">
        <w:rPr>
          <w:lang w:val="en-AU"/>
        </w:rPr>
        <w:t>ne</w:t>
      </w:r>
      <w:proofErr w:type="spellEnd"/>
      <w:r w:rsidR="001A6E76" w:rsidRPr="00E856B0">
        <w:rPr>
          <w:lang w:val="en-AU"/>
        </w:rPr>
        <w:t xml:space="preserve"> in South Australia since the </w:t>
      </w:r>
      <w:proofErr w:type="spellStart"/>
      <w:r w:rsidR="001A6E76" w:rsidRPr="00E856B0">
        <w:rPr>
          <w:lang w:val="en-AU"/>
        </w:rPr>
        <w:t>Quitline</w:t>
      </w:r>
      <w:proofErr w:type="spellEnd"/>
      <w:r w:rsidR="001A6E76" w:rsidRPr="00E856B0">
        <w:rPr>
          <w:lang w:val="en-AU"/>
        </w:rPr>
        <w:t xml:space="preserve"> Enhancement work was undertaken by Cancer Council South Australia. </w:t>
      </w:r>
      <w:r w:rsidR="004C2BBB" w:rsidRPr="00E856B0">
        <w:rPr>
          <w:lang w:val="en-AU"/>
        </w:rPr>
        <w:t xml:space="preserve">The programme includes culturally secure promotion of the </w:t>
      </w:r>
      <w:proofErr w:type="spellStart"/>
      <w:r w:rsidR="004C2BBB" w:rsidRPr="00E856B0">
        <w:rPr>
          <w:lang w:val="en-AU"/>
        </w:rPr>
        <w:t>Quitline</w:t>
      </w:r>
      <w:proofErr w:type="spellEnd"/>
      <w:r w:rsidR="004C2BBB" w:rsidRPr="00E856B0">
        <w:rPr>
          <w:lang w:val="en-AU"/>
        </w:rPr>
        <w:t xml:space="preserve"> and the employment of </w:t>
      </w:r>
      <w:r w:rsidRPr="00E856B0">
        <w:rPr>
          <w:lang w:val="en-AU"/>
        </w:rPr>
        <w:t>Aboriginal and Torres Strait Islander</w:t>
      </w:r>
      <w:r w:rsidR="004C2BBB" w:rsidRPr="00E856B0">
        <w:rPr>
          <w:lang w:val="en-AU"/>
        </w:rPr>
        <w:t xml:space="preserve"> phone counsellors to provide support.</w:t>
      </w:r>
      <w:r w:rsidRPr="00E856B0">
        <w:rPr>
          <w:lang w:val="en-AU"/>
        </w:rPr>
        <w:t xml:space="preserve"> </w:t>
      </w:r>
    </w:p>
    <w:p w14:paraId="488179C9" w14:textId="0839BA3C" w:rsidR="0048246A" w:rsidRPr="00E856B0" w:rsidRDefault="008460B8" w:rsidP="004F6A5A">
      <w:pPr>
        <w:spacing w:line="276" w:lineRule="auto"/>
        <w:rPr>
          <w:lang w:val="en-AU"/>
        </w:rPr>
      </w:pPr>
      <w:r w:rsidRPr="00E856B0">
        <w:rPr>
          <w:lang w:val="en-AU"/>
        </w:rPr>
        <w:t xml:space="preserve">Finally </w:t>
      </w:r>
      <w:r w:rsidR="0048246A" w:rsidRPr="00E856B0">
        <w:rPr>
          <w:lang w:val="en-AU"/>
        </w:rPr>
        <w:t>the national approach taken, and</w:t>
      </w:r>
      <w:r w:rsidRPr="00E856B0">
        <w:rPr>
          <w:lang w:val="en-AU"/>
        </w:rPr>
        <w:t xml:space="preserve"> the</w:t>
      </w:r>
      <w:r w:rsidR="0048246A" w:rsidRPr="00E856B0">
        <w:rPr>
          <w:lang w:val="en-AU"/>
        </w:rPr>
        <w:t xml:space="preserve"> leadership from its National Coordinator, Dr Tom </w:t>
      </w:r>
      <w:proofErr w:type="spellStart"/>
      <w:r w:rsidR="0048246A" w:rsidRPr="00E856B0">
        <w:rPr>
          <w:lang w:val="en-AU"/>
        </w:rPr>
        <w:t>Calma</w:t>
      </w:r>
      <w:proofErr w:type="spellEnd"/>
      <w:r w:rsidR="0048246A" w:rsidRPr="00E856B0">
        <w:rPr>
          <w:lang w:val="en-AU"/>
        </w:rPr>
        <w:t xml:space="preserve">, </w:t>
      </w:r>
      <w:r w:rsidRPr="00E856B0">
        <w:rPr>
          <w:lang w:val="en-AU"/>
        </w:rPr>
        <w:t xml:space="preserve">was highly praised.  Experts </w:t>
      </w:r>
      <w:r w:rsidR="0025785B" w:rsidRPr="00E856B0">
        <w:rPr>
          <w:lang w:val="en-AU"/>
        </w:rPr>
        <w:t>explained that f</w:t>
      </w:r>
      <w:r w:rsidRPr="00E856B0">
        <w:rPr>
          <w:lang w:val="en-AU"/>
        </w:rPr>
        <w:t>eedback from TIS&amp;HL teams has s</w:t>
      </w:r>
      <w:r w:rsidR="0025785B" w:rsidRPr="00E856B0">
        <w:rPr>
          <w:lang w:val="en-AU"/>
        </w:rPr>
        <w:t>hown</w:t>
      </w:r>
      <w:r w:rsidRPr="00E856B0">
        <w:rPr>
          <w:lang w:val="en-AU"/>
        </w:rPr>
        <w:t xml:space="preserve"> that the</w:t>
      </w:r>
      <w:r w:rsidR="0048246A" w:rsidRPr="00E856B0">
        <w:rPr>
          <w:lang w:val="en-AU"/>
        </w:rPr>
        <w:t xml:space="preserve"> high regard </w:t>
      </w:r>
      <w:r w:rsidRPr="00E856B0">
        <w:rPr>
          <w:lang w:val="en-AU"/>
        </w:rPr>
        <w:t xml:space="preserve">with which the National Co-ordinator is held </w:t>
      </w:r>
      <w:r w:rsidR="0048246A" w:rsidRPr="00E856B0">
        <w:rPr>
          <w:lang w:val="en-AU"/>
        </w:rPr>
        <w:t>in Aboriginal communities has contributed to th</w:t>
      </w:r>
      <w:r w:rsidRPr="00E856B0">
        <w:rPr>
          <w:lang w:val="en-AU"/>
        </w:rPr>
        <w:t>e high profile of the programme</w:t>
      </w:r>
      <w:r w:rsidR="0025785B" w:rsidRPr="00E856B0">
        <w:rPr>
          <w:lang w:val="en-AU"/>
        </w:rPr>
        <w:t>, and therefore its success</w:t>
      </w:r>
      <w:r w:rsidR="0048246A" w:rsidRPr="00E856B0">
        <w:rPr>
          <w:lang w:val="en-AU"/>
        </w:rPr>
        <w:t xml:space="preserve">. </w:t>
      </w:r>
      <w:r w:rsidRPr="00E856B0">
        <w:rPr>
          <w:lang w:val="en-AU"/>
        </w:rPr>
        <w:t>The establishment of n</w:t>
      </w:r>
      <w:r w:rsidR="001A6E76" w:rsidRPr="00E856B0">
        <w:rPr>
          <w:lang w:val="en-AU"/>
        </w:rPr>
        <w:t xml:space="preserve">ational </w:t>
      </w:r>
      <w:r w:rsidR="0025785B" w:rsidRPr="00E856B0">
        <w:rPr>
          <w:lang w:val="en-AU"/>
        </w:rPr>
        <w:t>meetings, which</w:t>
      </w:r>
      <w:r w:rsidRPr="00E856B0">
        <w:rPr>
          <w:lang w:val="en-AU"/>
        </w:rPr>
        <w:t xml:space="preserve"> brought workforces </w:t>
      </w:r>
      <w:proofErr w:type="gramStart"/>
      <w:r w:rsidR="001A6E76" w:rsidRPr="00E856B0">
        <w:rPr>
          <w:lang w:val="en-AU"/>
        </w:rPr>
        <w:t>together</w:t>
      </w:r>
      <w:r w:rsidR="0025785B" w:rsidRPr="00E856B0">
        <w:rPr>
          <w:lang w:val="en-AU"/>
        </w:rPr>
        <w:t>,</w:t>
      </w:r>
      <w:proofErr w:type="gramEnd"/>
      <w:r w:rsidR="001A6E76" w:rsidRPr="00E856B0">
        <w:rPr>
          <w:lang w:val="en-AU"/>
        </w:rPr>
        <w:t xml:space="preserve"> and state coordination to encourage networking </w:t>
      </w:r>
      <w:r w:rsidR="0025785B" w:rsidRPr="00E856B0">
        <w:rPr>
          <w:lang w:val="en-AU"/>
        </w:rPr>
        <w:t>across services</w:t>
      </w:r>
      <w:r w:rsidR="004B1FD7">
        <w:rPr>
          <w:lang w:val="en-AU"/>
        </w:rPr>
        <w:t>,</w:t>
      </w:r>
      <w:r w:rsidR="0025785B" w:rsidRPr="00E856B0">
        <w:rPr>
          <w:lang w:val="en-AU"/>
        </w:rPr>
        <w:t xml:space="preserve"> was also applauded</w:t>
      </w:r>
      <w:r w:rsidR="0025785B" w:rsidRPr="00ED08C0">
        <w:rPr>
          <w:lang w:val="en-AU"/>
        </w:rPr>
        <w:t>.</w:t>
      </w:r>
      <w:r w:rsidR="001A6E76" w:rsidRPr="00ED08C0">
        <w:rPr>
          <w:lang w:val="en-AU"/>
        </w:rPr>
        <w:t xml:space="preserve"> </w:t>
      </w:r>
      <w:r w:rsidR="00042582" w:rsidRPr="00ED08C0">
        <w:rPr>
          <w:lang w:val="en-AU"/>
        </w:rPr>
        <w:t xml:space="preserve">However, there was also a suggestion that this national approach could be developed further to great success; for example working towards a </w:t>
      </w:r>
      <w:r w:rsidR="00C71EAE" w:rsidRPr="00ED08C0">
        <w:rPr>
          <w:lang w:val="en-AU"/>
        </w:rPr>
        <w:t>National S</w:t>
      </w:r>
      <w:r w:rsidR="00042582" w:rsidRPr="00ED08C0">
        <w:rPr>
          <w:lang w:val="en-AU"/>
        </w:rPr>
        <w:t>tandard</w:t>
      </w:r>
      <w:r w:rsidR="00C71EAE" w:rsidRPr="00ED08C0">
        <w:rPr>
          <w:lang w:val="en-AU"/>
        </w:rPr>
        <w:t>isation F</w:t>
      </w:r>
      <w:r w:rsidR="00042582" w:rsidRPr="00ED08C0">
        <w:rPr>
          <w:lang w:val="en-AU"/>
        </w:rPr>
        <w:t xml:space="preserve">ramework that can be used by all. </w:t>
      </w:r>
    </w:p>
    <w:p w14:paraId="129A5F0E" w14:textId="6EAC5DBD" w:rsidR="0025785B" w:rsidRPr="00E856B0" w:rsidRDefault="007B46BD" w:rsidP="00096EA3">
      <w:pPr>
        <w:pStyle w:val="Heading3"/>
        <w:rPr>
          <w:noProof/>
        </w:rPr>
      </w:pPr>
      <w:r>
        <w:rPr>
          <w:noProof/>
        </w:rPr>
        <w:t xml:space="preserve">c) </w:t>
      </w:r>
      <w:r w:rsidR="0025785B" w:rsidRPr="00E856B0">
        <w:rPr>
          <w:noProof/>
        </w:rPr>
        <w:t>Less Effective Aspects of the Programme</w:t>
      </w:r>
    </w:p>
    <w:p w14:paraId="15CF89F7" w14:textId="6075FE42" w:rsidR="008B239F" w:rsidRPr="00E856B0" w:rsidRDefault="00DD518E" w:rsidP="004F6A5A">
      <w:pPr>
        <w:spacing w:line="276" w:lineRule="auto"/>
        <w:rPr>
          <w:lang w:val="en-AU"/>
        </w:rPr>
      </w:pPr>
      <w:r w:rsidRPr="00E856B0">
        <w:rPr>
          <w:lang w:val="en-AU"/>
        </w:rPr>
        <w:t xml:space="preserve">There appeared to be two </w:t>
      </w:r>
      <w:r w:rsidR="007F7372" w:rsidRPr="00E856B0">
        <w:rPr>
          <w:lang w:val="en-AU"/>
        </w:rPr>
        <w:t xml:space="preserve">main </w:t>
      </w:r>
      <w:r w:rsidRPr="00E856B0">
        <w:rPr>
          <w:lang w:val="en-AU"/>
        </w:rPr>
        <w:t xml:space="preserve">themes </w:t>
      </w:r>
      <w:r w:rsidR="007F7372" w:rsidRPr="00E856B0">
        <w:rPr>
          <w:lang w:val="en-AU"/>
        </w:rPr>
        <w:t>regarding</w:t>
      </w:r>
      <w:r w:rsidRPr="00E856B0">
        <w:rPr>
          <w:lang w:val="en-AU"/>
        </w:rPr>
        <w:t xml:space="preserve"> the less effective</w:t>
      </w:r>
      <w:r w:rsidR="0025785B" w:rsidRPr="00E856B0">
        <w:rPr>
          <w:lang w:val="en-AU"/>
        </w:rPr>
        <w:t xml:space="preserve"> aspects of the programme</w:t>
      </w:r>
      <w:r w:rsidRPr="00E856B0">
        <w:rPr>
          <w:lang w:val="en-AU"/>
        </w:rPr>
        <w:t>.</w:t>
      </w:r>
      <w:r w:rsidR="0025785B" w:rsidRPr="00E856B0">
        <w:rPr>
          <w:lang w:val="en-AU"/>
        </w:rPr>
        <w:t xml:space="preserve"> </w:t>
      </w:r>
      <w:r w:rsidRPr="00E856B0">
        <w:rPr>
          <w:lang w:val="en-AU"/>
        </w:rPr>
        <w:t xml:space="preserve">The first </w:t>
      </w:r>
      <w:r w:rsidR="007F7372" w:rsidRPr="00E856B0">
        <w:rPr>
          <w:lang w:val="en-AU"/>
        </w:rPr>
        <w:t xml:space="preserve">of these </w:t>
      </w:r>
      <w:r w:rsidRPr="00E856B0">
        <w:rPr>
          <w:lang w:val="en-AU"/>
        </w:rPr>
        <w:t xml:space="preserve">concerned </w:t>
      </w:r>
      <w:r w:rsidR="00BB5900" w:rsidRPr="00E856B0">
        <w:rPr>
          <w:lang w:val="en-AU"/>
        </w:rPr>
        <w:t>programme coverage</w:t>
      </w:r>
      <w:r w:rsidR="007F7372" w:rsidRPr="00E856B0">
        <w:rPr>
          <w:lang w:val="en-AU"/>
        </w:rPr>
        <w:t xml:space="preserve">. </w:t>
      </w:r>
    </w:p>
    <w:p w14:paraId="194FC1AF" w14:textId="28B5B606" w:rsidR="008B239F" w:rsidRPr="00E856B0" w:rsidRDefault="007F7372" w:rsidP="004F6A5A">
      <w:pPr>
        <w:spacing w:line="276" w:lineRule="auto"/>
        <w:rPr>
          <w:lang w:val="en-AU"/>
        </w:rPr>
      </w:pPr>
      <w:r w:rsidRPr="00E856B0">
        <w:rPr>
          <w:lang w:val="en-AU"/>
        </w:rPr>
        <w:t>It was noted for example, that</w:t>
      </w:r>
      <w:r w:rsidR="008B239F" w:rsidRPr="00E856B0">
        <w:rPr>
          <w:lang w:val="en-AU"/>
        </w:rPr>
        <w:t xml:space="preserve"> </w:t>
      </w:r>
      <w:r w:rsidR="00BB5900" w:rsidRPr="00E856B0">
        <w:rPr>
          <w:lang w:val="en-AU"/>
        </w:rPr>
        <w:t>recruitment and retention</w:t>
      </w:r>
      <w:r w:rsidR="008B239F" w:rsidRPr="00E856B0">
        <w:rPr>
          <w:lang w:val="en-AU"/>
        </w:rPr>
        <w:t xml:space="preserve"> </w:t>
      </w:r>
      <w:r w:rsidRPr="00E856B0">
        <w:rPr>
          <w:lang w:val="en-AU"/>
        </w:rPr>
        <w:t>was limited in some areas (</w:t>
      </w:r>
      <w:r w:rsidR="008B239F" w:rsidRPr="00E856B0">
        <w:rPr>
          <w:lang w:val="en-AU"/>
        </w:rPr>
        <w:t xml:space="preserve">particularly in </w:t>
      </w:r>
      <w:r w:rsidRPr="00E856B0">
        <w:rPr>
          <w:lang w:val="en-AU"/>
        </w:rPr>
        <w:t>remote and rural regions)</w:t>
      </w:r>
      <w:r w:rsidR="008B239F" w:rsidRPr="00E856B0">
        <w:rPr>
          <w:lang w:val="en-AU"/>
        </w:rPr>
        <w:t xml:space="preserve"> meaning that some Aboriginal </w:t>
      </w:r>
      <w:r w:rsidR="00BB5900" w:rsidRPr="00E856B0">
        <w:rPr>
          <w:lang w:val="en-AU"/>
        </w:rPr>
        <w:t xml:space="preserve">and Torres Strait Islander </w:t>
      </w:r>
      <w:r w:rsidR="008B239F" w:rsidRPr="00E856B0">
        <w:rPr>
          <w:lang w:val="en-AU"/>
        </w:rPr>
        <w:t xml:space="preserve">communities </w:t>
      </w:r>
      <w:r w:rsidR="00BB5900" w:rsidRPr="00E856B0">
        <w:rPr>
          <w:lang w:val="en-AU"/>
        </w:rPr>
        <w:t>were not as supported as others.</w:t>
      </w:r>
      <w:r w:rsidR="00377D71" w:rsidRPr="00E856B0">
        <w:rPr>
          <w:lang w:val="en-AU"/>
        </w:rPr>
        <w:t xml:space="preserve"> Insecurity regarding funding was seen as adding to the retention issue.</w:t>
      </w:r>
      <w:r w:rsidR="008B239F" w:rsidRPr="00E856B0">
        <w:rPr>
          <w:lang w:val="en-AU"/>
        </w:rPr>
        <w:t xml:space="preserve"> </w:t>
      </w:r>
      <w:r w:rsidR="00BB5900" w:rsidRPr="00E856B0">
        <w:rPr>
          <w:lang w:val="en-AU"/>
        </w:rPr>
        <w:t>In addition</w:t>
      </w:r>
      <w:r w:rsidRPr="00E856B0">
        <w:rPr>
          <w:lang w:val="en-AU"/>
        </w:rPr>
        <w:t xml:space="preserve"> </w:t>
      </w:r>
      <w:r w:rsidR="008B239F" w:rsidRPr="00E856B0">
        <w:rPr>
          <w:lang w:val="en-AU"/>
        </w:rPr>
        <w:t xml:space="preserve">anecdotal evidence from the workforce </w:t>
      </w:r>
      <w:r w:rsidRPr="00E856B0">
        <w:rPr>
          <w:lang w:val="en-AU"/>
        </w:rPr>
        <w:t xml:space="preserve">seemed to indicate </w:t>
      </w:r>
      <w:r w:rsidR="008B239F" w:rsidRPr="00E856B0">
        <w:rPr>
          <w:lang w:val="en-AU"/>
        </w:rPr>
        <w:t>some confusion around geographical boundaries between some of the teams.</w:t>
      </w:r>
      <w:r w:rsidR="00BB5900" w:rsidRPr="00E856B0">
        <w:rPr>
          <w:lang w:val="en-AU"/>
        </w:rPr>
        <w:t xml:space="preserve"> It was also noted that even</w:t>
      </w:r>
      <w:r w:rsidRPr="00E856B0">
        <w:rPr>
          <w:lang w:val="en-AU"/>
        </w:rPr>
        <w:t xml:space="preserve"> though a</w:t>
      </w:r>
      <w:r w:rsidR="008B239F" w:rsidRPr="00E856B0">
        <w:rPr>
          <w:lang w:val="en-AU"/>
        </w:rPr>
        <w:t>ctivity is meant to be state</w:t>
      </w:r>
      <w:r w:rsidRPr="00E856B0">
        <w:rPr>
          <w:lang w:val="en-AU"/>
        </w:rPr>
        <w:t>-</w:t>
      </w:r>
      <w:r w:rsidR="008B239F" w:rsidRPr="00E856B0">
        <w:rPr>
          <w:lang w:val="en-AU"/>
        </w:rPr>
        <w:t>wide</w:t>
      </w:r>
      <w:r w:rsidR="00BB5900" w:rsidRPr="00E856B0">
        <w:rPr>
          <w:lang w:val="en-AU"/>
        </w:rPr>
        <w:t>,</w:t>
      </w:r>
      <w:r w:rsidR="008B239F" w:rsidRPr="00E856B0">
        <w:rPr>
          <w:lang w:val="en-AU"/>
        </w:rPr>
        <w:t xml:space="preserve"> </w:t>
      </w:r>
      <w:r w:rsidRPr="00E856B0">
        <w:rPr>
          <w:lang w:val="en-AU"/>
        </w:rPr>
        <w:t xml:space="preserve">it </w:t>
      </w:r>
      <w:r w:rsidR="00BB5900" w:rsidRPr="00E856B0">
        <w:rPr>
          <w:lang w:val="en-AU"/>
        </w:rPr>
        <w:t>is often</w:t>
      </w:r>
      <w:r w:rsidR="008B239F" w:rsidRPr="00E856B0">
        <w:rPr>
          <w:lang w:val="en-AU"/>
        </w:rPr>
        <w:t xml:space="preserve"> limited to </w:t>
      </w:r>
      <w:r w:rsidR="00BB5900" w:rsidRPr="00E856B0">
        <w:rPr>
          <w:lang w:val="en-AU"/>
        </w:rPr>
        <w:t xml:space="preserve">the </w:t>
      </w:r>
      <w:r w:rsidR="008B239F" w:rsidRPr="00E856B0">
        <w:rPr>
          <w:lang w:val="en-AU"/>
        </w:rPr>
        <w:t xml:space="preserve">region where </w:t>
      </w:r>
      <w:r w:rsidR="00BB5900" w:rsidRPr="00E856B0">
        <w:rPr>
          <w:lang w:val="en-AU"/>
        </w:rPr>
        <w:t xml:space="preserve">the </w:t>
      </w:r>
      <w:r w:rsidR="008B239F" w:rsidRPr="00E856B0">
        <w:rPr>
          <w:lang w:val="en-AU"/>
        </w:rPr>
        <w:t>administration is set-up</w:t>
      </w:r>
      <w:r w:rsidR="00BB5900" w:rsidRPr="00E856B0">
        <w:rPr>
          <w:lang w:val="en-AU"/>
        </w:rPr>
        <w:t xml:space="preserve">. </w:t>
      </w:r>
      <w:r w:rsidR="008B239F" w:rsidRPr="00E856B0">
        <w:rPr>
          <w:lang w:val="en-AU"/>
        </w:rPr>
        <w:t xml:space="preserve"> </w:t>
      </w:r>
      <w:r w:rsidR="00BB5900" w:rsidRPr="00E856B0">
        <w:rPr>
          <w:lang w:val="en-AU"/>
        </w:rPr>
        <w:t xml:space="preserve">It was also </w:t>
      </w:r>
      <w:r w:rsidR="00BB5900" w:rsidRPr="00E856B0">
        <w:rPr>
          <w:lang w:val="en-AU"/>
        </w:rPr>
        <w:lastRenderedPageBreak/>
        <w:t xml:space="preserve">suggested that collaboration with other programs working on similar types of projects/tasks has in some states been minimal, which has led to some duplication of activity.  </w:t>
      </w:r>
      <w:r w:rsidR="00800A64" w:rsidRPr="00E856B0">
        <w:rPr>
          <w:lang w:val="en-AU"/>
        </w:rPr>
        <w:t xml:space="preserve">It was </w:t>
      </w:r>
      <w:r w:rsidR="00844E15" w:rsidRPr="00E856B0">
        <w:rPr>
          <w:lang w:val="en-AU"/>
        </w:rPr>
        <w:t xml:space="preserve">felt </w:t>
      </w:r>
      <w:r w:rsidR="00800A64" w:rsidRPr="00E856B0">
        <w:rPr>
          <w:lang w:val="en-AU"/>
        </w:rPr>
        <w:t xml:space="preserve">that better integration of the TIS&amp;HL workforce </w:t>
      </w:r>
      <w:r w:rsidR="00BB5900" w:rsidRPr="00E856B0">
        <w:rPr>
          <w:lang w:val="en-AU"/>
        </w:rPr>
        <w:t>into the team structure in Aboriginal Medical Services</w:t>
      </w:r>
      <w:r w:rsidR="00800A64" w:rsidRPr="00E856B0">
        <w:rPr>
          <w:lang w:val="en-AU"/>
        </w:rPr>
        <w:t xml:space="preserve">, and an increased </w:t>
      </w:r>
      <w:r w:rsidR="008B239F" w:rsidRPr="00E856B0">
        <w:rPr>
          <w:lang w:val="en-AU"/>
        </w:rPr>
        <w:t>focus on forming strong governance and partnership structures within jurisdictions to help guide collaboration and effort</w:t>
      </w:r>
      <w:r w:rsidR="00800A64" w:rsidRPr="00E856B0">
        <w:rPr>
          <w:lang w:val="en-AU"/>
        </w:rPr>
        <w:t xml:space="preserve"> was </w:t>
      </w:r>
      <w:r w:rsidR="008B239F" w:rsidRPr="00E856B0">
        <w:rPr>
          <w:lang w:val="en-AU"/>
        </w:rPr>
        <w:t>essential for the successful delivery of effective and sustainable programmes to help reduce smoking and increase healthy lifestyle behaviours.</w:t>
      </w:r>
      <w:r w:rsidR="00A073A2" w:rsidRPr="00E856B0">
        <w:rPr>
          <w:lang w:val="en-AU"/>
        </w:rPr>
        <w:t xml:space="preserve">  </w:t>
      </w:r>
      <w:r w:rsidR="00377D71" w:rsidRPr="00E856B0">
        <w:rPr>
          <w:lang w:val="en-AU"/>
        </w:rPr>
        <w:t xml:space="preserve">For example linking in with </w:t>
      </w:r>
      <w:r w:rsidR="00042582">
        <w:rPr>
          <w:lang w:val="en-AU"/>
        </w:rPr>
        <w:t xml:space="preserve">clinical </w:t>
      </w:r>
      <w:r w:rsidR="00377D71" w:rsidRPr="00E856B0">
        <w:rPr>
          <w:lang w:val="en-AU"/>
        </w:rPr>
        <w:t>cessation services was seen as essential so that once people are motivated, they are able to access practical help with quitting.</w:t>
      </w:r>
      <w:r w:rsidR="00042582">
        <w:rPr>
          <w:lang w:val="en-AU"/>
        </w:rPr>
        <w:t xml:space="preserve"> </w:t>
      </w:r>
      <w:r w:rsidR="00042582" w:rsidRPr="00ED08C0">
        <w:rPr>
          <w:lang w:val="en-AU"/>
        </w:rPr>
        <w:t xml:space="preserve">It was also suggested that local health workers in remote areas should be trained to dispense NRT to enable a more timely provision of </w:t>
      </w:r>
      <w:r w:rsidR="00C71EAE" w:rsidRPr="00ED08C0">
        <w:rPr>
          <w:lang w:val="en-AU"/>
        </w:rPr>
        <w:t xml:space="preserve">medication to support people attempting to quit.  Indeed, ensuring people in remote and isolated areas get timely follow-up from both AMSs and mainstream health services was seen as a priority.  </w:t>
      </w:r>
      <w:r w:rsidR="00A073A2" w:rsidRPr="00ED08C0">
        <w:rPr>
          <w:lang w:val="en-AU"/>
        </w:rPr>
        <w:t xml:space="preserve">Essentially it was felt that a large </w:t>
      </w:r>
      <w:r w:rsidR="00A073A2" w:rsidRPr="00E856B0">
        <w:rPr>
          <w:lang w:val="en-AU"/>
        </w:rPr>
        <w:t>collective effort was</w:t>
      </w:r>
      <w:r w:rsidR="008B239F" w:rsidRPr="00E856B0">
        <w:rPr>
          <w:lang w:val="en-AU"/>
        </w:rPr>
        <w:t xml:space="preserve"> needed for the best future outcomes in both policy development and program</w:t>
      </w:r>
      <w:r w:rsidR="00A073A2" w:rsidRPr="00E856B0">
        <w:rPr>
          <w:lang w:val="en-AU"/>
        </w:rPr>
        <w:t>me</w:t>
      </w:r>
      <w:r w:rsidR="008B239F" w:rsidRPr="00E856B0">
        <w:rPr>
          <w:lang w:val="en-AU"/>
        </w:rPr>
        <w:t xml:space="preserve"> implementation. </w:t>
      </w:r>
    </w:p>
    <w:p w14:paraId="29AA3470" w14:textId="1FA96A3F" w:rsidR="00C71EAE" w:rsidRPr="00ED08C0" w:rsidRDefault="00A073A2" w:rsidP="00C71EAE">
      <w:pPr>
        <w:spacing w:line="276" w:lineRule="auto"/>
        <w:rPr>
          <w:lang w:val="en-AU"/>
        </w:rPr>
      </w:pPr>
      <w:r w:rsidRPr="00E856B0">
        <w:rPr>
          <w:lang w:val="en-AU"/>
        </w:rPr>
        <w:t xml:space="preserve">The second issue concerned </w:t>
      </w:r>
      <w:r w:rsidR="00845491" w:rsidRPr="00E856B0">
        <w:rPr>
          <w:lang w:val="en-AU"/>
        </w:rPr>
        <w:t>the programme evidence base.  Primarily this related to the lack of evidence for some programme activities. For</w:t>
      </w:r>
      <w:r w:rsidR="00A932A5" w:rsidRPr="00E856B0">
        <w:rPr>
          <w:lang w:val="en-AU"/>
        </w:rPr>
        <w:t xml:space="preserve"> example, it was suggested that</w:t>
      </w:r>
      <w:r w:rsidR="00845491" w:rsidRPr="00E856B0">
        <w:rPr>
          <w:lang w:val="en-AU"/>
        </w:rPr>
        <w:t xml:space="preserve"> there had been a lot of effort put into educating children about dangers of smoking, even though the evidence for this </w:t>
      </w:r>
      <w:r w:rsidR="00DC36F5" w:rsidRPr="00E856B0">
        <w:rPr>
          <w:lang w:val="en-AU"/>
        </w:rPr>
        <w:t>approach</w:t>
      </w:r>
      <w:r w:rsidR="00845491" w:rsidRPr="00E856B0">
        <w:rPr>
          <w:lang w:val="en-AU"/>
        </w:rPr>
        <w:t xml:space="preserve"> is weak from other settings. </w:t>
      </w:r>
      <w:r w:rsidR="00A932A5" w:rsidRPr="00E856B0">
        <w:rPr>
          <w:lang w:val="en-AU"/>
        </w:rPr>
        <w:t xml:space="preserve">It was also indicated that some activities had </w:t>
      </w:r>
      <w:r w:rsidR="00845491" w:rsidRPr="00E856B0">
        <w:rPr>
          <w:lang w:val="en-AU"/>
        </w:rPr>
        <w:t xml:space="preserve">been 'invented' to suit </w:t>
      </w:r>
      <w:r w:rsidR="00A932A5" w:rsidRPr="00E856B0">
        <w:rPr>
          <w:lang w:val="en-AU"/>
        </w:rPr>
        <w:t xml:space="preserve">local conditions and opinions. For instance, evidence was presented which suggested that </w:t>
      </w:r>
      <w:r w:rsidR="00845491" w:rsidRPr="00E856B0">
        <w:rPr>
          <w:lang w:val="en-AU"/>
        </w:rPr>
        <w:t xml:space="preserve">pregnant women </w:t>
      </w:r>
      <w:r w:rsidR="00DC36F5" w:rsidRPr="00E856B0">
        <w:rPr>
          <w:lang w:val="en-AU"/>
        </w:rPr>
        <w:t>were</w:t>
      </w:r>
      <w:r w:rsidR="00845491" w:rsidRPr="00E856B0">
        <w:rPr>
          <w:lang w:val="en-AU"/>
        </w:rPr>
        <w:t xml:space="preserve"> being advised to cut down rathe</w:t>
      </w:r>
      <w:r w:rsidR="00DC36F5" w:rsidRPr="00E856B0">
        <w:rPr>
          <w:lang w:val="en-AU"/>
        </w:rPr>
        <w:t>r than quit, which is</w:t>
      </w:r>
      <w:r w:rsidR="00845491" w:rsidRPr="00E856B0">
        <w:rPr>
          <w:lang w:val="en-AU"/>
        </w:rPr>
        <w:t xml:space="preserve"> inconsistent with the evidence for </w:t>
      </w:r>
      <w:r w:rsidR="00F26B7C">
        <w:rPr>
          <w:lang w:val="en-AU"/>
        </w:rPr>
        <w:t xml:space="preserve">what works in </w:t>
      </w:r>
      <w:r w:rsidR="00845491" w:rsidRPr="00E856B0">
        <w:rPr>
          <w:lang w:val="en-AU"/>
        </w:rPr>
        <w:t xml:space="preserve">antenatal smoking cessation. </w:t>
      </w:r>
      <w:r w:rsidR="00A932A5" w:rsidRPr="00E856B0">
        <w:rPr>
          <w:lang w:val="en-AU"/>
        </w:rPr>
        <w:t>In addition</w:t>
      </w:r>
      <w:r w:rsidR="00845491" w:rsidRPr="00E856B0">
        <w:rPr>
          <w:lang w:val="en-AU"/>
        </w:rPr>
        <w:t xml:space="preserve"> the lack of evidence for</w:t>
      </w:r>
      <w:r w:rsidR="00820141">
        <w:rPr>
          <w:lang w:val="en-AU"/>
        </w:rPr>
        <w:t xml:space="preserve"> what</w:t>
      </w:r>
      <w:r w:rsidR="00845491" w:rsidRPr="00E856B0">
        <w:rPr>
          <w:lang w:val="en-AU"/>
        </w:rPr>
        <w:t xml:space="preserve"> </w:t>
      </w:r>
      <w:r w:rsidR="00F26B7C">
        <w:rPr>
          <w:lang w:val="en-AU"/>
        </w:rPr>
        <w:t>is effective</w:t>
      </w:r>
      <w:r w:rsidR="00845491" w:rsidRPr="00E856B0">
        <w:rPr>
          <w:lang w:val="en-AU"/>
        </w:rPr>
        <w:t xml:space="preserve"> </w:t>
      </w:r>
      <w:r w:rsidR="00DC36F5" w:rsidRPr="00E856B0">
        <w:rPr>
          <w:lang w:val="en-AU"/>
        </w:rPr>
        <w:t>in Indigenous tobacco control was seen as</w:t>
      </w:r>
      <w:r w:rsidR="00377D71" w:rsidRPr="00E856B0">
        <w:rPr>
          <w:lang w:val="en-AU"/>
        </w:rPr>
        <w:t xml:space="preserve"> a major impediment; the lack </w:t>
      </w:r>
      <w:r w:rsidR="00845491" w:rsidRPr="00E856B0">
        <w:rPr>
          <w:lang w:val="en-AU"/>
        </w:rPr>
        <w:t xml:space="preserve"> </w:t>
      </w:r>
      <w:r w:rsidR="00377D71" w:rsidRPr="00E856B0">
        <w:rPr>
          <w:lang w:val="en-AU"/>
        </w:rPr>
        <w:t>of a</w:t>
      </w:r>
      <w:r w:rsidR="00845491" w:rsidRPr="00E856B0">
        <w:rPr>
          <w:lang w:val="en-AU"/>
        </w:rPr>
        <w:t xml:space="preserve"> rigorous evaluation and research component with</w:t>
      </w:r>
      <w:r w:rsidR="00377D71" w:rsidRPr="00E856B0">
        <w:rPr>
          <w:lang w:val="en-AU"/>
        </w:rPr>
        <w:t>in the programme with</w:t>
      </w:r>
      <w:r w:rsidR="00845491" w:rsidRPr="00E856B0">
        <w:rPr>
          <w:lang w:val="en-AU"/>
        </w:rPr>
        <w:t xml:space="preserve"> which to generate strong e</w:t>
      </w:r>
      <w:r w:rsidR="00377D71" w:rsidRPr="00E856B0">
        <w:rPr>
          <w:lang w:val="en-AU"/>
        </w:rPr>
        <w:t>vidence of what actually works was lamented.</w:t>
      </w:r>
      <w:r w:rsidR="00C71EAE">
        <w:rPr>
          <w:lang w:val="en-AU"/>
        </w:rPr>
        <w:t xml:space="preserve"> The introduction of </w:t>
      </w:r>
      <w:r w:rsidR="00C71EAE" w:rsidRPr="00ED08C0">
        <w:rPr>
          <w:lang w:val="en-AU"/>
        </w:rPr>
        <w:t>national monitoring and standardised reporting of programme activities was suggested as one way forward with this.  It was also noted that a more rigorous approach to collecting smoking data during health checks would help provide evidence as to whether or not the programme is working.</w:t>
      </w:r>
      <w:r w:rsidR="00607948" w:rsidRPr="00ED08C0">
        <w:rPr>
          <w:lang w:val="en-AU"/>
        </w:rPr>
        <w:t xml:space="preserve"> This information could then be used to help drive the change. </w:t>
      </w:r>
      <w:r w:rsidR="00C71EAE" w:rsidRPr="00ED08C0">
        <w:rPr>
          <w:lang w:val="en-AU"/>
        </w:rPr>
        <w:t xml:space="preserve"> It </w:t>
      </w:r>
      <w:r w:rsidR="00607948" w:rsidRPr="00ED08C0">
        <w:rPr>
          <w:lang w:val="en-AU"/>
        </w:rPr>
        <w:t>was proposed</w:t>
      </w:r>
      <w:r w:rsidR="00C71EAE" w:rsidRPr="00ED08C0">
        <w:rPr>
          <w:lang w:val="en-AU"/>
        </w:rPr>
        <w:t xml:space="preserve"> that rather than asking a limited polar question such</w:t>
      </w:r>
      <w:r w:rsidR="00607948" w:rsidRPr="00ED08C0">
        <w:rPr>
          <w:lang w:val="en-AU"/>
        </w:rPr>
        <w:t xml:space="preserve"> as ‘Do you smoke?’</w:t>
      </w:r>
      <w:r w:rsidR="00C71EAE" w:rsidRPr="00ED08C0">
        <w:rPr>
          <w:lang w:val="en-AU"/>
        </w:rPr>
        <w:t xml:space="preserve"> more de</w:t>
      </w:r>
      <w:r w:rsidR="00607948" w:rsidRPr="00ED08C0">
        <w:rPr>
          <w:lang w:val="en-AU"/>
        </w:rPr>
        <w:t>tailed questions around smoking status and</w:t>
      </w:r>
      <w:r w:rsidR="00C71EAE" w:rsidRPr="00ED08C0">
        <w:rPr>
          <w:lang w:val="en-AU"/>
        </w:rPr>
        <w:t xml:space="preserve"> quit attempts</w:t>
      </w:r>
      <w:r w:rsidR="00607948" w:rsidRPr="00ED08C0">
        <w:rPr>
          <w:lang w:val="en-AU"/>
        </w:rPr>
        <w:t xml:space="preserve"> was needed.</w:t>
      </w:r>
    </w:p>
    <w:p w14:paraId="528C4198" w14:textId="22EACF96" w:rsidR="00237842" w:rsidRPr="00E856B0" w:rsidRDefault="007B46BD" w:rsidP="00096EA3">
      <w:pPr>
        <w:pStyle w:val="Heading3"/>
        <w:rPr>
          <w:noProof/>
        </w:rPr>
      </w:pPr>
      <w:r>
        <w:rPr>
          <w:noProof/>
        </w:rPr>
        <w:t>d) S</w:t>
      </w:r>
      <w:r w:rsidR="00377D71" w:rsidRPr="00E856B0">
        <w:rPr>
          <w:noProof/>
        </w:rPr>
        <w:t>ustainibility of the Programme</w:t>
      </w:r>
    </w:p>
    <w:p w14:paraId="69BD3391" w14:textId="6B598E18" w:rsidR="00237842" w:rsidRPr="00E856B0" w:rsidRDefault="008544FE" w:rsidP="004F6A5A">
      <w:pPr>
        <w:spacing w:line="276" w:lineRule="auto"/>
        <w:rPr>
          <w:lang w:val="en-AU"/>
        </w:rPr>
      </w:pPr>
      <w:r w:rsidRPr="00E856B0">
        <w:rPr>
          <w:lang w:val="en-AU"/>
        </w:rPr>
        <w:t>The majo</w:t>
      </w:r>
      <w:r w:rsidR="00C20BCE" w:rsidRPr="00E856B0">
        <w:rPr>
          <w:lang w:val="en-AU"/>
        </w:rPr>
        <w:t xml:space="preserve">rity of industry experts (57.1%) </w:t>
      </w:r>
      <w:r w:rsidRPr="00E856B0">
        <w:rPr>
          <w:lang w:val="en-AU"/>
        </w:rPr>
        <w:t>felt the programme was sustainable</w:t>
      </w:r>
      <w:r w:rsidR="00C20BCE" w:rsidRPr="00E856B0">
        <w:rPr>
          <w:lang w:val="en-AU"/>
        </w:rPr>
        <w:t>, whilst 35.1% were unsure about its sustainability and 7.1% were sure it was not sustainable.</w:t>
      </w:r>
    </w:p>
    <w:p w14:paraId="0901FE00" w14:textId="6A194D0C" w:rsidR="00D0365F" w:rsidRPr="00E856B0" w:rsidRDefault="00AC3E5D" w:rsidP="004F6A5A">
      <w:pPr>
        <w:spacing w:line="276" w:lineRule="auto"/>
        <w:rPr>
          <w:lang w:val="en-AU"/>
        </w:rPr>
      </w:pPr>
      <w:r w:rsidRPr="00E856B0">
        <w:rPr>
          <w:lang w:val="en-AU"/>
        </w:rPr>
        <w:t>The importance of sustaining the programme in order to maintain the national reduction in smoking rates</w:t>
      </w:r>
      <w:r w:rsidR="00964B00" w:rsidRPr="00E856B0">
        <w:rPr>
          <w:lang w:val="en-AU"/>
        </w:rPr>
        <w:t xml:space="preserve"> was agreed</w:t>
      </w:r>
      <w:r w:rsidRPr="00E856B0">
        <w:rPr>
          <w:lang w:val="en-AU"/>
        </w:rPr>
        <w:t>, however respondents were cle</w:t>
      </w:r>
      <w:r w:rsidR="00964B00" w:rsidRPr="00E856B0">
        <w:rPr>
          <w:lang w:val="en-AU"/>
        </w:rPr>
        <w:t>a</w:t>
      </w:r>
      <w:r w:rsidRPr="00E856B0">
        <w:rPr>
          <w:lang w:val="en-AU"/>
        </w:rPr>
        <w:t>r that with</w:t>
      </w:r>
      <w:r w:rsidR="00505392" w:rsidRPr="00E856B0">
        <w:rPr>
          <w:lang w:val="en-AU"/>
        </w:rPr>
        <w:t xml:space="preserve">out Federal </w:t>
      </w:r>
      <w:r w:rsidR="00964B00" w:rsidRPr="00E856B0">
        <w:rPr>
          <w:lang w:val="en-AU"/>
        </w:rPr>
        <w:t>government</w:t>
      </w:r>
      <w:r w:rsidR="00505392" w:rsidRPr="00E856B0">
        <w:rPr>
          <w:lang w:val="en-AU"/>
        </w:rPr>
        <w:t xml:space="preserve"> support </w:t>
      </w:r>
      <w:r w:rsidR="00964B00" w:rsidRPr="00E856B0">
        <w:rPr>
          <w:lang w:val="en-AU"/>
        </w:rPr>
        <w:t>and funding,</w:t>
      </w:r>
      <w:r w:rsidR="005004C1" w:rsidRPr="00E856B0">
        <w:rPr>
          <w:lang w:val="en-AU"/>
        </w:rPr>
        <w:t xml:space="preserve"> </w:t>
      </w:r>
      <w:r w:rsidR="00505392" w:rsidRPr="00E856B0">
        <w:rPr>
          <w:lang w:val="en-AU"/>
        </w:rPr>
        <w:t>the program</w:t>
      </w:r>
      <w:r w:rsidR="00964B00" w:rsidRPr="00E856B0">
        <w:rPr>
          <w:lang w:val="en-AU"/>
        </w:rPr>
        <w:t>me</w:t>
      </w:r>
      <w:r w:rsidR="00505392" w:rsidRPr="00E856B0">
        <w:rPr>
          <w:lang w:val="en-AU"/>
        </w:rPr>
        <w:t xml:space="preserve"> </w:t>
      </w:r>
      <w:r w:rsidR="00964B00" w:rsidRPr="00E856B0">
        <w:rPr>
          <w:lang w:val="en-AU"/>
        </w:rPr>
        <w:t xml:space="preserve">would </w:t>
      </w:r>
      <w:r w:rsidRPr="00E856B0">
        <w:rPr>
          <w:lang w:val="en-AU"/>
        </w:rPr>
        <w:t xml:space="preserve">be </w:t>
      </w:r>
      <w:r w:rsidR="00964B00" w:rsidRPr="00E856B0">
        <w:rPr>
          <w:lang w:val="en-AU"/>
        </w:rPr>
        <w:t>un</w:t>
      </w:r>
      <w:r w:rsidRPr="00E856B0">
        <w:rPr>
          <w:lang w:val="en-AU"/>
        </w:rPr>
        <w:t xml:space="preserve">able to continue.  </w:t>
      </w:r>
      <w:r w:rsidR="00964B00" w:rsidRPr="00E856B0">
        <w:rPr>
          <w:lang w:val="en-AU"/>
        </w:rPr>
        <w:t xml:space="preserve">It was seen as important that </w:t>
      </w:r>
      <w:r w:rsidRPr="00E856B0">
        <w:rPr>
          <w:lang w:val="en-AU"/>
        </w:rPr>
        <w:t xml:space="preserve">tobacco control </w:t>
      </w:r>
      <w:r w:rsidR="00964B00" w:rsidRPr="00E856B0">
        <w:rPr>
          <w:lang w:val="en-AU"/>
        </w:rPr>
        <w:t xml:space="preserve">was kept </w:t>
      </w:r>
      <w:r w:rsidRPr="00E856B0">
        <w:rPr>
          <w:lang w:val="en-AU"/>
        </w:rPr>
        <w:t xml:space="preserve">near the top of the agenda for some years to sustain falls in smoking prevalence, </w:t>
      </w:r>
      <w:r w:rsidR="00964B00" w:rsidRPr="00E856B0">
        <w:rPr>
          <w:lang w:val="en-AU"/>
        </w:rPr>
        <w:t>and so</w:t>
      </w:r>
      <w:r w:rsidRPr="00E856B0">
        <w:rPr>
          <w:lang w:val="en-AU"/>
        </w:rPr>
        <w:t xml:space="preserve"> reduce the number of avoidable Aboriginal </w:t>
      </w:r>
      <w:r w:rsidR="00964B00" w:rsidRPr="00E856B0">
        <w:rPr>
          <w:lang w:val="en-AU"/>
        </w:rPr>
        <w:t xml:space="preserve">and Torres Strait Islander deaths due to smoking.  </w:t>
      </w:r>
      <w:r w:rsidR="00D0365F" w:rsidRPr="00E856B0">
        <w:rPr>
          <w:lang w:val="en-AU"/>
        </w:rPr>
        <w:t xml:space="preserve">Respondents observed that large smoking prevalence reductions among the broader Australian population have been achieved only through sustained commitment over many decades to funding tobacco control activities such as social marketing campaigns and dedicated support services. This same commitment is needed for the Aboriginal and Torres Strait </w:t>
      </w:r>
      <w:r w:rsidR="00B54B44">
        <w:rPr>
          <w:lang w:val="en-AU"/>
        </w:rPr>
        <w:t>I</w:t>
      </w:r>
      <w:r w:rsidR="00D0365F" w:rsidRPr="00E856B0">
        <w:rPr>
          <w:lang w:val="en-AU"/>
        </w:rPr>
        <w:t xml:space="preserve">slander population. </w:t>
      </w:r>
    </w:p>
    <w:p w14:paraId="3900672E" w14:textId="1005EEFA" w:rsidR="00505392" w:rsidRPr="00E856B0" w:rsidRDefault="00D0365F" w:rsidP="004F6A5A">
      <w:pPr>
        <w:spacing w:line="276" w:lineRule="auto"/>
        <w:rPr>
          <w:lang w:val="en-AU"/>
        </w:rPr>
      </w:pPr>
      <w:r w:rsidRPr="00E856B0">
        <w:rPr>
          <w:lang w:val="en-AU"/>
        </w:rPr>
        <w:t xml:space="preserve">It was therefore felt that reaching the national target of halving the smoking rate among the Indigenous population by 2018, required a long-term funding strategy.  </w:t>
      </w:r>
      <w:r w:rsidR="00964B00" w:rsidRPr="00E856B0">
        <w:rPr>
          <w:lang w:val="en-AU"/>
        </w:rPr>
        <w:t xml:space="preserve">One respondent believed that the </w:t>
      </w:r>
      <w:r w:rsidR="00AC3E5D" w:rsidRPr="00E856B0">
        <w:rPr>
          <w:lang w:val="en-AU"/>
        </w:rPr>
        <w:t xml:space="preserve">funding </w:t>
      </w:r>
      <w:r w:rsidR="00964B00" w:rsidRPr="00E856B0">
        <w:rPr>
          <w:lang w:val="en-AU"/>
        </w:rPr>
        <w:t>was</w:t>
      </w:r>
      <w:r w:rsidR="00AC3E5D" w:rsidRPr="00E856B0">
        <w:rPr>
          <w:lang w:val="en-AU"/>
        </w:rPr>
        <w:t xml:space="preserve"> sustainable</w:t>
      </w:r>
      <w:r w:rsidR="00964B00" w:rsidRPr="00E856B0">
        <w:rPr>
          <w:lang w:val="en-AU"/>
        </w:rPr>
        <w:t>, having</w:t>
      </w:r>
      <w:r w:rsidR="00AC3E5D" w:rsidRPr="00E856B0">
        <w:rPr>
          <w:lang w:val="en-AU"/>
        </w:rPr>
        <w:t xml:space="preserve"> estimated that Aboriginal </w:t>
      </w:r>
      <w:r w:rsidR="00964B00" w:rsidRPr="00E856B0">
        <w:rPr>
          <w:lang w:val="en-AU"/>
        </w:rPr>
        <w:t>and</w:t>
      </w:r>
      <w:r w:rsidR="00AC3E5D" w:rsidRPr="00E856B0">
        <w:rPr>
          <w:lang w:val="en-AU"/>
        </w:rPr>
        <w:t xml:space="preserve"> Torres Strait Islander smokers will pay a</w:t>
      </w:r>
      <w:r w:rsidR="00964B00" w:rsidRPr="00E856B0">
        <w:rPr>
          <w:lang w:val="en-AU"/>
        </w:rPr>
        <w:t>pproximately</w:t>
      </w:r>
      <w:r w:rsidR="00AC3E5D" w:rsidRPr="00E856B0">
        <w:rPr>
          <w:lang w:val="en-AU"/>
        </w:rPr>
        <w:t xml:space="preserve"> $330m in tobacco tax excise to </w:t>
      </w:r>
      <w:r w:rsidR="00964B00" w:rsidRPr="00E856B0">
        <w:rPr>
          <w:lang w:val="en-AU"/>
        </w:rPr>
        <w:t>the</w:t>
      </w:r>
      <w:r w:rsidR="00AC3E5D" w:rsidRPr="00E856B0">
        <w:rPr>
          <w:lang w:val="en-AU"/>
        </w:rPr>
        <w:t xml:space="preserve"> Commonwealth </w:t>
      </w:r>
      <w:r w:rsidR="00964B00" w:rsidRPr="00E856B0">
        <w:rPr>
          <w:lang w:val="en-AU"/>
        </w:rPr>
        <w:t>and</w:t>
      </w:r>
      <w:r w:rsidR="00AC3E5D" w:rsidRPr="00E856B0">
        <w:rPr>
          <w:lang w:val="en-AU"/>
        </w:rPr>
        <w:t xml:space="preserve"> $65m in GST. </w:t>
      </w:r>
      <w:r w:rsidR="00964B00" w:rsidRPr="00E856B0">
        <w:rPr>
          <w:lang w:val="en-AU"/>
        </w:rPr>
        <w:t xml:space="preserve">It was noted that </w:t>
      </w:r>
      <w:r w:rsidR="00AC3E5D" w:rsidRPr="00E856B0">
        <w:rPr>
          <w:lang w:val="en-AU"/>
        </w:rPr>
        <w:t xml:space="preserve">even with some falls in </w:t>
      </w:r>
      <w:r w:rsidR="00964B00" w:rsidRPr="00E856B0">
        <w:rPr>
          <w:lang w:val="en-AU"/>
        </w:rPr>
        <w:t>smoking</w:t>
      </w:r>
      <w:r w:rsidR="00AC3E5D" w:rsidRPr="00E856B0">
        <w:rPr>
          <w:lang w:val="en-AU"/>
        </w:rPr>
        <w:t xml:space="preserve"> prevalence</w:t>
      </w:r>
      <w:r w:rsidR="00964B00" w:rsidRPr="00E856B0">
        <w:rPr>
          <w:lang w:val="en-AU"/>
        </w:rPr>
        <w:t xml:space="preserve"> the</w:t>
      </w:r>
      <w:r w:rsidRPr="00E856B0">
        <w:rPr>
          <w:lang w:val="en-AU"/>
        </w:rPr>
        <w:t xml:space="preserve"> amount of excise wou</w:t>
      </w:r>
      <w:r w:rsidR="00964B00" w:rsidRPr="00E856B0">
        <w:rPr>
          <w:lang w:val="en-AU"/>
        </w:rPr>
        <w:t>l</w:t>
      </w:r>
      <w:r w:rsidRPr="00E856B0">
        <w:rPr>
          <w:lang w:val="en-AU"/>
        </w:rPr>
        <w:t>d</w:t>
      </w:r>
      <w:r w:rsidR="00964B00" w:rsidRPr="00E856B0">
        <w:rPr>
          <w:lang w:val="en-AU"/>
        </w:rPr>
        <w:t xml:space="preserve"> increase due to planned tax rises</w:t>
      </w:r>
      <w:r w:rsidR="00AC3E5D" w:rsidRPr="00E856B0">
        <w:rPr>
          <w:lang w:val="en-AU"/>
        </w:rPr>
        <w:t>.</w:t>
      </w:r>
    </w:p>
    <w:p w14:paraId="5BEA70F5" w14:textId="12393B9C" w:rsidR="00237842" w:rsidRPr="00E856B0" w:rsidRDefault="00DB3E21" w:rsidP="004F6A5A">
      <w:pPr>
        <w:spacing w:line="276" w:lineRule="auto"/>
        <w:rPr>
          <w:lang w:val="en-AU"/>
        </w:rPr>
      </w:pPr>
      <w:r w:rsidRPr="00E856B0">
        <w:rPr>
          <w:lang w:val="en-AU"/>
        </w:rPr>
        <w:lastRenderedPageBreak/>
        <w:t>It was also agreed that the development of a</w:t>
      </w:r>
      <w:r w:rsidR="005004C1" w:rsidRPr="00E856B0">
        <w:rPr>
          <w:lang w:val="en-AU"/>
        </w:rPr>
        <w:t xml:space="preserve"> skilled </w:t>
      </w:r>
      <w:r w:rsidRPr="00E856B0">
        <w:rPr>
          <w:lang w:val="en-AU"/>
        </w:rPr>
        <w:t xml:space="preserve">health promotion </w:t>
      </w:r>
      <w:r w:rsidR="005004C1" w:rsidRPr="00E856B0">
        <w:rPr>
          <w:lang w:val="en-AU"/>
        </w:rPr>
        <w:t xml:space="preserve">workforce, with </w:t>
      </w:r>
      <w:r w:rsidRPr="00E856B0">
        <w:rPr>
          <w:lang w:val="en-AU"/>
        </w:rPr>
        <w:t xml:space="preserve">strong knowledge in tobacco control and a </w:t>
      </w:r>
      <w:r w:rsidR="005004C1" w:rsidRPr="00E856B0">
        <w:rPr>
          <w:lang w:val="en-AU"/>
        </w:rPr>
        <w:t>clear oppo</w:t>
      </w:r>
      <w:r w:rsidRPr="00E856B0">
        <w:rPr>
          <w:lang w:val="en-AU"/>
        </w:rPr>
        <w:t>rtunity for career progression, wa</w:t>
      </w:r>
      <w:r w:rsidR="005004C1" w:rsidRPr="00E856B0">
        <w:rPr>
          <w:lang w:val="en-AU"/>
        </w:rPr>
        <w:t>s one of the major impact</w:t>
      </w:r>
      <w:r w:rsidRPr="00E856B0">
        <w:rPr>
          <w:lang w:val="en-AU"/>
        </w:rPr>
        <w:t xml:space="preserve">s on the sector in recent years, having </w:t>
      </w:r>
      <w:r w:rsidR="005004C1" w:rsidRPr="00E856B0">
        <w:rPr>
          <w:lang w:val="en-AU"/>
        </w:rPr>
        <w:t xml:space="preserve">the potential to </w:t>
      </w:r>
      <w:r w:rsidRPr="00E856B0">
        <w:rPr>
          <w:lang w:val="en-AU"/>
        </w:rPr>
        <w:t>ensure</w:t>
      </w:r>
      <w:r w:rsidR="005004C1" w:rsidRPr="00E856B0">
        <w:rPr>
          <w:lang w:val="en-AU"/>
        </w:rPr>
        <w:t xml:space="preserve"> </w:t>
      </w:r>
      <w:r w:rsidRPr="00E856B0">
        <w:rPr>
          <w:lang w:val="en-AU"/>
        </w:rPr>
        <w:t>influence</w:t>
      </w:r>
      <w:r w:rsidR="005004C1" w:rsidRPr="00E856B0">
        <w:rPr>
          <w:lang w:val="en-AU"/>
        </w:rPr>
        <w:t xml:space="preserve"> on population health outcomes into the future.</w:t>
      </w:r>
      <w:r w:rsidRPr="00E856B0">
        <w:rPr>
          <w:lang w:val="en-AU"/>
        </w:rPr>
        <w:t xml:space="preserve"> </w:t>
      </w:r>
      <w:r w:rsidR="00AC74C8" w:rsidRPr="00E856B0">
        <w:rPr>
          <w:lang w:val="en-AU"/>
        </w:rPr>
        <w:t xml:space="preserve">The importance of allowing the workforce to adapt to meet the changing needs of communities was also raised; in some communities the focus should no longer be on de-normalisation of smoking but rather on supporting action. </w:t>
      </w:r>
      <w:r w:rsidR="002A7D80" w:rsidRPr="00E856B0">
        <w:rPr>
          <w:lang w:val="en-AU"/>
        </w:rPr>
        <w:t xml:space="preserve">It was felt that this would require new and different kinds of support for some (particularly disadvantaged) communities. </w:t>
      </w:r>
      <w:r w:rsidRPr="00E856B0">
        <w:rPr>
          <w:lang w:val="en-AU"/>
        </w:rPr>
        <w:t xml:space="preserve">However, it was also noted that </w:t>
      </w:r>
      <w:r w:rsidR="002A7D80" w:rsidRPr="00E856B0">
        <w:rPr>
          <w:lang w:val="en-AU"/>
        </w:rPr>
        <w:t>workforce development</w:t>
      </w:r>
      <w:r w:rsidRPr="00E856B0">
        <w:rPr>
          <w:lang w:val="en-AU"/>
        </w:rPr>
        <w:t xml:space="preserve"> had</w:t>
      </w:r>
      <w:r w:rsidR="00505392" w:rsidRPr="00E856B0">
        <w:rPr>
          <w:lang w:val="en-AU"/>
        </w:rPr>
        <w:t xml:space="preserve"> been jeopardised over the last year due to </w:t>
      </w:r>
      <w:r w:rsidRPr="00E856B0">
        <w:rPr>
          <w:lang w:val="en-AU"/>
        </w:rPr>
        <w:t>funding</w:t>
      </w:r>
      <w:r w:rsidR="00505392" w:rsidRPr="00E856B0">
        <w:rPr>
          <w:lang w:val="en-AU"/>
        </w:rPr>
        <w:t xml:space="preserve"> uncertainty </w:t>
      </w:r>
      <w:r w:rsidRPr="00E856B0">
        <w:rPr>
          <w:lang w:val="en-AU"/>
        </w:rPr>
        <w:t>related to the election, changes in government, and</w:t>
      </w:r>
      <w:r w:rsidR="00505392" w:rsidRPr="00E856B0">
        <w:rPr>
          <w:lang w:val="en-AU"/>
        </w:rPr>
        <w:t xml:space="preserve"> budget cuts. </w:t>
      </w:r>
      <w:r w:rsidRPr="00E856B0">
        <w:rPr>
          <w:lang w:val="en-AU"/>
        </w:rPr>
        <w:t>Concern was also expressed that if such</w:t>
      </w:r>
      <w:r w:rsidR="00505392" w:rsidRPr="00E856B0">
        <w:rPr>
          <w:lang w:val="en-AU"/>
        </w:rPr>
        <w:t xml:space="preserve"> uncertainty </w:t>
      </w:r>
      <w:r w:rsidR="00AC74C8" w:rsidRPr="00E856B0">
        <w:rPr>
          <w:lang w:val="en-AU"/>
        </w:rPr>
        <w:t>were to continue</w:t>
      </w:r>
      <w:r w:rsidR="00505392" w:rsidRPr="00E856B0">
        <w:rPr>
          <w:lang w:val="en-AU"/>
        </w:rPr>
        <w:t xml:space="preserve"> for much longer, any momentum built </w:t>
      </w:r>
      <w:r w:rsidRPr="00E856B0">
        <w:rPr>
          <w:lang w:val="en-AU"/>
        </w:rPr>
        <w:t>could be</w:t>
      </w:r>
      <w:r w:rsidR="00505392" w:rsidRPr="00E856B0">
        <w:rPr>
          <w:lang w:val="en-AU"/>
        </w:rPr>
        <w:t xml:space="preserve"> </w:t>
      </w:r>
      <w:proofErr w:type="gramStart"/>
      <w:r w:rsidR="00505392" w:rsidRPr="00E856B0">
        <w:rPr>
          <w:lang w:val="en-AU"/>
        </w:rPr>
        <w:t>lost,</w:t>
      </w:r>
      <w:proofErr w:type="gramEnd"/>
      <w:r w:rsidR="00505392" w:rsidRPr="00E856B0">
        <w:rPr>
          <w:lang w:val="en-AU"/>
        </w:rPr>
        <w:t xml:space="preserve"> sending a message that this work </w:t>
      </w:r>
      <w:r w:rsidRPr="00E856B0">
        <w:rPr>
          <w:lang w:val="en-AU"/>
        </w:rPr>
        <w:t>has been of</w:t>
      </w:r>
      <w:r w:rsidR="00505392" w:rsidRPr="00E856B0">
        <w:rPr>
          <w:lang w:val="en-AU"/>
        </w:rPr>
        <w:t xml:space="preserve"> </w:t>
      </w:r>
      <w:r w:rsidRPr="00E856B0">
        <w:rPr>
          <w:lang w:val="en-AU"/>
        </w:rPr>
        <w:t xml:space="preserve">only </w:t>
      </w:r>
      <w:r w:rsidR="00505392" w:rsidRPr="00E856B0">
        <w:rPr>
          <w:lang w:val="en-AU"/>
        </w:rPr>
        <w:t xml:space="preserve">marginal importance. </w:t>
      </w:r>
    </w:p>
    <w:p w14:paraId="6E25E4F1" w14:textId="20A5CB2C" w:rsidR="004935D0" w:rsidRPr="00E856B0" w:rsidRDefault="007B46BD" w:rsidP="00096EA3">
      <w:pPr>
        <w:pStyle w:val="Heading3"/>
      </w:pPr>
      <w:r>
        <w:t>e) Services and Activities Important for Reducing S</w:t>
      </w:r>
      <w:r w:rsidR="00237842" w:rsidRPr="00E856B0">
        <w:t>moking</w:t>
      </w:r>
    </w:p>
    <w:p w14:paraId="5B77E099" w14:textId="07B7DB8E" w:rsidR="005C4658" w:rsidRPr="00E856B0" w:rsidRDefault="00E856B0" w:rsidP="004F6A5A">
      <w:pPr>
        <w:spacing w:line="276" w:lineRule="auto"/>
        <w:rPr>
          <w:lang w:val="en-AU"/>
        </w:rPr>
      </w:pPr>
      <w:r w:rsidRPr="00E856B0">
        <w:rPr>
          <w:lang w:val="en-AU"/>
        </w:rPr>
        <w:t>As Table 2</w:t>
      </w:r>
      <w:r w:rsidR="00A43B16" w:rsidRPr="00E856B0">
        <w:rPr>
          <w:lang w:val="en-AU"/>
        </w:rPr>
        <w:t xml:space="preserve"> shows, all industry experts </w:t>
      </w:r>
      <w:r w:rsidR="005C4658" w:rsidRPr="00E856B0">
        <w:rPr>
          <w:lang w:val="en-AU"/>
        </w:rPr>
        <w:t xml:space="preserve">agreed that raising community awareness of the issues related to smoking/healthy </w:t>
      </w:r>
      <w:proofErr w:type="gramStart"/>
      <w:r w:rsidR="005C4658" w:rsidRPr="00E856B0">
        <w:rPr>
          <w:lang w:val="en-AU"/>
        </w:rPr>
        <w:t>lifestyles,</w:t>
      </w:r>
      <w:proofErr w:type="gramEnd"/>
      <w:r w:rsidR="005C4658" w:rsidRPr="00E856B0">
        <w:rPr>
          <w:lang w:val="en-AU"/>
        </w:rPr>
        <w:t xml:space="preserve"> </w:t>
      </w:r>
      <w:r w:rsidR="00A43B16" w:rsidRPr="00E856B0">
        <w:rPr>
          <w:lang w:val="en-AU"/>
        </w:rPr>
        <w:t>was a very important activity</w:t>
      </w:r>
      <w:r w:rsidR="005C4658" w:rsidRPr="00E856B0">
        <w:rPr>
          <w:lang w:val="en-AU"/>
        </w:rPr>
        <w:t xml:space="preserve">.  The majority also placed importance on </w:t>
      </w:r>
      <w:r w:rsidR="00A43B16" w:rsidRPr="00E856B0">
        <w:rPr>
          <w:lang w:val="en-AU"/>
        </w:rPr>
        <w:t>improving access t</w:t>
      </w:r>
      <w:r w:rsidR="000C2195">
        <w:rPr>
          <w:lang w:val="en-AU"/>
        </w:rPr>
        <w:t>o NRT</w:t>
      </w:r>
      <w:r w:rsidR="00A43B16" w:rsidRPr="00E856B0">
        <w:rPr>
          <w:lang w:val="en-AU"/>
        </w:rPr>
        <w:t>, and local media campaigns</w:t>
      </w:r>
      <w:r w:rsidRPr="00E856B0">
        <w:rPr>
          <w:lang w:val="en-AU"/>
        </w:rPr>
        <w:t>,</w:t>
      </w:r>
      <w:r w:rsidR="00A43B16" w:rsidRPr="00E856B0">
        <w:rPr>
          <w:lang w:val="en-AU"/>
        </w:rPr>
        <w:t xml:space="preserve"> </w:t>
      </w:r>
      <w:r w:rsidR="005C4658" w:rsidRPr="00E856B0">
        <w:rPr>
          <w:lang w:val="en-AU"/>
        </w:rPr>
        <w:t xml:space="preserve">developing clear pathways to smoking cessation services, improving access to cessation services for individuals, improving one-on-one cessation services, local workforce training and development and culturally appropriate </w:t>
      </w:r>
      <w:proofErr w:type="spellStart"/>
      <w:r w:rsidR="005C4658" w:rsidRPr="00E856B0">
        <w:rPr>
          <w:lang w:val="en-AU"/>
        </w:rPr>
        <w:t>Quitline</w:t>
      </w:r>
      <w:proofErr w:type="spellEnd"/>
      <w:r w:rsidR="005C4658" w:rsidRPr="00E856B0">
        <w:rPr>
          <w:lang w:val="en-AU"/>
        </w:rPr>
        <w:t xml:space="preserve"> services.  In contrast there was some </w:t>
      </w:r>
      <w:r w:rsidR="00A43B16" w:rsidRPr="00E856B0">
        <w:rPr>
          <w:lang w:val="en-AU"/>
        </w:rPr>
        <w:t>disagreement</w:t>
      </w:r>
      <w:r w:rsidR="005C4658" w:rsidRPr="00E856B0">
        <w:rPr>
          <w:lang w:val="en-AU"/>
        </w:rPr>
        <w:t xml:space="preserve"> </w:t>
      </w:r>
      <w:r w:rsidR="00A43B16" w:rsidRPr="00E856B0">
        <w:rPr>
          <w:lang w:val="en-AU"/>
        </w:rPr>
        <w:t>regarding</w:t>
      </w:r>
      <w:r w:rsidR="005C4658" w:rsidRPr="00E856B0">
        <w:rPr>
          <w:lang w:val="en-AU"/>
        </w:rPr>
        <w:t xml:space="preserve"> the importance of local Key Performance Indicators for smoking cessation/healthy lifestyle programmes</w:t>
      </w:r>
      <w:r w:rsidR="00A43B16" w:rsidRPr="00E856B0">
        <w:rPr>
          <w:lang w:val="en-AU"/>
        </w:rPr>
        <w:t>, developing clear pathways to smoking cessation services</w:t>
      </w:r>
      <w:r w:rsidR="005C4658" w:rsidRPr="00E856B0">
        <w:rPr>
          <w:lang w:val="en-AU"/>
        </w:rPr>
        <w:t xml:space="preserve"> and </w:t>
      </w:r>
      <w:r w:rsidR="000C2195">
        <w:rPr>
          <w:lang w:val="en-AU"/>
        </w:rPr>
        <w:t>i</w:t>
      </w:r>
      <w:r w:rsidRPr="00E856B0">
        <w:rPr>
          <w:lang w:val="en-AU"/>
        </w:rPr>
        <w:t>mproving access to cessation services for communities.</w:t>
      </w:r>
    </w:p>
    <w:p w14:paraId="2B9B442A" w14:textId="60C7F96B" w:rsidR="00E856B0" w:rsidRPr="00BB621F" w:rsidRDefault="00E856B0" w:rsidP="00E856B0">
      <w:pPr>
        <w:pStyle w:val="Caption"/>
        <w:keepNext/>
        <w:rPr>
          <w:sz w:val="24"/>
          <w:szCs w:val="24"/>
          <w:lang w:val="en-AU"/>
        </w:rPr>
      </w:pPr>
      <w:r w:rsidRPr="00BB621F">
        <w:rPr>
          <w:sz w:val="24"/>
          <w:szCs w:val="24"/>
        </w:rPr>
        <w:t xml:space="preserve">Table </w:t>
      </w:r>
      <w:r w:rsidRPr="00BB621F">
        <w:rPr>
          <w:sz w:val="24"/>
          <w:szCs w:val="24"/>
        </w:rPr>
        <w:fldChar w:fldCharType="begin"/>
      </w:r>
      <w:r w:rsidRPr="00BB621F">
        <w:rPr>
          <w:sz w:val="24"/>
          <w:szCs w:val="24"/>
        </w:rPr>
        <w:instrText xml:space="preserve"> SEQ Table \* ARABIC </w:instrText>
      </w:r>
      <w:r w:rsidRPr="00BB621F">
        <w:rPr>
          <w:sz w:val="24"/>
          <w:szCs w:val="24"/>
        </w:rPr>
        <w:fldChar w:fldCharType="separate"/>
      </w:r>
      <w:r w:rsidR="00FB7662">
        <w:rPr>
          <w:noProof/>
          <w:sz w:val="24"/>
          <w:szCs w:val="24"/>
        </w:rPr>
        <w:t>2</w:t>
      </w:r>
      <w:r w:rsidRPr="00BB621F">
        <w:rPr>
          <w:sz w:val="24"/>
          <w:szCs w:val="24"/>
        </w:rPr>
        <w:fldChar w:fldCharType="end"/>
      </w:r>
      <w:r w:rsidRPr="00BB621F">
        <w:rPr>
          <w:sz w:val="24"/>
          <w:szCs w:val="24"/>
          <w:lang w:val="en-AU"/>
        </w:rPr>
        <w:t>: Importance of Activities for Reducing Smoking</w:t>
      </w:r>
    </w:p>
    <w:tbl>
      <w:tblPr>
        <w:tblStyle w:val="TableGrid"/>
        <w:tblW w:w="0" w:type="auto"/>
        <w:tblLook w:val="04A0" w:firstRow="1" w:lastRow="0" w:firstColumn="1" w:lastColumn="0" w:noHBand="0" w:noVBand="1"/>
        <w:tblDescription w:val="Table 2 details the importance of activities for reducing smoking.  This table consists of 6 column headings; column 1. Blank (lising activities) column 2. Very Unimportant, column 3. Somewhat Unimportant, column 4. Neutral, column 5. Somewhat Important and column 6. Very Important"/>
      </w:tblPr>
      <w:tblGrid>
        <w:gridCol w:w="2834"/>
        <w:gridCol w:w="1274"/>
        <w:gridCol w:w="1369"/>
        <w:gridCol w:w="781"/>
        <w:gridCol w:w="1202"/>
        <w:gridCol w:w="1056"/>
      </w:tblGrid>
      <w:tr w:rsidR="003A08A9" w:rsidRPr="00E856B0" w14:paraId="13EC9C99" w14:textId="77777777" w:rsidTr="007F182C">
        <w:trPr>
          <w:trHeight w:val="508"/>
          <w:tblHeader/>
        </w:trPr>
        <w:tc>
          <w:tcPr>
            <w:tcW w:w="0" w:type="auto"/>
            <w:hideMark/>
          </w:tcPr>
          <w:p w14:paraId="0AB3C747" w14:textId="02E50697" w:rsidR="003A08A9" w:rsidRPr="00E856B0" w:rsidRDefault="003A08A9" w:rsidP="004935D0">
            <w:pPr>
              <w:rPr>
                <w:b/>
                <w:bCs/>
                <w:sz w:val="20"/>
                <w:szCs w:val="20"/>
                <w:lang w:val="en-AU"/>
              </w:rPr>
            </w:pPr>
            <w:bookmarkStart w:id="4" w:name="_GoBack"/>
          </w:p>
        </w:tc>
        <w:tc>
          <w:tcPr>
            <w:tcW w:w="0" w:type="auto"/>
            <w:hideMark/>
          </w:tcPr>
          <w:p w14:paraId="0315482D" w14:textId="77777777" w:rsidR="003A08A9" w:rsidRPr="00E856B0" w:rsidRDefault="003A08A9" w:rsidP="004935D0">
            <w:pPr>
              <w:rPr>
                <w:b/>
                <w:bCs/>
                <w:sz w:val="20"/>
                <w:szCs w:val="20"/>
                <w:lang w:val="en-AU"/>
              </w:rPr>
            </w:pPr>
            <w:r w:rsidRPr="00E856B0">
              <w:rPr>
                <w:b/>
                <w:bCs/>
                <w:sz w:val="20"/>
                <w:szCs w:val="20"/>
                <w:lang w:val="en-AU"/>
              </w:rPr>
              <w:t>Very Unimportant</w:t>
            </w:r>
          </w:p>
        </w:tc>
        <w:tc>
          <w:tcPr>
            <w:tcW w:w="0" w:type="auto"/>
            <w:hideMark/>
          </w:tcPr>
          <w:p w14:paraId="627E86A4" w14:textId="77777777" w:rsidR="003A08A9" w:rsidRPr="00E856B0" w:rsidRDefault="003A08A9" w:rsidP="004935D0">
            <w:pPr>
              <w:rPr>
                <w:b/>
                <w:bCs/>
                <w:sz w:val="20"/>
                <w:szCs w:val="20"/>
                <w:lang w:val="en-AU"/>
              </w:rPr>
            </w:pPr>
            <w:r w:rsidRPr="00E856B0">
              <w:rPr>
                <w:b/>
                <w:bCs/>
                <w:sz w:val="20"/>
                <w:szCs w:val="20"/>
                <w:lang w:val="en-AU"/>
              </w:rPr>
              <w:t>Somewhat Unimportant</w:t>
            </w:r>
          </w:p>
        </w:tc>
        <w:tc>
          <w:tcPr>
            <w:tcW w:w="0" w:type="auto"/>
            <w:hideMark/>
          </w:tcPr>
          <w:p w14:paraId="2B002670" w14:textId="6A3EB650" w:rsidR="003A08A9" w:rsidRPr="00E856B0" w:rsidRDefault="003A08A9" w:rsidP="004935D0">
            <w:pPr>
              <w:rPr>
                <w:b/>
                <w:bCs/>
                <w:sz w:val="20"/>
                <w:szCs w:val="20"/>
                <w:lang w:val="en-AU"/>
              </w:rPr>
            </w:pPr>
            <w:r w:rsidRPr="00E856B0">
              <w:rPr>
                <w:b/>
                <w:bCs/>
                <w:sz w:val="20"/>
                <w:szCs w:val="20"/>
                <w:lang w:val="en-AU"/>
              </w:rPr>
              <w:t>Neutral</w:t>
            </w:r>
          </w:p>
        </w:tc>
        <w:tc>
          <w:tcPr>
            <w:tcW w:w="0" w:type="auto"/>
            <w:hideMark/>
          </w:tcPr>
          <w:p w14:paraId="3FCF4D89" w14:textId="77777777" w:rsidR="003A08A9" w:rsidRPr="00E856B0" w:rsidRDefault="003A08A9" w:rsidP="004935D0">
            <w:pPr>
              <w:rPr>
                <w:b/>
                <w:bCs/>
                <w:sz w:val="20"/>
                <w:szCs w:val="20"/>
                <w:lang w:val="en-AU"/>
              </w:rPr>
            </w:pPr>
            <w:r w:rsidRPr="00E856B0">
              <w:rPr>
                <w:b/>
                <w:bCs/>
                <w:sz w:val="20"/>
                <w:szCs w:val="20"/>
                <w:lang w:val="en-AU"/>
              </w:rPr>
              <w:t>Somewhat Important</w:t>
            </w:r>
          </w:p>
        </w:tc>
        <w:tc>
          <w:tcPr>
            <w:tcW w:w="0" w:type="auto"/>
            <w:hideMark/>
          </w:tcPr>
          <w:p w14:paraId="0EDE591D" w14:textId="77777777" w:rsidR="003A08A9" w:rsidRPr="00E856B0" w:rsidRDefault="003A08A9" w:rsidP="004935D0">
            <w:pPr>
              <w:rPr>
                <w:b/>
                <w:bCs/>
                <w:sz w:val="20"/>
                <w:szCs w:val="20"/>
                <w:lang w:val="en-AU"/>
              </w:rPr>
            </w:pPr>
            <w:r w:rsidRPr="00E856B0">
              <w:rPr>
                <w:b/>
                <w:bCs/>
                <w:sz w:val="20"/>
                <w:szCs w:val="20"/>
                <w:lang w:val="en-AU"/>
              </w:rPr>
              <w:t>Very Important</w:t>
            </w:r>
          </w:p>
        </w:tc>
      </w:tr>
      <w:bookmarkEnd w:id="4"/>
      <w:tr w:rsidR="003A08A9" w:rsidRPr="00E856B0" w14:paraId="38CDB717" w14:textId="77777777" w:rsidTr="00A43B16">
        <w:trPr>
          <w:trHeight w:val="673"/>
        </w:trPr>
        <w:tc>
          <w:tcPr>
            <w:tcW w:w="0" w:type="auto"/>
            <w:hideMark/>
          </w:tcPr>
          <w:p w14:paraId="77404FAD" w14:textId="77777777" w:rsidR="003A08A9" w:rsidRPr="00E856B0" w:rsidRDefault="003A08A9" w:rsidP="004935D0">
            <w:pPr>
              <w:rPr>
                <w:sz w:val="20"/>
                <w:szCs w:val="20"/>
                <w:lang w:val="en-AU"/>
              </w:rPr>
            </w:pPr>
            <w:r w:rsidRPr="00E856B0">
              <w:rPr>
                <w:sz w:val="20"/>
                <w:szCs w:val="20"/>
                <w:lang w:val="en-AU"/>
              </w:rPr>
              <w:t>Raising community awareness of the issues related to smoking/healthy lifestyles</w:t>
            </w:r>
          </w:p>
        </w:tc>
        <w:tc>
          <w:tcPr>
            <w:tcW w:w="0" w:type="auto"/>
            <w:hideMark/>
          </w:tcPr>
          <w:p w14:paraId="4D069AE6"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11714BF0"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27AFC9F"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33A2FB7"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6A452BB0" w14:textId="3F3F36A4" w:rsidR="003A08A9" w:rsidRPr="00E856B0" w:rsidRDefault="003A08A9" w:rsidP="004935D0">
            <w:pPr>
              <w:rPr>
                <w:sz w:val="20"/>
                <w:szCs w:val="20"/>
                <w:lang w:val="en-AU"/>
              </w:rPr>
            </w:pPr>
            <w:r w:rsidRPr="00E856B0">
              <w:rPr>
                <w:sz w:val="20"/>
                <w:szCs w:val="20"/>
                <w:lang w:val="en-AU"/>
              </w:rPr>
              <w:t>100%</w:t>
            </w:r>
          </w:p>
        </w:tc>
      </w:tr>
      <w:tr w:rsidR="003A08A9" w:rsidRPr="00E856B0" w14:paraId="37DB0CDC" w14:textId="77777777" w:rsidTr="00A43B16">
        <w:trPr>
          <w:trHeight w:val="682"/>
        </w:trPr>
        <w:tc>
          <w:tcPr>
            <w:tcW w:w="0" w:type="auto"/>
            <w:hideMark/>
          </w:tcPr>
          <w:p w14:paraId="46F5BD3B" w14:textId="77777777" w:rsidR="003A08A9" w:rsidRPr="00E856B0" w:rsidRDefault="003A08A9" w:rsidP="004935D0">
            <w:pPr>
              <w:rPr>
                <w:sz w:val="20"/>
                <w:szCs w:val="20"/>
                <w:lang w:val="en-AU"/>
              </w:rPr>
            </w:pPr>
            <w:r w:rsidRPr="00E856B0">
              <w:rPr>
                <w:sz w:val="20"/>
                <w:szCs w:val="20"/>
                <w:lang w:val="en-AU"/>
              </w:rPr>
              <w:t>Increasing community engagement with smoking cessation/healthy lifestyle programmes</w:t>
            </w:r>
          </w:p>
        </w:tc>
        <w:tc>
          <w:tcPr>
            <w:tcW w:w="0" w:type="auto"/>
            <w:hideMark/>
          </w:tcPr>
          <w:p w14:paraId="4E96D9AC"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C29849D"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2FD12871"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60953BE" w14:textId="1ABD14C4" w:rsidR="003A08A9" w:rsidRPr="00E856B0" w:rsidRDefault="003A08A9" w:rsidP="004935D0">
            <w:pPr>
              <w:rPr>
                <w:sz w:val="20"/>
                <w:szCs w:val="20"/>
                <w:lang w:val="en-AU"/>
              </w:rPr>
            </w:pPr>
            <w:r w:rsidRPr="00E856B0">
              <w:rPr>
                <w:sz w:val="20"/>
                <w:szCs w:val="20"/>
                <w:lang w:val="en-AU"/>
              </w:rPr>
              <w:t>4.5%</w:t>
            </w:r>
          </w:p>
        </w:tc>
        <w:tc>
          <w:tcPr>
            <w:tcW w:w="0" w:type="auto"/>
            <w:hideMark/>
          </w:tcPr>
          <w:p w14:paraId="2EDE4796" w14:textId="3D00441B" w:rsidR="003A08A9" w:rsidRPr="00E856B0" w:rsidRDefault="003A08A9" w:rsidP="004935D0">
            <w:pPr>
              <w:rPr>
                <w:sz w:val="20"/>
                <w:szCs w:val="20"/>
                <w:lang w:val="en-AU"/>
              </w:rPr>
            </w:pPr>
            <w:r w:rsidRPr="00E856B0">
              <w:rPr>
                <w:sz w:val="20"/>
                <w:szCs w:val="20"/>
                <w:lang w:val="en-AU"/>
              </w:rPr>
              <w:t>95.5%</w:t>
            </w:r>
          </w:p>
        </w:tc>
      </w:tr>
      <w:tr w:rsidR="003A08A9" w:rsidRPr="00E856B0" w14:paraId="44CD60D0" w14:textId="77777777" w:rsidTr="00A43B16">
        <w:trPr>
          <w:trHeight w:val="975"/>
        </w:trPr>
        <w:tc>
          <w:tcPr>
            <w:tcW w:w="0" w:type="auto"/>
            <w:hideMark/>
          </w:tcPr>
          <w:p w14:paraId="69893686" w14:textId="77777777" w:rsidR="003A08A9" w:rsidRPr="00E856B0" w:rsidRDefault="003A08A9" w:rsidP="004935D0">
            <w:pPr>
              <w:rPr>
                <w:sz w:val="20"/>
                <w:szCs w:val="20"/>
                <w:lang w:val="en-AU"/>
              </w:rPr>
            </w:pPr>
            <w:r w:rsidRPr="00E856B0">
              <w:rPr>
                <w:sz w:val="20"/>
                <w:szCs w:val="20"/>
                <w:lang w:val="en-AU"/>
              </w:rPr>
              <w:t>Applying</w:t>
            </w:r>
            <w:r w:rsidRPr="00E856B0">
              <w:rPr>
                <w:b/>
                <w:i/>
                <w:sz w:val="20"/>
                <w:szCs w:val="20"/>
                <w:lang w:val="en-AU"/>
              </w:rPr>
              <w:t xml:space="preserve"> </w:t>
            </w:r>
            <w:r w:rsidRPr="00ED08C0">
              <w:rPr>
                <w:rStyle w:val="IntenseEmphasis"/>
              </w:rPr>
              <w:t>locally</w:t>
            </w:r>
            <w:r w:rsidRPr="00E856B0">
              <w:rPr>
                <w:b/>
                <w:i/>
                <w:sz w:val="20"/>
                <w:szCs w:val="20"/>
                <w:lang w:val="en-AU"/>
              </w:rPr>
              <w:t xml:space="preserve"> </w:t>
            </w:r>
            <w:r w:rsidRPr="00E856B0">
              <w:rPr>
                <w:sz w:val="20"/>
                <w:szCs w:val="20"/>
                <w:lang w:val="en-AU"/>
              </w:rPr>
              <w:t>agreed Key Performance Indicators for smoking cessation/healthy lifestyle programmes</w:t>
            </w:r>
          </w:p>
        </w:tc>
        <w:tc>
          <w:tcPr>
            <w:tcW w:w="0" w:type="auto"/>
            <w:hideMark/>
          </w:tcPr>
          <w:p w14:paraId="52FDD730" w14:textId="425D6D42" w:rsidR="003A08A9" w:rsidRPr="00E856B0" w:rsidRDefault="003A08A9" w:rsidP="004935D0">
            <w:pPr>
              <w:rPr>
                <w:sz w:val="20"/>
                <w:szCs w:val="20"/>
                <w:lang w:val="en-AU"/>
              </w:rPr>
            </w:pPr>
            <w:r w:rsidRPr="00E856B0">
              <w:rPr>
                <w:sz w:val="20"/>
                <w:szCs w:val="20"/>
                <w:lang w:val="en-AU"/>
              </w:rPr>
              <w:t>7.7%</w:t>
            </w:r>
          </w:p>
        </w:tc>
        <w:tc>
          <w:tcPr>
            <w:tcW w:w="0" w:type="auto"/>
            <w:hideMark/>
          </w:tcPr>
          <w:p w14:paraId="6F352021" w14:textId="3DDF3158" w:rsidR="003A08A9" w:rsidRPr="00E856B0" w:rsidRDefault="003A08A9" w:rsidP="004935D0">
            <w:pPr>
              <w:rPr>
                <w:sz w:val="20"/>
                <w:szCs w:val="20"/>
                <w:lang w:val="en-AU"/>
              </w:rPr>
            </w:pPr>
            <w:r w:rsidRPr="00E856B0">
              <w:rPr>
                <w:sz w:val="20"/>
                <w:szCs w:val="20"/>
                <w:lang w:val="en-AU"/>
              </w:rPr>
              <w:t>7.7%</w:t>
            </w:r>
          </w:p>
        </w:tc>
        <w:tc>
          <w:tcPr>
            <w:tcW w:w="0" w:type="auto"/>
            <w:hideMark/>
          </w:tcPr>
          <w:p w14:paraId="641E8E11" w14:textId="39C0C7A0" w:rsidR="003A08A9" w:rsidRPr="00E856B0" w:rsidRDefault="003A08A9" w:rsidP="004935D0">
            <w:pPr>
              <w:rPr>
                <w:sz w:val="20"/>
                <w:szCs w:val="20"/>
                <w:lang w:val="en-AU"/>
              </w:rPr>
            </w:pPr>
            <w:r w:rsidRPr="00E856B0">
              <w:rPr>
                <w:sz w:val="20"/>
                <w:szCs w:val="20"/>
                <w:lang w:val="en-AU"/>
              </w:rPr>
              <w:t>7.7%</w:t>
            </w:r>
          </w:p>
        </w:tc>
        <w:tc>
          <w:tcPr>
            <w:tcW w:w="0" w:type="auto"/>
            <w:hideMark/>
          </w:tcPr>
          <w:p w14:paraId="033D1A97" w14:textId="10AAB83F" w:rsidR="003A08A9" w:rsidRPr="00E856B0" w:rsidRDefault="003A08A9" w:rsidP="004935D0">
            <w:pPr>
              <w:rPr>
                <w:sz w:val="20"/>
                <w:szCs w:val="20"/>
                <w:lang w:val="en-AU"/>
              </w:rPr>
            </w:pPr>
            <w:r w:rsidRPr="00E856B0">
              <w:rPr>
                <w:sz w:val="20"/>
                <w:szCs w:val="20"/>
                <w:lang w:val="en-AU"/>
              </w:rPr>
              <w:t>7.7%</w:t>
            </w:r>
          </w:p>
        </w:tc>
        <w:tc>
          <w:tcPr>
            <w:tcW w:w="0" w:type="auto"/>
            <w:hideMark/>
          </w:tcPr>
          <w:p w14:paraId="5A31C25C" w14:textId="7CB982F7" w:rsidR="003A08A9" w:rsidRPr="00E856B0" w:rsidRDefault="003A08A9" w:rsidP="004935D0">
            <w:pPr>
              <w:rPr>
                <w:sz w:val="20"/>
                <w:szCs w:val="20"/>
                <w:lang w:val="en-AU"/>
              </w:rPr>
            </w:pPr>
            <w:r w:rsidRPr="00E856B0">
              <w:rPr>
                <w:sz w:val="20"/>
                <w:szCs w:val="20"/>
                <w:lang w:val="en-AU"/>
              </w:rPr>
              <w:t>69.2%</w:t>
            </w:r>
          </w:p>
        </w:tc>
      </w:tr>
      <w:tr w:rsidR="003A08A9" w:rsidRPr="00E856B0" w14:paraId="02A50306" w14:textId="77777777" w:rsidTr="00A43B16">
        <w:trPr>
          <w:trHeight w:val="834"/>
        </w:trPr>
        <w:tc>
          <w:tcPr>
            <w:tcW w:w="0" w:type="auto"/>
            <w:hideMark/>
          </w:tcPr>
          <w:p w14:paraId="1607D2F9" w14:textId="77777777" w:rsidR="003A08A9" w:rsidRPr="00E856B0" w:rsidRDefault="003A08A9" w:rsidP="004935D0">
            <w:pPr>
              <w:rPr>
                <w:sz w:val="20"/>
                <w:szCs w:val="20"/>
                <w:lang w:val="en-AU"/>
              </w:rPr>
            </w:pPr>
            <w:r w:rsidRPr="00E856B0">
              <w:rPr>
                <w:sz w:val="20"/>
                <w:szCs w:val="20"/>
                <w:lang w:val="en-AU"/>
              </w:rPr>
              <w:t>Applying</w:t>
            </w:r>
            <w:r w:rsidRPr="00E856B0">
              <w:rPr>
                <w:b/>
                <w:sz w:val="20"/>
                <w:szCs w:val="20"/>
                <w:lang w:val="en-AU"/>
              </w:rPr>
              <w:t xml:space="preserve"> </w:t>
            </w:r>
            <w:r w:rsidRPr="00ED08C0">
              <w:rPr>
                <w:rStyle w:val="IntenseEmphasis"/>
              </w:rPr>
              <w:t xml:space="preserve">nationally </w:t>
            </w:r>
            <w:r w:rsidRPr="00E856B0">
              <w:rPr>
                <w:sz w:val="20"/>
                <w:szCs w:val="20"/>
                <w:lang w:val="en-AU"/>
              </w:rPr>
              <w:t>agreed Key Performance Indicators for smoking cessation/healthy lifestyle programmes</w:t>
            </w:r>
          </w:p>
        </w:tc>
        <w:tc>
          <w:tcPr>
            <w:tcW w:w="0" w:type="auto"/>
            <w:hideMark/>
          </w:tcPr>
          <w:p w14:paraId="2993F4A5"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2C1D1CBC" w14:textId="1DFD6ACE" w:rsidR="003A08A9" w:rsidRPr="00E856B0" w:rsidRDefault="003A08A9" w:rsidP="004935D0">
            <w:pPr>
              <w:rPr>
                <w:sz w:val="20"/>
                <w:szCs w:val="20"/>
                <w:lang w:val="en-AU"/>
              </w:rPr>
            </w:pPr>
            <w:r w:rsidRPr="00E856B0">
              <w:rPr>
                <w:sz w:val="20"/>
                <w:szCs w:val="20"/>
                <w:lang w:val="en-AU"/>
              </w:rPr>
              <w:t>7.7%</w:t>
            </w:r>
          </w:p>
        </w:tc>
        <w:tc>
          <w:tcPr>
            <w:tcW w:w="0" w:type="auto"/>
            <w:hideMark/>
          </w:tcPr>
          <w:p w14:paraId="73E41403" w14:textId="2A463913" w:rsidR="003A08A9" w:rsidRPr="00E856B0" w:rsidRDefault="003A08A9" w:rsidP="004935D0">
            <w:pPr>
              <w:rPr>
                <w:sz w:val="20"/>
                <w:szCs w:val="20"/>
                <w:lang w:val="en-AU"/>
              </w:rPr>
            </w:pPr>
            <w:r w:rsidRPr="00E856B0">
              <w:rPr>
                <w:sz w:val="20"/>
                <w:szCs w:val="20"/>
                <w:lang w:val="en-AU"/>
              </w:rPr>
              <w:t>7.7%</w:t>
            </w:r>
          </w:p>
        </w:tc>
        <w:tc>
          <w:tcPr>
            <w:tcW w:w="0" w:type="auto"/>
            <w:hideMark/>
          </w:tcPr>
          <w:p w14:paraId="0FE0AE61" w14:textId="32B0F124" w:rsidR="003A08A9" w:rsidRPr="00E856B0" w:rsidRDefault="003A08A9" w:rsidP="004935D0">
            <w:pPr>
              <w:rPr>
                <w:sz w:val="20"/>
                <w:szCs w:val="20"/>
                <w:lang w:val="en-AU"/>
              </w:rPr>
            </w:pPr>
            <w:r w:rsidRPr="00E856B0">
              <w:rPr>
                <w:sz w:val="20"/>
                <w:szCs w:val="20"/>
                <w:lang w:val="en-AU"/>
              </w:rPr>
              <w:t>23.1%</w:t>
            </w:r>
          </w:p>
        </w:tc>
        <w:tc>
          <w:tcPr>
            <w:tcW w:w="0" w:type="auto"/>
            <w:hideMark/>
          </w:tcPr>
          <w:p w14:paraId="398E794F" w14:textId="47E4FD5D" w:rsidR="003A08A9" w:rsidRPr="00E856B0" w:rsidRDefault="003A08A9" w:rsidP="004935D0">
            <w:pPr>
              <w:rPr>
                <w:sz w:val="20"/>
                <w:szCs w:val="20"/>
                <w:lang w:val="en-AU"/>
              </w:rPr>
            </w:pPr>
            <w:r w:rsidRPr="00E856B0">
              <w:rPr>
                <w:sz w:val="20"/>
                <w:szCs w:val="20"/>
                <w:lang w:val="en-AU"/>
              </w:rPr>
              <w:t>61.5%</w:t>
            </w:r>
          </w:p>
        </w:tc>
      </w:tr>
      <w:tr w:rsidR="003A08A9" w:rsidRPr="00E856B0" w14:paraId="4E13E9E9" w14:textId="77777777" w:rsidTr="00A43B16">
        <w:trPr>
          <w:trHeight w:val="479"/>
        </w:trPr>
        <w:tc>
          <w:tcPr>
            <w:tcW w:w="0" w:type="auto"/>
            <w:hideMark/>
          </w:tcPr>
          <w:p w14:paraId="0F719F93" w14:textId="77777777" w:rsidR="003A08A9" w:rsidRPr="00E856B0" w:rsidRDefault="003A08A9" w:rsidP="004935D0">
            <w:pPr>
              <w:rPr>
                <w:sz w:val="20"/>
                <w:szCs w:val="20"/>
                <w:lang w:val="en-AU"/>
              </w:rPr>
            </w:pPr>
            <w:r w:rsidRPr="00E856B0">
              <w:rPr>
                <w:sz w:val="20"/>
                <w:szCs w:val="20"/>
                <w:lang w:val="en-AU"/>
              </w:rPr>
              <w:t>Developing clear pathways to smoking cessation services</w:t>
            </w:r>
          </w:p>
        </w:tc>
        <w:tc>
          <w:tcPr>
            <w:tcW w:w="0" w:type="auto"/>
            <w:hideMark/>
          </w:tcPr>
          <w:p w14:paraId="442610B6" w14:textId="4B7C4009" w:rsidR="003A08A9" w:rsidRPr="00E856B0" w:rsidRDefault="003A08A9" w:rsidP="004935D0">
            <w:pPr>
              <w:rPr>
                <w:sz w:val="20"/>
                <w:szCs w:val="20"/>
                <w:lang w:val="en-AU"/>
              </w:rPr>
            </w:pPr>
            <w:r w:rsidRPr="00E856B0">
              <w:rPr>
                <w:sz w:val="20"/>
                <w:szCs w:val="20"/>
                <w:lang w:val="en-AU"/>
              </w:rPr>
              <w:t>7.7%</w:t>
            </w:r>
          </w:p>
        </w:tc>
        <w:tc>
          <w:tcPr>
            <w:tcW w:w="0" w:type="auto"/>
            <w:hideMark/>
          </w:tcPr>
          <w:p w14:paraId="035BF8F4" w14:textId="4B744104" w:rsidR="003A08A9" w:rsidRPr="00E856B0" w:rsidRDefault="003A08A9" w:rsidP="004935D0">
            <w:pPr>
              <w:rPr>
                <w:sz w:val="20"/>
                <w:szCs w:val="20"/>
                <w:lang w:val="en-AU"/>
              </w:rPr>
            </w:pPr>
            <w:r w:rsidRPr="00E856B0">
              <w:rPr>
                <w:sz w:val="20"/>
                <w:szCs w:val="20"/>
                <w:lang w:val="en-AU"/>
              </w:rPr>
              <w:t>7.7%</w:t>
            </w:r>
          </w:p>
        </w:tc>
        <w:tc>
          <w:tcPr>
            <w:tcW w:w="0" w:type="auto"/>
            <w:hideMark/>
          </w:tcPr>
          <w:p w14:paraId="7A6A4C27"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5AF8781E" w14:textId="7E53EA4C" w:rsidR="003A08A9" w:rsidRPr="00E856B0" w:rsidRDefault="003A08A9" w:rsidP="004935D0">
            <w:pPr>
              <w:rPr>
                <w:sz w:val="20"/>
                <w:szCs w:val="20"/>
                <w:lang w:val="en-AU"/>
              </w:rPr>
            </w:pPr>
            <w:r w:rsidRPr="00E856B0">
              <w:rPr>
                <w:sz w:val="20"/>
                <w:szCs w:val="20"/>
                <w:lang w:val="en-AU"/>
              </w:rPr>
              <w:t>7.7%</w:t>
            </w:r>
          </w:p>
        </w:tc>
        <w:tc>
          <w:tcPr>
            <w:tcW w:w="0" w:type="auto"/>
            <w:hideMark/>
          </w:tcPr>
          <w:p w14:paraId="0924EBCC" w14:textId="11146334" w:rsidR="003A08A9" w:rsidRPr="00E856B0" w:rsidRDefault="003A08A9" w:rsidP="004935D0">
            <w:pPr>
              <w:rPr>
                <w:sz w:val="20"/>
                <w:szCs w:val="20"/>
                <w:lang w:val="en-AU"/>
              </w:rPr>
            </w:pPr>
            <w:r w:rsidRPr="00E856B0">
              <w:rPr>
                <w:sz w:val="20"/>
                <w:szCs w:val="20"/>
                <w:lang w:val="en-AU"/>
              </w:rPr>
              <w:t>76.9%</w:t>
            </w:r>
          </w:p>
        </w:tc>
      </w:tr>
      <w:tr w:rsidR="003A08A9" w:rsidRPr="00E856B0" w14:paraId="5E1C431C" w14:textId="77777777" w:rsidTr="00A43B16">
        <w:trPr>
          <w:trHeight w:val="415"/>
        </w:trPr>
        <w:tc>
          <w:tcPr>
            <w:tcW w:w="0" w:type="auto"/>
            <w:hideMark/>
          </w:tcPr>
          <w:p w14:paraId="6D015DA4" w14:textId="77777777" w:rsidR="003A08A9" w:rsidRPr="00E856B0" w:rsidRDefault="003A08A9" w:rsidP="004935D0">
            <w:pPr>
              <w:rPr>
                <w:sz w:val="20"/>
                <w:szCs w:val="20"/>
                <w:lang w:val="en-AU"/>
              </w:rPr>
            </w:pPr>
            <w:r w:rsidRPr="00E856B0">
              <w:rPr>
                <w:sz w:val="20"/>
                <w:szCs w:val="20"/>
                <w:lang w:val="en-AU"/>
              </w:rPr>
              <w:t>Improving access to Nicotine Replacement Therapy (NRT)</w:t>
            </w:r>
          </w:p>
        </w:tc>
        <w:tc>
          <w:tcPr>
            <w:tcW w:w="0" w:type="auto"/>
            <w:hideMark/>
          </w:tcPr>
          <w:p w14:paraId="06DF9083"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9B7AAFC" w14:textId="4828934C" w:rsidR="003A08A9" w:rsidRPr="00E856B0" w:rsidRDefault="003A08A9" w:rsidP="004935D0">
            <w:pPr>
              <w:rPr>
                <w:sz w:val="20"/>
                <w:szCs w:val="20"/>
                <w:lang w:val="en-AU"/>
              </w:rPr>
            </w:pPr>
            <w:r w:rsidRPr="00E856B0">
              <w:rPr>
                <w:sz w:val="20"/>
                <w:szCs w:val="20"/>
                <w:lang w:val="en-AU"/>
              </w:rPr>
              <w:t>7.7%</w:t>
            </w:r>
          </w:p>
        </w:tc>
        <w:tc>
          <w:tcPr>
            <w:tcW w:w="0" w:type="auto"/>
            <w:hideMark/>
          </w:tcPr>
          <w:p w14:paraId="262764A2"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504C6195" w14:textId="4DD83A26" w:rsidR="003A08A9" w:rsidRPr="00E856B0" w:rsidRDefault="003A08A9" w:rsidP="004935D0">
            <w:pPr>
              <w:rPr>
                <w:sz w:val="20"/>
                <w:szCs w:val="20"/>
                <w:lang w:val="en-AU"/>
              </w:rPr>
            </w:pPr>
            <w:r w:rsidRPr="00E856B0">
              <w:rPr>
                <w:sz w:val="20"/>
                <w:szCs w:val="20"/>
                <w:lang w:val="en-AU"/>
              </w:rPr>
              <w:t>30.8%</w:t>
            </w:r>
          </w:p>
        </w:tc>
        <w:tc>
          <w:tcPr>
            <w:tcW w:w="0" w:type="auto"/>
            <w:hideMark/>
          </w:tcPr>
          <w:p w14:paraId="1D487CF4" w14:textId="3B4EFB44" w:rsidR="003A08A9" w:rsidRPr="00E856B0" w:rsidRDefault="003A08A9" w:rsidP="004935D0">
            <w:pPr>
              <w:rPr>
                <w:sz w:val="20"/>
                <w:szCs w:val="20"/>
                <w:lang w:val="en-AU"/>
              </w:rPr>
            </w:pPr>
            <w:r w:rsidRPr="00E856B0">
              <w:rPr>
                <w:sz w:val="20"/>
                <w:szCs w:val="20"/>
                <w:lang w:val="en-AU"/>
              </w:rPr>
              <w:t>61.5%</w:t>
            </w:r>
          </w:p>
        </w:tc>
      </w:tr>
      <w:tr w:rsidR="003A08A9" w:rsidRPr="00E856B0" w14:paraId="7FB0CFB4" w14:textId="77777777" w:rsidTr="00A43B16">
        <w:trPr>
          <w:trHeight w:val="507"/>
        </w:trPr>
        <w:tc>
          <w:tcPr>
            <w:tcW w:w="0" w:type="auto"/>
            <w:hideMark/>
          </w:tcPr>
          <w:p w14:paraId="7D475F30" w14:textId="77777777" w:rsidR="003A08A9" w:rsidRPr="00E856B0" w:rsidRDefault="003A08A9" w:rsidP="004935D0">
            <w:pPr>
              <w:rPr>
                <w:sz w:val="20"/>
                <w:szCs w:val="20"/>
                <w:lang w:val="en-AU"/>
              </w:rPr>
            </w:pPr>
            <w:r w:rsidRPr="00E856B0">
              <w:rPr>
                <w:sz w:val="20"/>
                <w:szCs w:val="20"/>
                <w:lang w:val="en-AU"/>
              </w:rPr>
              <w:t xml:space="preserve">Improving access to cessation services for </w:t>
            </w:r>
            <w:r w:rsidRPr="00ED08C0">
              <w:rPr>
                <w:rStyle w:val="IntenseEmphasis"/>
              </w:rPr>
              <w:t>communities</w:t>
            </w:r>
          </w:p>
        </w:tc>
        <w:tc>
          <w:tcPr>
            <w:tcW w:w="0" w:type="auto"/>
            <w:hideMark/>
          </w:tcPr>
          <w:p w14:paraId="5D3068E1" w14:textId="513DCAFE" w:rsidR="003A08A9" w:rsidRPr="00E856B0" w:rsidRDefault="003A08A9" w:rsidP="004935D0">
            <w:pPr>
              <w:rPr>
                <w:sz w:val="20"/>
                <w:szCs w:val="20"/>
                <w:lang w:val="en-AU"/>
              </w:rPr>
            </w:pPr>
            <w:r w:rsidRPr="00E856B0">
              <w:rPr>
                <w:sz w:val="20"/>
                <w:szCs w:val="20"/>
                <w:lang w:val="en-AU"/>
              </w:rPr>
              <w:t>7.7%</w:t>
            </w:r>
          </w:p>
        </w:tc>
        <w:tc>
          <w:tcPr>
            <w:tcW w:w="0" w:type="auto"/>
            <w:hideMark/>
          </w:tcPr>
          <w:p w14:paraId="25346831" w14:textId="286D8C28" w:rsidR="003A08A9" w:rsidRPr="00E856B0" w:rsidRDefault="003A08A9" w:rsidP="004935D0">
            <w:pPr>
              <w:rPr>
                <w:sz w:val="20"/>
                <w:szCs w:val="20"/>
                <w:lang w:val="en-AU"/>
              </w:rPr>
            </w:pPr>
            <w:r w:rsidRPr="00E856B0">
              <w:rPr>
                <w:sz w:val="20"/>
                <w:szCs w:val="20"/>
                <w:lang w:val="en-AU"/>
              </w:rPr>
              <w:t>7.7%</w:t>
            </w:r>
          </w:p>
        </w:tc>
        <w:tc>
          <w:tcPr>
            <w:tcW w:w="0" w:type="auto"/>
            <w:hideMark/>
          </w:tcPr>
          <w:p w14:paraId="668DDB38"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6B1FCEC1" w14:textId="4EFAF6D7" w:rsidR="003A08A9" w:rsidRPr="00E856B0" w:rsidRDefault="003A08A9" w:rsidP="004935D0">
            <w:pPr>
              <w:rPr>
                <w:sz w:val="20"/>
                <w:szCs w:val="20"/>
                <w:lang w:val="en-AU"/>
              </w:rPr>
            </w:pPr>
            <w:r w:rsidRPr="00E856B0">
              <w:rPr>
                <w:sz w:val="20"/>
                <w:szCs w:val="20"/>
                <w:lang w:val="en-AU"/>
              </w:rPr>
              <w:t>7.7%</w:t>
            </w:r>
          </w:p>
        </w:tc>
        <w:tc>
          <w:tcPr>
            <w:tcW w:w="0" w:type="auto"/>
            <w:hideMark/>
          </w:tcPr>
          <w:p w14:paraId="3E4BB308" w14:textId="24596BEE" w:rsidR="003A08A9" w:rsidRPr="00E856B0" w:rsidRDefault="003A08A9" w:rsidP="004935D0">
            <w:pPr>
              <w:rPr>
                <w:sz w:val="20"/>
                <w:szCs w:val="20"/>
                <w:lang w:val="en-AU"/>
              </w:rPr>
            </w:pPr>
            <w:r w:rsidRPr="00E856B0">
              <w:rPr>
                <w:sz w:val="20"/>
                <w:szCs w:val="20"/>
                <w:lang w:val="en-AU"/>
              </w:rPr>
              <w:t>76.9%</w:t>
            </w:r>
          </w:p>
        </w:tc>
      </w:tr>
      <w:tr w:rsidR="003A08A9" w:rsidRPr="00E856B0" w14:paraId="78879707" w14:textId="77777777" w:rsidTr="00A43B16">
        <w:trPr>
          <w:trHeight w:val="414"/>
        </w:trPr>
        <w:tc>
          <w:tcPr>
            <w:tcW w:w="0" w:type="auto"/>
            <w:hideMark/>
          </w:tcPr>
          <w:p w14:paraId="3D1D3AC1" w14:textId="77777777" w:rsidR="003A08A9" w:rsidRPr="00E856B0" w:rsidRDefault="003A08A9" w:rsidP="004935D0">
            <w:pPr>
              <w:rPr>
                <w:sz w:val="20"/>
                <w:szCs w:val="20"/>
                <w:lang w:val="en-AU"/>
              </w:rPr>
            </w:pPr>
            <w:r w:rsidRPr="00E856B0">
              <w:rPr>
                <w:sz w:val="20"/>
                <w:szCs w:val="20"/>
                <w:lang w:val="en-AU"/>
              </w:rPr>
              <w:t xml:space="preserve">Improving access to cessation </w:t>
            </w:r>
            <w:r w:rsidRPr="00E856B0">
              <w:rPr>
                <w:sz w:val="20"/>
                <w:szCs w:val="20"/>
                <w:lang w:val="en-AU"/>
              </w:rPr>
              <w:lastRenderedPageBreak/>
              <w:t>services for</w:t>
            </w:r>
            <w:r w:rsidRPr="00ED08C0">
              <w:rPr>
                <w:rStyle w:val="IntenseEmphasis"/>
              </w:rPr>
              <w:t xml:space="preserve"> individuals</w:t>
            </w:r>
          </w:p>
        </w:tc>
        <w:tc>
          <w:tcPr>
            <w:tcW w:w="0" w:type="auto"/>
            <w:hideMark/>
          </w:tcPr>
          <w:p w14:paraId="030CF58F" w14:textId="771E19EC" w:rsidR="003A08A9" w:rsidRPr="00E856B0" w:rsidRDefault="003A08A9" w:rsidP="004935D0">
            <w:pPr>
              <w:rPr>
                <w:sz w:val="20"/>
                <w:szCs w:val="20"/>
                <w:lang w:val="en-AU"/>
              </w:rPr>
            </w:pPr>
            <w:r w:rsidRPr="00E856B0">
              <w:rPr>
                <w:sz w:val="20"/>
                <w:szCs w:val="20"/>
                <w:lang w:val="en-AU"/>
              </w:rPr>
              <w:lastRenderedPageBreak/>
              <w:t>7.7%</w:t>
            </w:r>
          </w:p>
        </w:tc>
        <w:tc>
          <w:tcPr>
            <w:tcW w:w="0" w:type="auto"/>
            <w:hideMark/>
          </w:tcPr>
          <w:p w14:paraId="233510E5"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5D5DF89"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38ED5A0B" w14:textId="4C6528B7" w:rsidR="003A08A9" w:rsidRPr="00E856B0" w:rsidRDefault="003A08A9" w:rsidP="004935D0">
            <w:pPr>
              <w:rPr>
                <w:sz w:val="20"/>
                <w:szCs w:val="20"/>
                <w:lang w:val="en-AU"/>
              </w:rPr>
            </w:pPr>
            <w:r w:rsidRPr="00E856B0">
              <w:rPr>
                <w:sz w:val="20"/>
                <w:szCs w:val="20"/>
                <w:lang w:val="en-AU"/>
              </w:rPr>
              <w:t>7.7%</w:t>
            </w:r>
          </w:p>
        </w:tc>
        <w:tc>
          <w:tcPr>
            <w:tcW w:w="0" w:type="auto"/>
            <w:hideMark/>
          </w:tcPr>
          <w:p w14:paraId="04A43895" w14:textId="02F25F4F" w:rsidR="003A08A9" w:rsidRPr="00E856B0" w:rsidRDefault="003A08A9" w:rsidP="004935D0">
            <w:pPr>
              <w:rPr>
                <w:sz w:val="20"/>
                <w:szCs w:val="20"/>
                <w:lang w:val="en-AU"/>
              </w:rPr>
            </w:pPr>
            <w:r w:rsidRPr="00E856B0">
              <w:rPr>
                <w:sz w:val="20"/>
                <w:szCs w:val="20"/>
                <w:lang w:val="en-AU"/>
              </w:rPr>
              <w:t>84.6%</w:t>
            </w:r>
          </w:p>
        </w:tc>
      </w:tr>
      <w:tr w:rsidR="003A08A9" w:rsidRPr="00E856B0" w14:paraId="27D899A8" w14:textId="77777777" w:rsidTr="00A43B16">
        <w:trPr>
          <w:trHeight w:val="520"/>
        </w:trPr>
        <w:tc>
          <w:tcPr>
            <w:tcW w:w="0" w:type="auto"/>
            <w:hideMark/>
          </w:tcPr>
          <w:p w14:paraId="04B9CF9F" w14:textId="77777777" w:rsidR="003A08A9" w:rsidRPr="00E856B0" w:rsidRDefault="003A08A9" w:rsidP="004935D0">
            <w:pPr>
              <w:rPr>
                <w:sz w:val="20"/>
                <w:szCs w:val="20"/>
                <w:lang w:val="en-AU"/>
              </w:rPr>
            </w:pPr>
            <w:r w:rsidRPr="00E856B0">
              <w:rPr>
                <w:sz w:val="20"/>
                <w:szCs w:val="20"/>
                <w:lang w:val="en-AU"/>
              </w:rPr>
              <w:lastRenderedPageBreak/>
              <w:t xml:space="preserve">Improving one-on-one cessation services </w:t>
            </w:r>
          </w:p>
        </w:tc>
        <w:tc>
          <w:tcPr>
            <w:tcW w:w="0" w:type="auto"/>
            <w:hideMark/>
          </w:tcPr>
          <w:p w14:paraId="39D633EB" w14:textId="0C6B582F" w:rsidR="003A08A9" w:rsidRPr="00E856B0" w:rsidRDefault="003A08A9" w:rsidP="004935D0">
            <w:pPr>
              <w:rPr>
                <w:sz w:val="20"/>
                <w:szCs w:val="20"/>
                <w:lang w:val="en-AU"/>
              </w:rPr>
            </w:pPr>
            <w:r w:rsidRPr="00E856B0">
              <w:rPr>
                <w:sz w:val="20"/>
                <w:szCs w:val="20"/>
                <w:lang w:val="en-AU"/>
              </w:rPr>
              <w:t>7.7%</w:t>
            </w:r>
          </w:p>
        </w:tc>
        <w:tc>
          <w:tcPr>
            <w:tcW w:w="0" w:type="auto"/>
            <w:hideMark/>
          </w:tcPr>
          <w:p w14:paraId="699282EE"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34B5C605" w14:textId="491FD090" w:rsidR="003A08A9" w:rsidRPr="00E856B0" w:rsidRDefault="003A08A9" w:rsidP="004935D0">
            <w:pPr>
              <w:rPr>
                <w:sz w:val="20"/>
                <w:szCs w:val="20"/>
                <w:lang w:val="en-AU"/>
              </w:rPr>
            </w:pPr>
          </w:p>
        </w:tc>
        <w:tc>
          <w:tcPr>
            <w:tcW w:w="0" w:type="auto"/>
            <w:hideMark/>
          </w:tcPr>
          <w:p w14:paraId="3C7A7453" w14:textId="34297F6F" w:rsidR="003A08A9" w:rsidRPr="00E856B0" w:rsidRDefault="003A08A9" w:rsidP="004935D0">
            <w:pPr>
              <w:rPr>
                <w:sz w:val="20"/>
                <w:szCs w:val="20"/>
                <w:lang w:val="en-AU"/>
              </w:rPr>
            </w:pPr>
            <w:r w:rsidRPr="00E856B0">
              <w:rPr>
                <w:sz w:val="20"/>
                <w:szCs w:val="20"/>
                <w:lang w:val="en-AU"/>
              </w:rPr>
              <w:t>23.1%</w:t>
            </w:r>
          </w:p>
        </w:tc>
        <w:tc>
          <w:tcPr>
            <w:tcW w:w="0" w:type="auto"/>
            <w:hideMark/>
          </w:tcPr>
          <w:p w14:paraId="40CD6B12" w14:textId="3B5BECD4" w:rsidR="003A08A9" w:rsidRPr="00E856B0" w:rsidRDefault="003A08A9" w:rsidP="004935D0">
            <w:pPr>
              <w:rPr>
                <w:sz w:val="20"/>
                <w:szCs w:val="20"/>
                <w:lang w:val="en-AU"/>
              </w:rPr>
            </w:pPr>
            <w:r w:rsidRPr="00E856B0">
              <w:rPr>
                <w:sz w:val="20"/>
                <w:szCs w:val="20"/>
                <w:lang w:val="en-AU"/>
              </w:rPr>
              <w:t>69.2%</w:t>
            </w:r>
          </w:p>
        </w:tc>
      </w:tr>
      <w:tr w:rsidR="003A08A9" w:rsidRPr="00E856B0" w14:paraId="73A7F4F8" w14:textId="77777777" w:rsidTr="00A43B16">
        <w:trPr>
          <w:trHeight w:val="265"/>
        </w:trPr>
        <w:tc>
          <w:tcPr>
            <w:tcW w:w="0" w:type="auto"/>
            <w:hideMark/>
          </w:tcPr>
          <w:p w14:paraId="3B8B7DAD" w14:textId="77777777" w:rsidR="003A08A9" w:rsidRPr="00E856B0" w:rsidRDefault="003A08A9" w:rsidP="004935D0">
            <w:pPr>
              <w:rPr>
                <w:sz w:val="20"/>
                <w:szCs w:val="20"/>
                <w:lang w:val="en-AU"/>
              </w:rPr>
            </w:pPr>
            <w:r w:rsidRPr="00E856B0">
              <w:rPr>
                <w:sz w:val="20"/>
                <w:szCs w:val="20"/>
                <w:lang w:val="en-AU"/>
              </w:rPr>
              <w:t>Social marketing</w:t>
            </w:r>
          </w:p>
        </w:tc>
        <w:tc>
          <w:tcPr>
            <w:tcW w:w="0" w:type="auto"/>
            <w:hideMark/>
          </w:tcPr>
          <w:p w14:paraId="360DE007"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D583D3E"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D323F0D"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1BA9B329" w14:textId="657448C8" w:rsidR="003A08A9" w:rsidRPr="00E856B0" w:rsidRDefault="003A08A9" w:rsidP="004935D0">
            <w:pPr>
              <w:rPr>
                <w:sz w:val="20"/>
                <w:szCs w:val="20"/>
                <w:lang w:val="en-AU"/>
              </w:rPr>
            </w:pPr>
            <w:r w:rsidRPr="00E856B0">
              <w:rPr>
                <w:sz w:val="20"/>
                <w:szCs w:val="20"/>
                <w:lang w:val="en-AU"/>
              </w:rPr>
              <w:t>15.4%</w:t>
            </w:r>
          </w:p>
        </w:tc>
        <w:tc>
          <w:tcPr>
            <w:tcW w:w="0" w:type="auto"/>
            <w:hideMark/>
          </w:tcPr>
          <w:p w14:paraId="584AF2C7" w14:textId="228EE5B6" w:rsidR="003A08A9" w:rsidRPr="00E856B0" w:rsidRDefault="003A08A9" w:rsidP="004935D0">
            <w:pPr>
              <w:rPr>
                <w:sz w:val="20"/>
                <w:szCs w:val="20"/>
                <w:lang w:val="en-AU"/>
              </w:rPr>
            </w:pPr>
            <w:r w:rsidRPr="00E856B0">
              <w:rPr>
                <w:sz w:val="20"/>
                <w:szCs w:val="20"/>
                <w:lang w:val="en-AU"/>
              </w:rPr>
              <w:t>84.6%</w:t>
            </w:r>
          </w:p>
        </w:tc>
      </w:tr>
      <w:tr w:rsidR="003A08A9" w:rsidRPr="00E856B0" w14:paraId="3B1C3149" w14:textId="77777777" w:rsidTr="00A43B16">
        <w:trPr>
          <w:trHeight w:val="277"/>
        </w:trPr>
        <w:tc>
          <w:tcPr>
            <w:tcW w:w="0" w:type="auto"/>
            <w:hideMark/>
          </w:tcPr>
          <w:p w14:paraId="0D6DC8D4" w14:textId="77777777" w:rsidR="003A08A9" w:rsidRPr="00E856B0" w:rsidRDefault="003A08A9" w:rsidP="004935D0">
            <w:pPr>
              <w:rPr>
                <w:sz w:val="20"/>
                <w:szCs w:val="20"/>
                <w:lang w:val="en-AU"/>
              </w:rPr>
            </w:pPr>
            <w:r w:rsidRPr="00E856B0">
              <w:rPr>
                <w:sz w:val="20"/>
                <w:szCs w:val="20"/>
                <w:lang w:val="en-AU"/>
              </w:rPr>
              <w:t>National media campaigns</w:t>
            </w:r>
          </w:p>
        </w:tc>
        <w:tc>
          <w:tcPr>
            <w:tcW w:w="0" w:type="auto"/>
            <w:hideMark/>
          </w:tcPr>
          <w:p w14:paraId="66F97086"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A5EC449"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709CE4CE" w14:textId="7352D37F" w:rsidR="003A08A9" w:rsidRPr="00E856B0" w:rsidRDefault="003A08A9" w:rsidP="004935D0">
            <w:pPr>
              <w:rPr>
                <w:sz w:val="20"/>
                <w:szCs w:val="20"/>
                <w:lang w:val="en-AU"/>
              </w:rPr>
            </w:pPr>
            <w:r w:rsidRPr="00E856B0">
              <w:rPr>
                <w:sz w:val="20"/>
                <w:szCs w:val="20"/>
                <w:lang w:val="en-AU"/>
              </w:rPr>
              <w:t>7.7%</w:t>
            </w:r>
          </w:p>
        </w:tc>
        <w:tc>
          <w:tcPr>
            <w:tcW w:w="0" w:type="auto"/>
            <w:hideMark/>
          </w:tcPr>
          <w:p w14:paraId="4E02AD31" w14:textId="55CF8D85" w:rsidR="003A08A9" w:rsidRPr="00E856B0" w:rsidRDefault="003A08A9" w:rsidP="004935D0">
            <w:pPr>
              <w:rPr>
                <w:sz w:val="20"/>
                <w:szCs w:val="20"/>
                <w:lang w:val="en-AU"/>
              </w:rPr>
            </w:pPr>
            <w:r w:rsidRPr="00E856B0">
              <w:rPr>
                <w:sz w:val="20"/>
                <w:szCs w:val="20"/>
                <w:lang w:val="en-AU"/>
              </w:rPr>
              <w:t>7.7%</w:t>
            </w:r>
          </w:p>
        </w:tc>
        <w:tc>
          <w:tcPr>
            <w:tcW w:w="0" w:type="auto"/>
            <w:hideMark/>
          </w:tcPr>
          <w:p w14:paraId="57BB2277" w14:textId="219EB80B" w:rsidR="003A08A9" w:rsidRPr="00E856B0" w:rsidRDefault="003A08A9" w:rsidP="004935D0">
            <w:pPr>
              <w:rPr>
                <w:sz w:val="20"/>
                <w:szCs w:val="20"/>
                <w:lang w:val="en-AU"/>
              </w:rPr>
            </w:pPr>
            <w:r w:rsidRPr="00E856B0">
              <w:rPr>
                <w:sz w:val="20"/>
                <w:szCs w:val="20"/>
                <w:lang w:val="en-AU"/>
              </w:rPr>
              <w:t>84.6%</w:t>
            </w:r>
          </w:p>
        </w:tc>
      </w:tr>
      <w:tr w:rsidR="003A08A9" w:rsidRPr="00E856B0" w14:paraId="055B6CB6" w14:textId="77777777" w:rsidTr="00A43B16">
        <w:trPr>
          <w:trHeight w:val="281"/>
        </w:trPr>
        <w:tc>
          <w:tcPr>
            <w:tcW w:w="0" w:type="auto"/>
            <w:hideMark/>
          </w:tcPr>
          <w:p w14:paraId="439B81EE" w14:textId="77777777" w:rsidR="003A08A9" w:rsidRPr="00E856B0" w:rsidRDefault="003A08A9" w:rsidP="004935D0">
            <w:pPr>
              <w:rPr>
                <w:sz w:val="20"/>
                <w:szCs w:val="20"/>
                <w:lang w:val="en-AU"/>
              </w:rPr>
            </w:pPr>
            <w:r w:rsidRPr="00E856B0">
              <w:rPr>
                <w:sz w:val="20"/>
                <w:szCs w:val="20"/>
                <w:lang w:val="en-AU"/>
              </w:rPr>
              <w:t>Local media campaigns</w:t>
            </w:r>
          </w:p>
        </w:tc>
        <w:tc>
          <w:tcPr>
            <w:tcW w:w="0" w:type="auto"/>
            <w:hideMark/>
          </w:tcPr>
          <w:p w14:paraId="50B70361"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18097669"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3E104946"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11D7E5F0" w14:textId="252CA581" w:rsidR="003A08A9" w:rsidRPr="00E856B0" w:rsidRDefault="003A08A9" w:rsidP="004935D0">
            <w:pPr>
              <w:rPr>
                <w:sz w:val="20"/>
                <w:szCs w:val="20"/>
                <w:lang w:val="en-AU"/>
              </w:rPr>
            </w:pPr>
            <w:r w:rsidRPr="00E856B0">
              <w:rPr>
                <w:sz w:val="20"/>
                <w:szCs w:val="20"/>
                <w:lang w:val="en-AU"/>
              </w:rPr>
              <w:t>7.7%</w:t>
            </w:r>
          </w:p>
        </w:tc>
        <w:tc>
          <w:tcPr>
            <w:tcW w:w="0" w:type="auto"/>
            <w:hideMark/>
          </w:tcPr>
          <w:p w14:paraId="229CE40F" w14:textId="6D8B8EE9" w:rsidR="003A08A9" w:rsidRPr="00E856B0" w:rsidRDefault="003A08A9" w:rsidP="004935D0">
            <w:pPr>
              <w:rPr>
                <w:sz w:val="20"/>
                <w:szCs w:val="20"/>
                <w:lang w:val="en-AU"/>
              </w:rPr>
            </w:pPr>
            <w:r w:rsidRPr="00E856B0">
              <w:rPr>
                <w:sz w:val="20"/>
                <w:szCs w:val="20"/>
                <w:lang w:val="en-AU"/>
              </w:rPr>
              <w:t>92.3%</w:t>
            </w:r>
          </w:p>
        </w:tc>
      </w:tr>
      <w:tr w:rsidR="003A08A9" w:rsidRPr="00E856B0" w14:paraId="644EA56C" w14:textId="77777777" w:rsidTr="00A43B16">
        <w:trPr>
          <w:trHeight w:val="359"/>
        </w:trPr>
        <w:tc>
          <w:tcPr>
            <w:tcW w:w="0" w:type="auto"/>
            <w:hideMark/>
          </w:tcPr>
          <w:p w14:paraId="221F8612" w14:textId="77777777" w:rsidR="003A08A9" w:rsidRPr="00E856B0" w:rsidRDefault="003A08A9" w:rsidP="004935D0">
            <w:pPr>
              <w:rPr>
                <w:sz w:val="20"/>
                <w:szCs w:val="20"/>
                <w:lang w:val="en-AU"/>
              </w:rPr>
            </w:pPr>
            <w:r w:rsidRPr="00E856B0">
              <w:rPr>
                <w:sz w:val="20"/>
                <w:szCs w:val="20"/>
                <w:lang w:val="en-AU"/>
              </w:rPr>
              <w:t xml:space="preserve">Culturally appropriate </w:t>
            </w:r>
            <w:proofErr w:type="spellStart"/>
            <w:r w:rsidRPr="00E856B0">
              <w:rPr>
                <w:sz w:val="20"/>
                <w:szCs w:val="20"/>
                <w:lang w:val="en-AU"/>
              </w:rPr>
              <w:t>Quitline</w:t>
            </w:r>
            <w:proofErr w:type="spellEnd"/>
            <w:r w:rsidRPr="00E856B0">
              <w:rPr>
                <w:sz w:val="20"/>
                <w:szCs w:val="20"/>
                <w:lang w:val="en-AU"/>
              </w:rPr>
              <w:t xml:space="preserve"> services</w:t>
            </w:r>
          </w:p>
        </w:tc>
        <w:tc>
          <w:tcPr>
            <w:tcW w:w="0" w:type="auto"/>
            <w:hideMark/>
          </w:tcPr>
          <w:p w14:paraId="483A784A"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62599A9" w14:textId="3AB1928A" w:rsidR="003A08A9" w:rsidRPr="00E856B0" w:rsidRDefault="003A08A9" w:rsidP="004935D0">
            <w:pPr>
              <w:rPr>
                <w:sz w:val="20"/>
                <w:szCs w:val="20"/>
                <w:lang w:val="en-AU"/>
              </w:rPr>
            </w:pPr>
            <w:r w:rsidRPr="00E856B0">
              <w:rPr>
                <w:sz w:val="20"/>
                <w:szCs w:val="20"/>
                <w:lang w:val="en-AU"/>
              </w:rPr>
              <w:t>7.7%</w:t>
            </w:r>
          </w:p>
        </w:tc>
        <w:tc>
          <w:tcPr>
            <w:tcW w:w="0" w:type="auto"/>
            <w:hideMark/>
          </w:tcPr>
          <w:p w14:paraId="6B8495A6" w14:textId="0C1BAC16" w:rsidR="003A08A9" w:rsidRPr="00E856B0" w:rsidRDefault="003A08A9" w:rsidP="004935D0">
            <w:pPr>
              <w:rPr>
                <w:sz w:val="20"/>
                <w:szCs w:val="20"/>
                <w:lang w:val="en-AU"/>
              </w:rPr>
            </w:pPr>
            <w:r w:rsidRPr="00E856B0">
              <w:rPr>
                <w:sz w:val="20"/>
                <w:szCs w:val="20"/>
                <w:lang w:val="en-AU"/>
              </w:rPr>
              <w:t>7.7%</w:t>
            </w:r>
          </w:p>
        </w:tc>
        <w:tc>
          <w:tcPr>
            <w:tcW w:w="0" w:type="auto"/>
            <w:hideMark/>
          </w:tcPr>
          <w:p w14:paraId="586DF66B" w14:textId="11BB3093" w:rsidR="003A08A9" w:rsidRPr="00E856B0" w:rsidRDefault="003A08A9" w:rsidP="004935D0">
            <w:pPr>
              <w:rPr>
                <w:sz w:val="20"/>
                <w:szCs w:val="20"/>
                <w:lang w:val="en-AU"/>
              </w:rPr>
            </w:pPr>
            <w:r w:rsidRPr="00E856B0">
              <w:rPr>
                <w:sz w:val="20"/>
                <w:szCs w:val="20"/>
                <w:lang w:val="en-AU"/>
              </w:rPr>
              <w:t>7.7%</w:t>
            </w:r>
          </w:p>
        </w:tc>
        <w:tc>
          <w:tcPr>
            <w:tcW w:w="0" w:type="auto"/>
            <w:hideMark/>
          </w:tcPr>
          <w:p w14:paraId="0D933D1E" w14:textId="6786B853" w:rsidR="003A08A9" w:rsidRPr="00E856B0" w:rsidRDefault="003A08A9" w:rsidP="004935D0">
            <w:pPr>
              <w:rPr>
                <w:sz w:val="20"/>
                <w:szCs w:val="20"/>
                <w:lang w:val="en-AU"/>
              </w:rPr>
            </w:pPr>
            <w:r w:rsidRPr="00E856B0">
              <w:rPr>
                <w:sz w:val="20"/>
                <w:szCs w:val="20"/>
                <w:lang w:val="en-AU"/>
              </w:rPr>
              <w:t>76.9%</w:t>
            </w:r>
          </w:p>
        </w:tc>
      </w:tr>
      <w:tr w:rsidR="003A08A9" w:rsidRPr="00E856B0" w14:paraId="25CCB177" w14:textId="77777777" w:rsidTr="00A43B16">
        <w:trPr>
          <w:trHeight w:val="400"/>
        </w:trPr>
        <w:tc>
          <w:tcPr>
            <w:tcW w:w="0" w:type="auto"/>
            <w:hideMark/>
          </w:tcPr>
          <w:p w14:paraId="382CFB93" w14:textId="77777777" w:rsidR="003A08A9" w:rsidRPr="00E856B0" w:rsidRDefault="003A08A9" w:rsidP="004935D0">
            <w:pPr>
              <w:rPr>
                <w:sz w:val="20"/>
                <w:szCs w:val="20"/>
                <w:lang w:val="en-AU"/>
              </w:rPr>
            </w:pPr>
            <w:r w:rsidRPr="00E856B0">
              <w:rPr>
                <w:sz w:val="20"/>
                <w:szCs w:val="20"/>
                <w:lang w:val="en-AU"/>
              </w:rPr>
              <w:t>Preventing tobacco uptake</w:t>
            </w:r>
          </w:p>
        </w:tc>
        <w:tc>
          <w:tcPr>
            <w:tcW w:w="0" w:type="auto"/>
            <w:hideMark/>
          </w:tcPr>
          <w:p w14:paraId="3672329B"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560C3A07"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2E1AF097"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5A8CA6B9" w14:textId="0BF9351D" w:rsidR="003A08A9" w:rsidRPr="00E856B0" w:rsidRDefault="003A08A9" w:rsidP="004935D0">
            <w:pPr>
              <w:rPr>
                <w:sz w:val="20"/>
                <w:szCs w:val="20"/>
                <w:lang w:val="en-AU"/>
              </w:rPr>
            </w:pPr>
            <w:r w:rsidRPr="00E856B0">
              <w:rPr>
                <w:sz w:val="20"/>
                <w:szCs w:val="20"/>
                <w:lang w:val="en-AU"/>
              </w:rPr>
              <w:t>7.7%</w:t>
            </w:r>
          </w:p>
        </w:tc>
        <w:tc>
          <w:tcPr>
            <w:tcW w:w="0" w:type="auto"/>
            <w:hideMark/>
          </w:tcPr>
          <w:p w14:paraId="60E4E730" w14:textId="7347A4BF" w:rsidR="003A08A9" w:rsidRPr="00E856B0" w:rsidRDefault="003A08A9" w:rsidP="004935D0">
            <w:pPr>
              <w:rPr>
                <w:sz w:val="20"/>
                <w:szCs w:val="20"/>
                <w:lang w:val="en-AU"/>
              </w:rPr>
            </w:pPr>
            <w:r w:rsidRPr="00E856B0">
              <w:rPr>
                <w:sz w:val="20"/>
                <w:szCs w:val="20"/>
                <w:lang w:val="en-AU"/>
              </w:rPr>
              <w:t>92.3%</w:t>
            </w:r>
          </w:p>
        </w:tc>
      </w:tr>
      <w:tr w:rsidR="003A08A9" w:rsidRPr="00E856B0" w14:paraId="32348B89" w14:textId="77777777" w:rsidTr="00A43B16">
        <w:trPr>
          <w:trHeight w:val="524"/>
        </w:trPr>
        <w:tc>
          <w:tcPr>
            <w:tcW w:w="0" w:type="auto"/>
            <w:hideMark/>
          </w:tcPr>
          <w:p w14:paraId="38C0D9C1" w14:textId="77777777" w:rsidR="003A08A9" w:rsidRPr="00E856B0" w:rsidRDefault="003A08A9" w:rsidP="004935D0">
            <w:pPr>
              <w:rPr>
                <w:sz w:val="20"/>
                <w:szCs w:val="20"/>
                <w:lang w:val="en-AU"/>
              </w:rPr>
            </w:pPr>
            <w:r w:rsidRPr="00E856B0">
              <w:rPr>
                <w:sz w:val="20"/>
                <w:szCs w:val="20"/>
                <w:lang w:val="en-AU"/>
              </w:rPr>
              <w:t>Local workforce training and development programmes</w:t>
            </w:r>
          </w:p>
        </w:tc>
        <w:tc>
          <w:tcPr>
            <w:tcW w:w="0" w:type="auto"/>
            <w:hideMark/>
          </w:tcPr>
          <w:p w14:paraId="00E84F16"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6B2EBB15"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7ACC0864"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006AE1FD" w14:textId="66145AC9" w:rsidR="003A08A9" w:rsidRPr="00E856B0" w:rsidRDefault="003A08A9" w:rsidP="004935D0">
            <w:pPr>
              <w:rPr>
                <w:sz w:val="20"/>
                <w:szCs w:val="20"/>
                <w:lang w:val="en-AU"/>
              </w:rPr>
            </w:pPr>
            <w:r w:rsidRPr="00E856B0">
              <w:rPr>
                <w:sz w:val="20"/>
                <w:szCs w:val="20"/>
                <w:lang w:val="en-AU"/>
              </w:rPr>
              <w:t>7.7%</w:t>
            </w:r>
          </w:p>
        </w:tc>
        <w:tc>
          <w:tcPr>
            <w:tcW w:w="0" w:type="auto"/>
            <w:hideMark/>
          </w:tcPr>
          <w:p w14:paraId="1F6C4B8D" w14:textId="609BD083" w:rsidR="003A08A9" w:rsidRPr="00E856B0" w:rsidRDefault="003A08A9" w:rsidP="004935D0">
            <w:pPr>
              <w:rPr>
                <w:sz w:val="20"/>
                <w:szCs w:val="20"/>
                <w:lang w:val="en-AU"/>
              </w:rPr>
            </w:pPr>
            <w:r w:rsidRPr="00E856B0">
              <w:rPr>
                <w:sz w:val="20"/>
                <w:szCs w:val="20"/>
                <w:lang w:val="en-AU"/>
              </w:rPr>
              <w:t>92.3%</w:t>
            </w:r>
          </w:p>
        </w:tc>
      </w:tr>
      <w:tr w:rsidR="003A08A9" w:rsidRPr="00E856B0" w14:paraId="527252CA" w14:textId="77777777" w:rsidTr="00A43B16">
        <w:trPr>
          <w:trHeight w:val="702"/>
        </w:trPr>
        <w:tc>
          <w:tcPr>
            <w:tcW w:w="0" w:type="auto"/>
            <w:hideMark/>
          </w:tcPr>
          <w:p w14:paraId="664EAC36" w14:textId="77777777" w:rsidR="003A08A9" w:rsidRPr="00E856B0" w:rsidRDefault="003A08A9" w:rsidP="004935D0">
            <w:pPr>
              <w:rPr>
                <w:sz w:val="20"/>
                <w:szCs w:val="20"/>
                <w:lang w:val="en-AU"/>
              </w:rPr>
            </w:pPr>
            <w:r w:rsidRPr="00E856B0">
              <w:rPr>
                <w:sz w:val="20"/>
                <w:szCs w:val="20"/>
                <w:lang w:val="en-AU"/>
              </w:rPr>
              <w:t>Support and leadership from the National Coordinator, Tackling Indigenous Smoking</w:t>
            </w:r>
          </w:p>
        </w:tc>
        <w:tc>
          <w:tcPr>
            <w:tcW w:w="0" w:type="auto"/>
            <w:hideMark/>
          </w:tcPr>
          <w:p w14:paraId="4F45D95E"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45B0C3F0"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2959B165" w14:textId="77777777" w:rsidR="003A08A9" w:rsidRPr="00E856B0" w:rsidRDefault="003A08A9" w:rsidP="004935D0">
            <w:pPr>
              <w:rPr>
                <w:sz w:val="20"/>
                <w:szCs w:val="20"/>
                <w:lang w:val="en-AU"/>
              </w:rPr>
            </w:pPr>
            <w:r w:rsidRPr="00E856B0">
              <w:rPr>
                <w:sz w:val="20"/>
                <w:szCs w:val="20"/>
                <w:lang w:val="en-AU"/>
              </w:rPr>
              <w:t> </w:t>
            </w:r>
          </w:p>
        </w:tc>
        <w:tc>
          <w:tcPr>
            <w:tcW w:w="0" w:type="auto"/>
            <w:hideMark/>
          </w:tcPr>
          <w:p w14:paraId="70F7360C" w14:textId="029742E4" w:rsidR="003A08A9" w:rsidRPr="00E856B0" w:rsidRDefault="003A08A9" w:rsidP="004935D0">
            <w:pPr>
              <w:rPr>
                <w:sz w:val="20"/>
                <w:szCs w:val="20"/>
                <w:lang w:val="en-AU"/>
              </w:rPr>
            </w:pPr>
            <w:r w:rsidRPr="00E856B0">
              <w:rPr>
                <w:sz w:val="20"/>
                <w:szCs w:val="20"/>
                <w:lang w:val="en-AU"/>
              </w:rPr>
              <w:t>16.7%</w:t>
            </w:r>
          </w:p>
        </w:tc>
        <w:tc>
          <w:tcPr>
            <w:tcW w:w="0" w:type="auto"/>
            <w:hideMark/>
          </w:tcPr>
          <w:p w14:paraId="56E159B4" w14:textId="29BD4BA5" w:rsidR="003A08A9" w:rsidRPr="00E856B0" w:rsidRDefault="003A08A9" w:rsidP="004935D0">
            <w:pPr>
              <w:rPr>
                <w:sz w:val="20"/>
                <w:szCs w:val="20"/>
                <w:lang w:val="en-AU"/>
              </w:rPr>
            </w:pPr>
            <w:r w:rsidRPr="00E856B0">
              <w:rPr>
                <w:sz w:val="20"/>
                <w:szCs w:val="20"/>
                <w:lang w:val="en-AU"/>
              </w:rPr>
              <w:t>83.3%</w:t>
            </w:r>
          </w:p>
        </w:tc>
      </w:tr>
    </w:tbl>
    <w:p w14:paraId="7EFD4F20" w14:textId="793F716E" w:rsidR="00237842" w:rsidRPr="00E856B0" w:rsidRDefault="007B46BD" w:rsidP="00096EA3">
      <w:pPr>
        <w:pStyle w:val="Heading3"/>
      </w:pPr>
      <w:r>
        <w:rPr>
          <w:noProof/>
        </w:rPr>
        <w:t>f) Best Value for Future  P</w:t>
      </w:r>
      <w:r w:rsidR="00410819" w:rsidRPr="00E856B0">
        <w:rPr>
          <w:noProof/>
        </w:rPr>
        <w:t>rogrammes</w:t>
      </w:r>
    </w:p>
    <w:p w14:paraId="35FE8190" w14:textId="081BE01A" w:rsidR="00D67F1A" w:rsidRDefault="00D67F1A" w:rsidP="004F6A5A">
      <w:pPr>
        <w:spacing w:line="276" w:lineRule="auto"/>
        <w:rPr>
          <w:lang w:val="en-AU"/>
        </w:rPr>
      </w:pPr>
      <w:r>
        <w:rPr>
          <w:lang w:val="en-AU"/>
        </w:rPr>
        <w:t>Whilst it was generally felt that</w:t>
      </w:r>
      <w:r w:rsidRPr="00E856B0">
        <w:rPr>
          <w:lang w:val="en-AU"/>
        </w:rPr>
        <w:t xml:space="preserve"> the message has got across in many areas about the harms of smoking and </w:t>
      </w:r>
      <w:r>
        <w:rPr>
          <w:lang w:val="en-AU"/>
        </w:rPr>
        <w:t xml:space="preserve">the </w:t>
      </w:r>
      <w:r w:rsidRPr="00E856B0">
        <w:rPr>
          <w:lang w:val="en-AU"/>
        </w:rPr>
        <w:t>benefits of smoke fr</w:t>
      </w:r>
      <w:r>
        <w:rPr>
          <w:lang w:val="en-AU"/>
        </w:rPr>
        <w:t>ee homes, cars and communities, it was strongly believed that these messages needed to be maintained</w:t>
      </w:r>
      <w:r w:rsidRPr="00E856B0">
        <w:rPr>
          <w:lang w:val="en-AU"/>
        </w:rPr>
        <w:t xml:space="preserve">. Both smoking cessation and prevention of uptake </w:t>
      </w:r>
      <w:r>
        <w:rPr>
          <w:lang w:val="en-AU"/>
        </w:rPr>
        <w:t>were seen as important for future programmes</w:t>
      </w:r>
      <w:r w:rsidRPr="00E856B0">
        <w:rPr>
          <w:lang w:val="en-AU"/>
        </w:rPr>
        <w:t xml:space="preserve">. </w:t>
      </w:r>
    </w:p>
    <w:p w14:paraId="07FFFF64" w14:textId="4AEACB34" w:rsidR="00F210D8" w:rsidRPr="00E856B0" w:rsidRDefault="00B566B9" w:rsidP="004F6A5A">
      <w:pPr>
        <w:spacing w:line="276" w:lineRule="auto"/>
        <w:rPr>
          <w:lang w:val="en-AU"/>
        </w:rPr>
      </w:pPr>
      <w:r>
        <w:rPr>
          <w:lang w:val="en-AU"/>
        </w:rPr>
        <w:t xml:space="preserve">Social marketing was seen as </w:t>
      </w:r>
      <w:r w:rsidR="00D67F1A">
        <w:rPr>
          <w:lang w:val="en-AU"/>
        </w:rPr>
        <w:t>continuing to play a key role in any future programme</w:t>
      </w:r>
      <w:r>
        <w:rPr>
          <w:lang w:val="en-AU"/>
        </w:rPr>
        <w:t xml:space="preserve">.  One industry expert </w:t>
      </w:r>
      <w:r w:rsidR="00F210D8">
        <w:rPr>
          <w:lang w:val="en-AU"/>
        </w:rPr>
        <w:t xml:space="preserve">stated that a </w:t>
      </w:r>
      <w:r w:rsidR="00505392" w:rsidRPr="00E856B0">
        <w:rPr>
          <w:lang w:val="en-AU"/>
        </w:rPr>
        <w:t>strong body of evidence in Australia shows social marketing campaigns are one of t</w:t>
      </w:r>
      <w:r w:rsidR="00F210D8">
        <w:rPr>
          <w:lang w:val="en-AU"/>
        </w:rPr>
        <w:t>he pillars of tobacco control and e</w:t>
      </w:r>
      <w:r w:rsidR="00505392" w:rsidRPr="00E856B0">
        <w:rPr>
          <w:lang w:val="en-AU"/>
        </w:rPr>
        <w:t xml:space="preserve">valuation of the State funded </w:t>
      </w:r>
      <w:r w:rsidR="00410819" w:rsidRPr="00E856B0">
        <w:rPr>
          <w:lang w:val="en-AU"/>
        </w:rPr>
        <w:t>social marketing campaign ‘Give up smokes for good’</w:t>
      </w:r>
      <w:r w:rsidR="00505392" w:rsidRPr="00E856B0">
        <w:rPr>
          <w:lang w:val="en-AU"/>
        </w:rPr>
        <w:t xml:space="preserve"> suggests that this is also the case for reducing smoking prevalence among the Indigenous population. </w:t>
      </w:r>
      <w:r w:rsidR="00F210D8">
        <w:rPr>
          <w:lang w:val="en-AU"/>
        </w:rPr>
        <w:t xml:space="preserve">Thus it was felt that the </w:t>
      </w:r>
      <w:r w:rsidR="00505392" w:rsidRPr="00E856B0">
        <w:rPr>
          <w:lang w:val="en-AU"/>
        </w:rPr>
        <w:t xml:space="preserve">highest priority </w:t>
      </w:r>
      <w:r w:rsidR="00410819" w:rsidRPr="00E856B0">
        <w:rPr>
          <w:lang w:val="en-AU"/>
        </w:rPr>
        <w:t xml:space="preserve">should </w:t>
      </w:r>
      <w:r w:rsidR="00505392" w:rsidRPr="00E856B0">
        <w:rPr>
          <w:lang w:val="en-AU"/>
        </w:rPr>
        <w:t xml:space="preserve">be given to funding the continuation of high quality social marketing campaigns that are evaluated to inform development and to measure progress. </w:t>
      </w:r>
      <w:r w:rsidR="00F210D8">
        <w:rPr>
          <w:lang w:val="en-AU"/>
        </w:rPr>
        <w:t>A number of others also felt r</w:t>
      </w:r>
      <w:r w:rsidR="00F210D8" w:rsidRPr="00E856B0">
        <w:rPr>
          <w:lang w:val="en-AU"/>
        </w:rPr>
        <w:t>eso</w:t>
      </w:r>
      <w:r w:rsidR="00F210D8">
        <w:rPr>
          <w:lang w:val="en-AU"/>
        </w:rPr>
        <w:t>urces should be directed at a</w:t>
      </w:r>
      <w:r w:rsidR="00F210D8" w:rsidRPr="00E856B0">
        <w:rPr>
          <w:lang w:val="en-AU"/>
        </w:rPr>
        <w:t>nti-tobacco social marketing campaigns</w:t>
      </w:r>
      <w:r w:rsidR="00F210D8">
        <w:rPr>
          <w:lang w:val="en-AU"/>
        </w:rPr>
        <w:t xml:space="preserve">.  </w:t>
      </w:r>
      <w:r w:rsidR="00F210D8" w:rsidRPr="00E856B0">
        <w:rPr>
          <w:lang w:val="en-AU"/>
        </w:rPr>
        <w:t xml:space="preserve"> </w:t>
      </w:r>
      <w:r w:rsidR="00F210D8">
        <w:rPr>
          <w:lang w:val="en-AU"/>
        </w:rPr>
        <w:t>It was suggested that TV campaigns were important, but that these should be</w:t>
      </w:r>
      <w:r w:rsidR="00F210D8" w:rsidRPr="00E856B0">
        <w:rPr>
          <w:lang w:val="en-AU"/>
        </w:rPr>
        <w:t xml:space="preserve"> supplemented with local c</w:t>
      </w:r>
      <w:r w:rsidR="00F210D8">
        <w:rPr>
          <w:lang w:val="en-AU"/>
        </w:rPr>
        <w:t>ampaigns using similar messages</w:t>
      </w:r>
      <w:r w:rsidR="00F210D8" w:rsidRPr="00E856B0">
        <w:rPr>
          <w:lang w:val="en-AU"/>
        </w:rPr>
        <w:t xml:space="preserve">. </w:t>
      </w:r>
      <w:r w:rsidR="00F210D8">
        <w:rPr>
          <w:lang w:val="en-AU"/>
        </w:rPr>
        <w:t xml:space="preserve">It was also recommended that this would </w:t>
      </w:r>
      <w:r w:rsidR="00F210D8" w:rsidRPr="00E856B0">
        <w:rPr>
          <w:lang w:val="en-AU"/>
        </w:rPr>
        <w:t xml:space="preserve">be most cost-effective </w:t>
      </w:r>
      <w:r w:rsidR="00F210D8">
        <w:rPr>
          <w:lang w:val="en-AU"/>
        </w:rPr>
        <w:t>if</w:t>
      </w:r>
      <w:r w:rsidR="00F210D8" w:rsidRPr="00E856B0">
        <w:rPr>
          <w:lang w:val="en-AU"/>
        </w:rPr>
        <w:t xml:space="preserve"> Aboriginal actors </w:t>
      </w:r>
      <w:r w:rsidR="00E1054C">
        <w:rPr>
          <w:lang w:val="en-AU"/>
        </w:rPr>
        <w:t xml:space="preserve">were used </w:t>
      </w:r>
      <w:r w:rsidR="00F210D8" w:rsidRPr="00E856B0">
        <w:rPr>
          <w:lang w:val="en-AU"/>
        </w:rPr>
        <w:t xml:space="preserve">in </w:t>
      </w:r>
      <w:r w:rsidR="00E1054C" w:rsidRPr="00E856B0">
        <w:rPr>
          <w:lang w:val="en-AU"/>
        </w:rPr>
        <w:t>mainstream</w:t>
      </w:r>
      <w:r w:rsidR="00E1054C">
        <w:rPr>
          <w:lang w:val="en-AU"/>
        </w:rPr>
        <w:t xml:space="preserve"> TV commercials.  This could include</w:t>
      </w:r>
      <w:r w:rsidR="00F210D8" w:rsidRPr="00E856B0">
        <w:rPr>
          <w:lang w:val="en-AU"/>
        </w:rPr>
        <w:t xml:space="preserve"> refilming existing high-performing ads (where copyright enables this) with Aboriginal acto</w:t>
      </w:r>
      <w:r w:rsidR="00E1054C">
        <w:rPr>
          <w:lang w:val="en-AU"/>
        </w:rPr>
        <w:t>rs. S</w:t>
      </w:r>
      <w:r w:rsidR="00E1054C" w:rsidRPr="00E856B0">
        <w:rPr>
          <w:lang w:val="en-AU"/>
        </w:rPr>
        <w:t>ufficient</w:t>
      </w:r>
      <w:r w:rsidR="00F210D8" w:rsidRPr="00E856B0">
        <w:rPr>
          <w:lang w:val="en-AU"/>
        </w:rPr>
        <w:t xml:space="preserve"> funds </w:t>
      </w:r>
      <w:r w:rsidR="00E1054C">
        <w:rPr>
          <w:lang w:val="en-AU"/>
        </w:rPr>
        <w:t xml:space="preserve">should also be provided </w:t>
      </w:r>
      <w:r w:rsidR="00F210D8" w:rsidRPr="00E856B0">
        <w:rPr>
          <w:lang w:val="en-AU"/>
        </w:rPr>
        <w:t xml:space="preserve">for </w:t>
      </w:r>
      <w:r w:rsidR="00E1054C" w:rsidRPr="00E856B0">
        <w:rPr>
          <w:lang w:val="en-AU"/>
        </w:rPr>
        <w:t>broadcasting</w:t>
      </w:r>
      <w:r w:rsidR="00F210D8" w:rsidRPr="00E856B0">
        <w:rPr>
          <w:lang w:val="en-AU"/>
        </w:rPr>
        <w:t xml:space="preserve"> </w:t>
      </w:r>
      <w:r w:rsidR="00E1054C">
        <w:rPr>
          <w:lang w:val="en-AU"/>
        </w:rPr>
        <w:t>these ads.</w:t>
      </w:r>
      <w:r w:rsidR="00E60F99" w:rsidRPr="00E60F99">
        <w:rPr>
          <w:lang w:val="en-AU"/>
        </w:rPr>
        <w:t xml:space="preserve"> </w:t>
      </w:r>
      <w:r w:rsidR="00E60F99">
        <w:rPr>
          <w:lang w:val="en-AU"/>
        </w:rPr>
        <w:t>It was also proposed that ‘getting</w:t>
      </w:r>
      <w:r w:rsidR="00E60F99" w:rsidRPr="00E856B0">
        <w:rPr>
          <w:lang w:val="en-AU"/>
        </w:rPr>
        <w:t xml:space="preserve"> clever</w:t>
      </w:r>
      <w:r w:rsidR="00E60F99">
        <w:rPr>
          <w:lang w:val="en-AU"/>
        </w:rPr>
        <w:t>’</w:t>
      </w:r>
      <w:r w:rsidR="00E60F99" w:rsidRPr="00E856B0">
        <w:rPr>
          <w:lang w:val="en-AU"/>
        </w:rPr>
        <w:t xml:space="preserve"> with media </w:t>
      </w:r>
      <w:r w:rsidR="00E60F99">
        <w:rPr>
          <w:lang w:val="en-AU"/>
        </w:rPr>
        <w:t>by following th</w:t>
      </w:r>
      <w:r w:rsidR="00E60F99" w:rsidRPr="00E856B0">
        <w:rPr>
          <w:lang w:val="en-AU"/>
        </w:rPr>
        <w:t xml:space="preserve">e </w:t>
      </w:r>
      <w:r w:rsidR="00E60F99">
        <w:rPr>
          <w:lang w:val="en-AU"/>
        </w:rPr>
        <w:t xml:space="preserve">example of </w:t>
      </w:r>
      <w:r w:rsidR="00E60F99" w:rsidRPr="00E856B0">
        <w:rPr>
          <w:lang w:val="en-AU"/>
        </w:rPr>
        <w:t>Cancer Institute NSW</w:t>
      </w:r>
      <w:r w:rsidR="00E60F99">
        <w:rPr>
          <w:lang w:val="en-AU"/>
        </w:rPr>
        <w:t>,</w:t>
      </w:r>
      <w:r w:rsidR="00E60F99" w:rsidRPr="00E856B0">
        <w:rPr>
          <w:lang w:val="en-AU"/>
        </w:rPr>
        <w:t xml:space="preserve"> </w:t>
      </w:r>
      <w:r w:rsidR="00E60F99">
        <w:rPr>
          <w:lang w:val="en-AU"/>
        </w:rPr>
        <w:t xml:space="preserve">which </w:t>
      </w:r>
      <w:r w:rsidR="00E60F99" w:rsidRPr="00E856B0">
        <w:rPr>
          <w:lang w:val="en-AU"/>
        </w:rPr>
        <w:t>provides funding for embedding of smoking cessation stories into TV program</w:t>
      </w:r>
      <w:r w:rsidR="00E60F99">
        <w:rPr>
          <w:lang w:val="en-AU"/>
        </w:rPr>
        <w:t>me</w:t>
      </w:r>
      <w:r w:rsidR="00E60F99" w:rsidRPr="00E856B0">
        <w:rPr>
          <w:lang w:val="en-AU"/>
        </w:rPr>
        <w:t>s - both reality TV shows and dramas on NITV</w:t>
      </w:r>
      <w:r w:rsidR="00E60F99">
        <w:rPr>
          <w:lang w:val="en-AU"/>
        </w:rPr>
        <w:t xml:space="preserve"> – might be another way forward</w:t>
      </w:r>
      <w:r w:rsidR="00E60F99" w:rsidRPr="00E856B0">
        <w:rPr>
          <w:lang w:val="en-AU"/>
        </w:rPr>
        <w:t xml:space="preserve">. </w:t>
      </w:r>
    </w:p>
    <w:p w14:paraId="52165D46" w14:textId="368B4F13" w:rsidR="00E1054C" w:rsidRDefault="00E1054C" w:rsidP="004F6A5A">
      <w:pPr>
        <w:spacing w:line="276" w:lineRule="auto"/>
        <w:rPr>
          <w:lang w:val="en-AU"/>
        </w:rPr>
      </w:pPr>
      <w:r>
        <w:rPr>
          <w:lang w:val="en-AU"/>
        </w:rPr>
        <w:t>One respondent stated that s</w:t>
      </w:r>
      <w:r w:rsidRPr="00E856B0">
        <w:rPr>
          <w:lang w:val="en-AU"/>
        </w:rPr>
        <w:t>moking cessation services have been repeatedly evaluated in the mainstream literature</w:t>
      </w:r>
      <w:r w:rsidR="00E60F99">
        <w:rPr>
          <w:lang w:val="en-AU"/>
        </w:rPr>
        <w:t>,</w:t>
      </w:r>
      <w:r w:rsidRPr="00E856B0">
        <w:rPr>
          <w:lang w:val="en-AU"/>
        </w:rPr>
        <w:t xml:space="preserve"> and by Australia's world-leading tobacco control experts</w:t>
      </w:r>
      <w:r w:rsidR="00E60F99">
        <w:rPr>
          <w:lang w:val="en-AU"/>
        </w:rPr>
        <w:t>,</w:t>
      </w:r>
      <w:r w:rsidRPr="00E856B0">
        <w:rPr>
          <w:lang w:val="en-AU"/>
        </w:rPr>
        <w:t xml:space="preserve"> as not being cost-effective. </w:t>
      </w:r>
      <w:r>
        <w:rPr>
          <w:lang w:val="en-AU"/>
        </w:rPr>
        <w:t xml:space="preserve">This was </w:t>
      </w:r>
      <w:r w:rsidR="00F53228">
        <w:rPr>
          <w:lang w:val="en-AU"/>
        </w:rPr>
        <w:t>p</w:t>
      </w:r>
      <w:r>
        <w:rPr>
          <w:lang w:val="en-AU"/>
        </w:rPr>
        <w:t xml:space="preserve">ut forward as one reason why social marketing at all levels - </w:t>
      </w:r>
      <w:r w:rsidRPr="00E856B0">
        <w:rPr>
          <w:lang w:val="en-AU"/>
        </w:rPr>
        <w:t>national mainstream, national indigenous</w:t>
      </w:r>
      <w:r>
        <w:rPr>
          <w:lang w:val="en-AU"/>
        </w:rPr>
        <w:t xml:space="preserve">-specific and regional/local – was so important.  However this same respondent did feel that </w:t>
      </w:r>
      <w:r w:rsidRPr="00E856B0">
        <w:rPr>
          <w:lang w:val="en-AU"/>
        </w:rPr>
        <w:t>community engagement through T</w:t>
      </w:r>
      <w:r>
        <w:rPr>
          <w:lang w:val="en-AU"/>
        </w:rPr>
        <w:t>I</w:t>
      </w:r>
      <w:r w:rsidRPr="00E856B0">
        <w:rPr>
          <w:lang w:val="en-AU"/>
        </w:rPr>
        <w:t>S</w:t>
      </w:r>
      <w:r>
        <w:rPr>
          <w:lang w:val="en-AU"/>
        </w:rPr>
        <w:t>&amp;HLT teams, support</w:t>
      </w:r>
      <w:r w:rsidRPr="00E856B0">
        <w:rPr>
          <w:lang w:val="en-AU"/>
        </w:rPr>
        <w:t xml:space="preserve"> for quitting through </w:t>
      </w:r>
      <w:proofErr w:type="spellStart"/>
      <w:r w:rsidRPr="00E856B0">
        <w:rPr>
          <w:lang w:val="en-AU"/>
        </w:rPr>
        <w:t>Quitlines</w:t>
      </w:r>
      <w:proofErr w:type="spellEnd"/>
      <w:r w:rsidRPr="00E856B0">
        <w:rPr>
          <w:lang w:val="en-AU"/>
        </w:rPr>
        <w:t xml:space="preserve"> and NRT </w:t>
      </w:r>
      <w:r>
        <w:rPr>
          <w:lang w:val="en-AU"/>
        </w:rPr>
        <w:t>would also be a good investment.</w:t>
      </w:r>
    </w:p>
    <w:p w14:paraId="3C7BCF73" w14:textId="77777777" w:rsidR="00E60F99" w:rsidRDefault="00F53228" w:rsidP="004F6A5A">
      <w:pPr>
        <w:spacing w:line="276" w:lineRule="auto"/>
        <w:rPr>
          <w:lang w:val="en-AU"/>
        </w:rPr>
      </w:pPr>
      <w:r>
        <w:rPr>
          <w:lang w:val="en-AU"/>
        </w:rPr>
        <w:lastRenderedPageBreak/>
        <w:t xml:space="preserve">Others also agreed that the investment in teams on the ground should continue.  </w:t>
      </w:r>
      <w:r w:rsidRPr="00E856B0">
        <w:rPr>
          <w:lang w:val="en-AU"/>
        </w:rPr>
        <w:t>With budgetary constraints</w:t>
      </w:r>
      <w:r>
        <w:rPr>
          <w:lang w:val="en-AU"/>
        </w:rPr>
        <w:t xml:space="preserve">, this was generally felt to be an important area for funding, particularly as the </w:t>
      </w:r>
      <w:r w:rsidRPr="00E856B0">
        <w:rPr>
          <w:lang w:val="en-AU"/>
        </w:rPr>
        <w:t>imp</w:t>
      </w:r>
      <w:r>
        <w:rPr>
          <w:lang w:val="en-AU"/>
        </w:rPr>
        <w:t xml:space="preserve">act </w:t>
      </w:r>
      <w:r w:rsidRPr="00E856B0">
        <w:rPr>
          <w:lang w:val="en-AU"/>
        </w:rPr>
        <w:t xml:space="preserve">of local programs </w:t>
      </w:r>
      <w:r>
        <w:rPr>
          <w:lang w:val="en-AU"/>
        </w:rPr>
        <w:t xml:space="preserve">was felt to </w:t>
      </w:r>
      <w:r w:rsidR="00E60F99">
        <w:rPr>
          <w:lang w:val="en-AU"/>
        </w:rPr>
        <w:t>be</w:t>
      </w:r>
      <w:r>
        <w:rPr>
          <w:lang w:val="en-AU"/>
        </w:rPr>
        <w:t xml:space="preserve"> high</w:t>
      </w:r>
      <w:r w:rsidRPr="00E856B0">
        <w:rPr>
          <w:lang w:val="en-AU"/>
        </w:rPr>
        <w:t xml:space="preserve">. </w:t>
      </w:r>
      <w:r w:rsidR="00E60F99">
        <w:rPr>
          <w:lang w:val="en-AU"/>
        </w:rPr>
        <w:t>It was strongly felt that c</w:t>
      </w:r>
      <w:r w:rsidRPr="00E856B0">
        <w:rPr>
          <w:lang w:val="en-AU"/>
        </w:rPr>
        <w:t xml:space="preserve">ontinued investment in a community controlled highly skilled workforce, </w:t>
      </w:r>
      <w:r w:rsidR="00E60F99">
        <w:rPr>
          <w:lang w:val="en-AU"/>
        </w:rPr>
        <w:t>would provide</w:t>
      </w:r>
      <w:r w:rsidRPr="00E856B0">
        <w:rPr>
          <w:lang w:val="en-AU"/>
        </w:rPr>
        <w:t xml:space="preserve"> increased community engage</w:t>
      </w:r>
      <w:r w:rsidR="00E60F99">
        <w:rPr>
          <w:lang w:val="en-AU"/>
        </w:rPr>
        <w:t>ment with the programme and enhance</w:t>
      </w:r>
      <w:r w:rsidRPr="00E856B0">
        <w:rPr>
          <w:lang w:val="en-AU"/>
        </w:rPr>
        <w:t xml:space="preserve"> </w:t>
      </w:r>
      <w:r w:rsidR="00E60F99">
        <w:rPr>
          <w:lang w:val="en-AU"/>
        </w:rPr>
        <w:t xml:space="preserve">pathways into quit such as </w:t>
      </w:r>
      <w:r w:rsidRPr="00E856B0">
        <w:rPr>
          <w:lang w:val="en-AU"/>
        </w:rPr>
        <w:t xml:space="preserve">access to NRT </w:t>
      </w:r>
    </w:p>
    <w:p w14:paraId="69657F7A" w14:textId="2D5FF776" w:rsidR="00F53228" w:rsidRPr="00E856B0" w:rsidRDefault="00E60F99" w:rsidP="004F6A5A">
      <w:pPr>
        <w:spacing w:line="276" w:lineRule="auto"/>
        <w:rPr>
          <w:lang w:val="en-AU"/>
        </w:rPr>
      </w:pPr>
      <w:proofErr w:type="gramStart"/>
      <w:r>
        <w:rPr>
          <w:lang w:val="en-AU"/>
        </w:rPr>
        <w:t xml:space="preserve">And </w:t>
      </w:r>
      <w:r w:rsidR="00F53228" w:rsidRPr="00E856B0">
        <w:rPr>
          <w:lang w:val="en-AU"/>
        </w:rPr>
        <w:t xml:space="preserve">tailored </w:t>
      </w:r>
      <w:proofErr w:type="spellStart"/>
      <w:r w:rsidR="00F53228" w:rsidRPr="00E856B0">
        <w:rPr>
          <w:lang w:val="en-AU"/>
        </w:rPr>
        <w:t>quitline</w:t>
      </w:r>
      <w:proofErr w:type="spellEnd"/>
      <w:r w:rsidR="00F53228" w:rsidRPr="00E856B0">
        <w:rPr>
          <w:lang w:val="en-AU"/>
        </w:rPr>
        <w:t xml:space="preserve"> services</w:t>
      </w:r>
      <w:r>
        <w:rPr>
          <w:lang w:val="en-AU"/>
        </w:rPr>
        <w:t>.</w:t>
      </w:r>
      <w:proofErr w:type="gramEnd"/>
      <w:r w:rsidR="00F53228" w:rsidRPr="00E856B0">
        <w:rPr>
          <w:lang w:val="en-AU"/>
        </w:rPr>
        <w:t xml:space="preserve"> </w:t>
      </w:r>
      <w:r>
        <w:rPr>
          <w:lang w:val="en-AU"/>
        </w:rPr>
        <w:t>Capacity building activities were therefore seen as</w:t>
      </w:r>
      <w:r w:rsidR="00F53228" w:rsidRPr="00E856B0">
        <w:rPr>
          <w:lang w:val="en-AU"/>
        </w:rPr>
        <w:t xml:space="preserve"> crucial in continuing the momentum of activity.</w:t>
      </w:r>
      <w:r>
        <w:rPr>
          <w:lang w:val="en-AU"/>
        </w:rPr>
        <w:t xml:space="preserve"> </w:t>
      </w:r>
      <w:r w:rsidR="00F53228" w:rsidRPr="00E856B0">
        <w:rPr>
          <w:lang w:val="en-AU"/>
        </w:rPr>
        <w:t xml:space="preserve">Retaining the existing workforce </w:t>
      </w:r>
      <w:r>
        <w:rPr>
          <w:lang w:val="en-AU"/>
        </w:rPr>
        <w:t xml:space="preserve">was also seen </w:t>
      </w:r>
      <w:r w:rsidR="00F53228" w:rsidRPr="00E856B0">
        <w:rPr>
          <w:lang w:val="en-AU"/>
        </w:rPr>
        <w:t>as a measure of success and example for the Indigenous Advancement Strategy priority areas of Jobs Land and Economy and Children and Schooling.</w:t>
      </w:r>
    </w:p>
    <w:p w14:paraId="780AF50D" w14:textId="370E53A5" w:rsidR="008D4F3C" w:rsidRDefault="00A43FDA" w:rsidP="004F6A5A">
      <w:pPr>
        <w:spacing w:line="276" w:lineRule="auto"/>
        <w:rPr>
          <w:lang w:val="en-AU"/>
        </w:rPr>
      </w:pPr>
      <w:r>
        <w:rPr>
          <w:lang w:val="en-AU"/>
        </w:rPr>
        <w:t xml:space="preserve">Ongoing training for this workforce, supporting </w:t>
      </w:r>
      <w:r w:rsidRPr="00E856B0">
        <w:rPr>
          <w:lang w:val="en-AU"/>
        </w:rPr>
        <w:t>individuals to develop more skills and knowledge on the job</w:t>
      </w:r>
      <w:r w:rsidR="00822474">
        <w:rPr>
          <w:lang w:val="en-AU"/>
        </w:rPr>
        <w:t>, was therefore a</w:t>
      </w:r>
      <w:r>
        <w:rPr>
          <w:lang w:val="en-AU"/>
        </w:rPr>
        <w:t xml:space="preserve">lso highly recommended. </w:t>
      </w:r>
      <w:proofErr w:type="spellStart"/>
      <w:r w:rsidR="00E1054C" w:rsidRPr="00E856B0">
        <w:rPr>
          <w:lang w:val="en-AU"/>
        </w:rPr>
        <w:t>Quitsk</w:t>
      </w:r>
      <w:r>
        <w:rPr>
          <w:lang w:val="en-AU"/>
        </w:rPr>
        <w:t>ills</w:t>
      </w:r>
      <w:proofErr w:type="spellEnd"/>
      <w:r>
        <w:rPr>
          <w:lang w:val="en-AU"/>
        </w:rPr>
        <w:t xml:space="preserve"> Smoking Cessation Training was mentioned by a number of respondents as good training for this workforce. It was also proposed that teams should be e</w:t>
      </w:r>
      <w:r w:rsidR="00E1054C" w:rsidRPr="00E856B0">
        <w:rPr>
          <w:lang w:val="en-AU"/>
        </w:rPr>
        <w:t>ncourage</w:t>
      </w:r>
      <w:r w:rsidR="00822474">
        <w:rPr>
          <w:lang w:val="en-AU"/>
        </w:rPr>
        <w:t>d</w:t>
      </w:r>
      <w:r w:rsidR="00E1054C" w:rsidRPr="00E856B0">
        <w:rPr>
          <w:lang w:val="en-AU"/>
        </w:rPr>
        <w:t xml:space="preserve"> to be influenced by evidenced based best practice</w:t>
      </w:r>
      <w:r>
        <w:rPr>
          <w:lang w:val="en-AU"/>
        </w:rPr>
        <w:t>.</w:t>
      </w:r>
      <w:r w:rsidRPr="00A43FDA">
        <w:rPr>
          <w:lang w:val="en-AU"/>
        </w:rPr>
        <w:t xml:space="preserve"> </w:t>
      </w:r>
      <w:r w:rsidR="008D4F3C">
        <w:rPr>
          <w:lang w:val="en-AU"/>
        </w:rPr>
        <w:t>Developing</w:t>
      </w:r>
      <w:r>
        <w:rPr>
          <w:lang w:val="en-AU"/>
        </w:rPr>
        <w:t xml:space="preserve"> the w</w:t>
      </w:r>
      <w:r w:rsidRPr="00E856B0">
        <w:rPr>
          <w:lang w:val="en-AU"/>
        </w:rPr>
        <w:t xml:space="preserve">orkforce </w:t>
      </w:r>
      <w:r w:rsidR="008D4F3C">
        <w:rPr>
          <w:lang w:val="en-AU"/>
        </w:rPr>
        <w:t>was seen as one of the best ways of ensuring</w:t>
      </w:r>
      <w:r w:rsidRPr="00E856B0">
        <w:rPr>
          <w:lang w:val="en-AU"/>
        </w:rPr>
        <w:t xml:space="preserve"> </w:t>
      </w:r>
      <w:r w:rsidR="008D4F3C" w:rsidRPr="00E856B0">
        <w:rPr>
          <w:lang w:val="en-AU"/>
        </w:rPr>
        <w:t>smoke</w:t>
      </w:r>
      <w:r w:rsidRPr="00E856B0">
        <w:rPr>
          <w:lang w:val="en-AU"/>
        </w:rPr>
        <w:t xml:space="preserve"> free messages and quit attempts</w:t>
      </w:r>
      <w:r w:rsidR="00822474">
        <w:rPr>
          <w:lang w:val="en-AU"/>
        </w:rPr>
        <w:t xml:space="preserve"> continue to be</w:t>
      </w:r>
      <w:r w:rsidRPr="00E856B0">
        <w:rPr>
          <w:lang w:val="en-AU"/>
        </w:rPr>
        <w:t xml:space="preserve"> promoted</w:t>
      </w:r>
      <w:r w:rsidR="008D4F3C">
        <w:rPr>
          <w:lang w:val="en-AU"/>
        </w:rPr>
        <w:t>.</w:t>
      </w:r>
    </w:p>
    <w:p w14:paraId="1E1F1FD6" w14:textId="3BABA1AE" w:rsidR="00A43FDA" w:rsidRPr="00E856B0" w:rsidRDefault="008D4F3C" w:rsidP="004F6A5A">
      <w:pPr>
        <w:spacing w:line="276" w:lineRule="auto"/>
        <w:rPr>
          <w:lang w:val="en-AU"/>
        </w:rPr>
      </w:pPr>
      <w:r>
        <w:rPr>
          <w:lang w:val="en-AU"/>
        </w:rPr>
        <w:t>Increasing access to o</w:t>
      </w:r>
      <w:r w:rsidR="00A43FDA" w:rsidRPr="00E856B0">
        <w:rPr>
          <w:lang w:val="en-AU"/>
        </w:rPr>
        <w:t xml:space="preserve">ne on one cessation support (that is not restricted by location and time), </w:t>
      </w:r>
      <w:r>
        <w:rPr>
          <w:lang w:val="en-AU"/>
        </w:rPr>
        <w:t xml:space="preserve">was also proposed as a good used of limited funds. It was felt that teams needed to be fully </w:t>
      </w:r>
      <w:r w:rsidRPr="00E856B0">
        <w:rPr>
          <w:lang w:val="en-AU"/>
        </w:rPr>
        <w:t>integrated</w:t>
      </w:r>
      <w:r w:rsidR="00E33AEB">
        <w:rPr>
          <w:lang w:val="en-AU"/>
        </w:rPr>
        <w:t xml:space="preserve"> with other services so as</w:t>
      </w:r>
      <w:r w:rsidRPr="00E856B0">
        <w:rPr>
          <w:lang w:val="en-AU"/>
        </w:rPr>
        <w:t xml:space="preserve"> to support </w:t>
      </w:r>
      <w:r w:rsidR="00E33AEB">
        <w:rPr>
          <w:lang w:val="en-AU"/>
        </w:rPr>
        <w:t>Aboriginal and Torres Strait Islander individuals</w:t>
      </w:r>
      <w:r w:rsidRPr="00E856B0">
        <w:rPr>
          <w:lang w:val="en-AU"/>
        </w:rPr>
        <w:t xml:space="preserve"> to seek s</w:t>
      </w:r>
      <w:r w:rsidR="00822474">
        <w:rPr>
          <w:lang w:val="en-AU"/>
        </w:rPr>
        <w:t>uch s</w:t>
      </w:r>
      <w:r w:rsidRPr="00E856B0">
        <w:rPr>
          <w:lang w:val="en-AU"/>
        </w:rPr>
        <w:t xml:space="preserve">pecific services through GPs in community clinics and private practices. </w:t>
      </w:r>
      <w:r w:rsidR="00E33AEB">
        <w:rPr>
          <w:lang w:val="en-AU"/>
        </w:rPr>
        <w:t>Cessation support wa</w:t>
      </w:r>
      <w:r w:rsidR="00E33AEB" w:rsidRPr="00E856B0">
        <w:rPr>
          <w:lang w:val="en-AU"/>
        </w:rPr>
        <w:t xml:space="preserve">s </w:t>
      </w:r>
      <w:r w:rsidR="00E33AEB">
        <w:rPr>
          <w:lang w:val="en-AU"/>
        </w:rPr>
        <w:t>thought to be</w:t>
      </w:r>
      <w:r w:rsidR="00E33AEB" w:rsidRPr="00E856B0">
        <w:rPr>
          <w:lang w:val="en-AU"/>
        </w:rPr>
        <w:t xml:space="preserve"> widely available and </w:t>
      </w:r>
      <w:r w:rsidR="00E33AEB">
        <w:rPr>
          <w:lang w:val="en-AU"/>
        </w:rPr>
        <w:t>done well</w:t>
      </w:r>
      <w:r w:rsidR="00E33AEB" w:rsidRPr="00E856B0">
        <w:rPr>
          <w:lang w:val="en-AU"/>
        </w:rPr>
        <w:t xml:space="preserve"> by </w:t>
      </w:r>
      <w:r w:rsidR="00E33AEB">
        <w:rPr>
          <w:lang w:val="en-AU"/>
        </w:rPr>
        <w:t xml:space="preserve">existing </w:t>
      </w:r>
      <w:r w:rsidR="00E33AEB" w:rsidRPr="00E856B0">
        <w:rPr>
          <w:lang w:val="en-AU"/>
        </w:rPr>
        <w:t xml:space="preserve">health professionals, but </w:t>
      </w:r>
      <w:r w:rsidR="00E33AEB">
        <w:rPr>
          <w:lang w:val="en-AU"/>
        </w:rPr>
        <w:t>links into the services were perhaps not always seamless. Increasing the</w:t>
      </w:r>
      <w:r w:rsidR="00E33AEB" w:rsidRPr="00E856B0">
        <w:rPr>
          <w:lang w:val="en-AU"/>
        </w:rPr>
        <w:t xml:space="preserve"> acceptability of ge</w:t>
      </w:r>
      <w:r w:rsidR="00E33AEB">
        <w:rPr>
          <w:lang w:val="en-AU"/>
        </w:rPr>
        <w:t>tting professional quit support, and the importance of</w:t>
      </w:r>
      <w:r w:rsidR="00E33AEB" w:rsidRPr="00E856B0">
        <w:rPr>
          <w:lang w:val="en-AU"/>
        </w:rPr>
        <w:t xml:space="preserve"> adherence to pharmacotherapies</w:t>
      </w:r>
      <w:r w:rsidR="00E33AEB">
        <w:rPr>
          <w:lang w:val="en-AU"/>
        </w:rPr>
        <w:t xml:space="preserve"> should therefore be a priority for health promotion teams</w:t>
      </w:r>
      <w:r w:rsidR="00E33AEB" w:rsidRPr="00E856B0">
        <w:rPr>
          <w:lang w:val="en-AU"/>
        </w:rPr>
        <w:t xml:space="preserve">. GPs and other health professionals </w:t>
      </w:r>
      <w:r w:rsidR="00E33AEB">
        <w:rPr>
          <w:lang w:val="en-AU"/>
        </w:rPr>
        <w:t xml:space="preserve">also </w:t>
      </w:r>
      <w:r w:rsidR="00E33AEB" w:rsidRPr="00E856B0">
        <w:rPr>
          <w:lang w:val="en-AU"/>
        </w:rPr>
        <w:t xml:space="preserve">need to be </w:t>
      </w:r>
      <w:r w:rsidR="00E33AEB">
        <w:rPr>
          <w:lang w:val="en-AU"/>
        </w:rPr>
        <w:t xml:space="preserve">trained so as to be </w:t>
      </w:r>
      <w:r w:rsidR="00E33AEB" w:rsidRPr="00E856B0">
        <w:rPr>
          <w:lang w:val="en-AU"/>
        </w:rPr>
        <w:t xml:space="preserve">more competent to provide these </w:t>
      </w:r>
      <w:r w:rsidR="00E33AEB">
        <w:rPr>
          <w:lang w:val="en-AU"/>
        </w:rPr>
        <w:t xml:space="preserve">services </w:t>
      </w:r>
      <w:r w:rsidR="00E33AEB" w:rsidRPr="00E856B0">
        <w:rPr>
          <w:lang w:val="en-AU"/>
        </w:rPr>
        <w:t xml:space="preserve">to </w:t>
      </w:r>
      <w:r w:rsidR="00E33AEB">
        <w:rPr>
          <w:lang w:val="en-AU"/>
        </w:rPr>
        <w:t xml:space="preserve">Aboriginal and Torres Strait Islander individuals. Finally it was </w:t>
      </w:r>
      <w:r w:rsidR="00D67F1A">
        <w:rPr>
          <w:lang w:val="en-AU"/>
        </w:rPr>
        <w:t>emphasised</w:t>
      </w:r>
      <w:r w:rsidR="00E33AEB">
        <w:rPr>
          <w:lang w:val="en-AU"/>
        </w:rPr>
        <w:t xml:space="preserve"> that </w:t>
      </w:r>
      <w:proofErr w:type="spellStart"/>
      <w:r w:rsidR="00A43FDA" w:rsidRPr="00E856B0">
        <w:rPr>
          <w:lang w:val="en-AU"/>
        </w:rPr>
        <w:t>Quitline</w:t>
      </w:r>
      <w:proofErr w:type="spellEnd"/>
      <w:r w:rsidR="00A43FDA" w:rsidRPr="00E856B0">
        <w:rPr>
          <w:lang w:val="en-AU"/>
        </w:rPr>
        <w:t xml:space="preserve"> should not be the only </w:t>
      </w:r>
      <w:r w:rsidR="00D67F1A">
        <w:rPr>
          <w:lang w:val="en-AU"/>
        </w:rPr>
        <w:t xml:space="preserve">cessation support </w:t>
      </w:r>
      <w:r w:rsidR="00A43FDA" w:rsidRPr="00E856B0">
        <w:rPr>
          <w:lang w:val="en-AU"/>
        </w:rPr>
        <w:t>option</w:t>
      </w:r>
      <w:r w:rsidR="00D67F1A">
        <w:rPr>
          <w:lang w:val="en-AU"/>
        </w:rPr>
        <w:t>,</w:t>
      </w:r>
      <w:r w:rsidR="00A43FDA" w:rsidRPr="00E856B0">
        <w:rPr>
          <w:lang w:val="en-AU"/>
        </w:rPr>
        <w:t xml:space="preserve"> as not everyone likes to access telephone support</w:t>
      </w:r>
      <w:r w:rsidR="00D67F1A">
        <w:rPr>
          <w:lang w:val="en-AU"/>
        </w:rPr>
        <w:t>.</w:t>
      </w:r>
    </w:p>
    <w:p w14:paraId="4850F342" w14:textId="058F7DAF" w:rsidR="00410819" w:rsidRPr="00E856B0" w:rsidRDefault="00505392" w:rsidP="004F6A5A">
      <w:pPr>
        <w:spacing w:line="276" w:lineRule="auto"/>
        <w:rPr>
          <w:lang w:val="en-AU"/>
        </w:rPr>
      </w:pPr>
      <w:r w:rsidRPr="00E856B0">
        <w:rPr>
          <w:lang w:val="en-AU"/>
        </w:rPr>
        <w:t xml:space="preserve">Funding </w:t>
      </w:r>
      <w:r w:rsidR="00822474">
        <w:rPr>
          <w:lang w:val="en-AU"/>
        </w:rPr>
        <w:t xml:space="preserve">for targeted interventions was also highlighted.  In particular it was felt that </w:t>
      </w:r>
      <w:r w:rsidRPr="00E856B0">
        <w:rPr>
          <w:lang w:val="en-AU"/>
        </w:rPr>
        <w:t>programmes that specifically seek to increase the incide</w:t>
      </w:r>
      <w:r w:rsidR="00822474">
        <w:rPr>
          <w:lang w:val="en-AU"/>
        </w:rPr>
        <w:t>nce of smoke-free pregnancies were necessary given the high level of pregnant smokers in this population; a</w:t>
      </w:r>
      <w:r w:rsidR="00822474" w:rsidRPr="00E856B0">
        <w:rPr>
          <w:lang w:val="en-AU"/>
        </w:rPr>
        <w:t xml:space="preserve">ccess to oral forms of NRT </w:t>
      </w:r>
      <w:r w:rsidR="00822474">
        <w:rPr>
          <w:lang w:val="en-AU"/>
        </w:rPr>
        <w:t xml:space="preserve">were put forward as </w:t>
      </w:r>
      <w:r w:rsidR="00822474" w:rsidRPr="00E856B0">
        <w:rPr>
          <w:lang w:val="en-AU"/>
        </w:rPr>
        <w:t xml:space="preserve">critical for pregnant smokers. </w:t>
      </w:r>
      <w:r w:rsidR="00822474">
        <w:rPr>
          <w:lang w:val="en-AU"/>
        </w:rPr>
        <w:t>Targeting young people was suggested as important by one respondent who felt that this would stop the initiation of do many into smoking.  It was also noted that if parents</w:t>
      </w:r>
      <w:r w:rsidR="00822474" w:rsidRPr="00E856B0">
        <w:rPr>
          <w:lang w:val="en-AU"/>
        </w:rPr>
        <w:t xml:space="preserve"> quit the children </w:t>
      </w:r>
      <w:r w:rsidR="00822474">
        <w:rPr>
          <w:lang w:val="en-AU"/>
        </w:rPr>
        <w:t>are less likely to start smoking. Providing</w:t>
      </w:r>
      <w:r w:rsidR="00822474" w:rsidRPr="00E856B0">
        <w:rPr>
          <w:lang w:val="en-AU"/>
        </w:rPr>
        <w:t xml:space="preserve"> support and incentive</w:t>
      </w:r>
      <w:r w:rsidR="00822474">
        <w:rPr>
          <w:lang w:val="en-AU"/>
        </w:rPr>
        <w:t xml:space="preserve">s (not necessarily financial) for families to quit together was </w:t>
      </w:r>
      <w:r w:rsidR="00D466CB">
        <w:rPr>
          <w:lang w:val="en-AU"/>
        </w:rPr>
        <w:t>therefore proposed along with targeted messaging</w:t>
      </w:r>
      <w:r w:rsidR="00822474" w:rsidRPr="00E856B0">
        <w:rPr>
          <w:lang w:val="en-AU"/>
        </w:rPr>
        <w:t xml:space="preserve"> </w:t>
      </w:r>
      <w:r w:rsidR="00D466CB">
        <w:rPr>
          <w:lang w:val="en-AU"/>
        </w:rPr>
        <w:t>around smoking in the household.</w:t>
      </w:r>
    </w:p>
    <w:p w14:paraId="74CDBCE0" w14:textId="6842078C" w:rsidR="00A43FDA" w:rsidRDefault="00D466CB" w:rsidP="004F6A5A">
      <w:pPr>
        <w:spacing w:line="276" w:lineRule="auto"/>
        <w:rPr>
          <w:lang w:val="en-AU"/>
        </w:rPr>
      </w:pPr>
      <w:r>
        <w:rPr>
          <w:lang w:val="en-AU"/>
        </w:rPr>
        <w:t>It was also felt that broader national and regional interventions would also have an impact on smoking in Aboriginal and Torres Strait Islander populations.  These included tax increases on cigarettes, c</w:t>
      </w:r>
      <w:r w:rsidR="00505392" w:rsidRPr="00E856B0">
        <w:rPr>
          <w:lang w:val="en-AU"/>
        </w:rPr>
        <w:t>ontinued tightening of restrictions</w:t>
      </w:r>
      <w:r>
        <w:rPr>
          <w:lang w:val="en-AU"/>
        </w:rPr>
        <w:t xml:space="preserve"> on tobacco industry marketing and s</w:t>
      </w:r>
      <w:r w:rsidRPr="00E856B0">
        <w:rPr>
          <w:lang w:val="en-AU"/>
        </w:rPr>
        <w:t xml:space="preserve">ustained </w:t>
      </w:r>
      <w:r>
        <w:rPr>
          <w:lang w:val="en-AU"/>
        </w:rPr>
        <w:t>increases in</w:t>
      </w:r>
      <w:r w:rsidRPr="00E856B0">
        <w:rPr>
          <w:lang w:val="en-AU"/>
        </w:rPr>
        <w:t xml:space="preserve"> protection from</w:t>
      </w:r>
      <w:r>
        <w:rPr>
          <w:lang w:val="en-AU"/>
        </w:rPr>
        <w:t xml:space="preserve"> second hand smoke</w:t>
      </w:r>
      <w:r w:rsidRPr="00E856B0">
        <w:rPr>
          <w:lang w:val="en-AU"/>
        </w:rPr>
        <w:t xml:space="preserve"> via smoke</w:t>
      </w:r>
      <w:r>
        <w:rPr>
          <w:lang w:val="en-AU"/>
        </w:rPr>
        <w:t>-free regulations (particularly delivered through local and state policy). The issue o</w:t>
      </w:r>
      <w:r w:rsidR="000C771E">
        <w:rPr>
          <w:lang w:val="en-AU"/>
        </w:rPr>
        <w:t>f e-cigarettes was also raised;</w:t>
      </w:r>
      <w:r>
        <w:rPr>
          <w:lang w:val="en-AU"/>
        </w:rPr>
        <w:t xml:space="preserve"> it was suggested that c</w:t>
      </w:r>
      <w:r w:rsidR="00505392" w:rsidRPr="00E856B0">
        <w:rPr>
          <w:lang w:val="en-AU"/>
        </w:rPr>
        <w:t xml:space="preserve">are </w:t>
      </w:r>
      <w:r w:rsidRPr="00E856B0">
        <w:rPr>
          <w:lang w:val="en-AU"/>
        </w:rPr>
        <w:t>and</w:t>
      </w:r>
      <w:r w:rsidR="00505392" w:rsidRPr="00E856B0">
        <w:rPr>
          <w:lang w:val="en-AU"/>
        </w:rPr>
        <w:t xml:space="preserve"> possibly regulations will be needed </w:t>
      </w:r>
      <w:r>
        <w:rPr>
          <w:lang w:val="en-AU"/>
        </w:rPr>
        <w:t xml:space="preserve">in the future </w:t>
      </w:r>
      <w:r w:rsidR="00505392" w:rsidRPr="00E856B0">
        <w:rPr>
          <w:lang w:val="en-AU"/>
        </w:rPr>
        <w:t xml:space="preserve">to control industry </w:t>
      </w:r>
      <w:r w:rsidR="00C54D43" w:rsidRPr="00E856B0">
        <w:rPr>
          <w:lang w:val="en-AU"/>
        </w:rPr>
        <w:t>marketing</w:t>
      </w:r>
      <w:r w:rsidR="00505392" w:rsidRPr="00E856B0">
        <w:rPr>
          <w:lang w:val="en-AU"/>
        </w:rPr>
        <w:t xml:space="preserve"> </w:t>
      </w:r>
      <w:r w:rsidR="00C54D43" w:rsidRPr="00E856B0">
        <w:rPr>
          <w:lang w:val="en-AU"/>
        </w:rPr>
        <w:t>and</w:t>
      </w:r>
      <w:r w:rsidR="00C54D43">
        <w:rPr>
          <w:lang w:val="en-AU"/>
        </w:rPr>
        <w:t xml:space="preserve"> promotion of e-cigarettes. </w:t>
      </w:r>
    </w:p>
    <w:p w14:paraId="1709A411" w14:textId="1B687CEA" w:rsidR="00505392" w:rsidRPr="00E856B0" w:rsidRDefault="00C54D43" w:rsidP="004F6A5A">
      <w:pPr>
        <w:spacing w:line="276" w:lineRule="auto"/>
        <w:rPr>
          <w:lang w:val="en-AU"/>
        </w:rPr>
      </w:pPr>
      <w:r>
        <w:rPr>
          <w:lang w:val="en-AU"/>
        </w:rPr>
        <w:t>Finally it was recommended that</w:t>
      </w:r>
      <w:r w:rsidR="00505392" w:rsidRPr="00E856B0">
        <w:rPr>
          <w:lang w:val="en-AU"/>
        </w:rPr>
        <w:t xml:space="preserve"> funding rigorous evaluation and r</w:t>
      </w:r>
      <w:r>
        <w:rPr>
          <w:lang w:val="en-AU"/>
        </w:rPr>
        <w:t xml:space="preserve">esearch to underpin the programme </w:t>
      </w:r>
      <w:r w:rsidR="00505392" w:rsidRPr="00E856B0">
        <w:rPr>
          <w:lang w:val="en-AU"/>
        </w:rPr>
        <w:t xml:space="preserve">would also help </w:t>
      </w:r>
      <w:r>
        <w:rPr>
          <w:lang w:val="en-AU"/>
        </w:rPr>
        <w:t xml:space="preserve">to </w:t>
      </w:r>
      <w:r w:rsidR="00505392" w:rsidRPr="00E856B0">
        <w:rPr>
          <w:lang w:val="en-AU"/>
        </w:rPr>
        <w:t>ensure</w:t>
      </w:r>
      <w:r>
        <w:rPr>
          <w:lang w:val="en-AU"/>
        </w:rPr>
        <w:t xml:space="preserve"> that</w:t>
      </w:r>
      <w:r w:rsidR="00505392" w:rsidRPr="00E856B0">
        <w:rPr>
          <w:lang w:val="en-AU"/>
        </w:rPr>
        <w:t xml:space="preserve"> future funding could be directed to the most effective components.</w:t>
      </w:r>
    </w:p>
    <w:p w14:paraId="5D402211" w14:textId="2877FB5F" w:rsidR="00D45ED6" w:rsidRPr="00E856B0" w:rsidRDefault="00CF476C" w:rsidP="004F6A5A">
      <w:pPr>
        <w:pStyle w:val="Heading1"/>
        <w:spacing w:line="276" w:lineRule="auto"/>
        <w:rPr>
          <w:rFonts w:ascii="Arial Narrow" w:hAnsi="Arial Narrow"/>
          <w:lang w:val="en-AU"/>
        </w:rPr>
      </w:pPr>
      <w:r>
        <w:rPr>
          <w:rFonts w:ascii="Arial Narrow" w:hAnsi="Arial Narrow"/>
          <w:lang w:val="en-AU"/>
        </w:rPr>
        <w:lastRenderedPageBreak/>
        <w:t>Summary and C</w:t>
      </w:r>
      <w:r w:rsidR="00D45ED6" w:rsidRPr="00E856B0">
        <w:rPr>
          <w:rFonts w:ascii="Arial Narrow" w:hAnsi="Arial Narrow"/>
          <w:lang w:val="en-AU"/>
        </w:rPr>
        <w:t xml:space="preserve">onclusions </w:t>
      </w:r>
    </w:p>
    <w:p w14:paraId="0067C0C5" w14:textId="19282C72" w:rsidR="00D45ED6" w:rsidRPr="007B46BD" w:rsidRDefault="007B46BD" w:rsidP="007F182C">
      <w:pPr>
        <w:pStyle w:val="Heading2"/>
      </w:pPr>
      <w:r>
        <w:t>The Programme’s I</w:t>
      </w:r>
      <w:r w:rsidRPr="007B46BD">
        <w:t>mpact</w:t>
      </w:r>
      <w:r>
        <w:t xml:space="preserve"> on I</w:t>
      </w:r>
      <w:r w:rsidRPr="007B46BD">
        <w:t>ndivid</w:t>
      </w:r>
      <w:r>
        <w:t>uals and Communities</w:t>
      </w:r>
    </w:p>
    <w:p w14:paraId="275AE9D5" w14:textId="6FD0BBED" w:rsidR="00D45ED6" w:rsidRDefault="00CF476C" w:rsidP="004F6A5A">
      <w:pPr>
        <w:spacing w:line="276" w:lineRule="auto"/>
        <w:rPr>
          <w:lang w:val="en-AU"/>
        </w:rPr>
      </w:pPr>
      <w:r>
        <w:rPr>
          <w:lang w:val="en-AU"/>
        </w:rPr>
        <w:t>It is clear from both the written and interview feedback that TIS&amp;HL funded programmes were primarily educational in nature</w:t>
      </w:r>
      <w:r w:rsidR="000A408C">
        <w:rPr>
          <w:lang w:val="en-AU"/>
        </w:rPr>
        <w:t xml:space="preserve">, which is unsurprising given the health promotion focus of the programme.  </w:t>
      </w:r>
      <w:r w:rsidR="00377AA9">
        <w:rPr>
          <w:lang w:val="en-AU"/>
        </w:rPr>
        <w:t xml:space="preserve">Furthermore this was seen to be one of the most beneficial aspects of the approach and one of the main reasons for the programme being accepted by communities. </w:t>
      </w:r>
      <w:proofErr w:type="gramStart"/>
      <w:r w:rsidR="000A408C">
        <w:rPr>
          <w:lang w:val="en-AU"/>
        </w:rPr>
        <w:t>However most programmes had attempted to develop partnerships so as to link into local services, although this was more successful in some regions than others.</w:t>
      </w:r>
      <w:proofErr w:type="gramEnd"/>
      <w:r w:rsidR="000A408C">
        <w:rPr>
          <w:lang w:val="en-AU"/>
        </w:rPr>
        <w:t xml:space="preserve">  Indeed, it was evident that </w:t>
      </w:r>
      <w:r>
        <w:rPr>
          <w:lang w:val="en-AU"/>
        </w:rPr>
        <w:t>there were regional differences in implementation of the TIS&amp;HL programme</w:t>
      </w:r>
      <w:r w:rsidR="000A408C">
        <w:rPr>
          <w:lang w:val="en-AU"/>
        </w:rPr>
        <w:t>, with the greatest challenges being faced by remote and rural communities</w:t>
      </w:r>
      <w:r>
        <w:rPr>
          <w:lang w:val="en-AU"/>
        </w:rPr>
        <w:t xml:space="preserve">. However all were able to describe </w:t>
      </w:r>
      <w:r w:rsidR="000A408C">
        <w:rPr>
          <w:lang w:val="en-AU"/>
        </w:rPr>
        <w:t xml:space="preserve">programme </w:t>
      </w:r>
      <w:r>
        <w:rPr>
          <w:lang w:val="en-AU"/>
        </w:rPr>
        <w:t>successes</w:t>
      </w:r>
      <w:r w:rsidR="00446E1D">
        <w:rPr>
          <w:lang w:val="en-AU"/>
        </w:rPr>
        <w:t>, with the impact on communities and individuals</w:t>
      </w:r>
      <w:r w:rsidR="000A408C">
        <w:rPr>
          <w:lang w:val="en-AU"/>
        </w:rPr>
        <w:t xml:space="preserve"> including:</w:t>
      </w:r>
    </w:p>
    <w:p w14:paraId="4CF15E3C" w14:textId="5141ED7F" w:rsidR="000A408C" w:rsidRPr="000A408C" w:rsidRDefault="00377AA9" w:rsidP="004F6A5A">
      <w:pPr>
        <w:pStyle w:val="ListParagraph"/>
        <w:numPr>
          <w:ilvl w:val="0"/>
          <w:numId w:val="10"/>
        </w:numPr>
        <w:autoSpaceDE w:val="0"/>
        <w:autoSpaceDN w:val="0"/>
        <w:adjustRightInd w:val="0"/>
        <w:spacing w:line="276" w:lineRule="auto"/>
        <w:rPr>
          <w:rFonts w:cs="Calibri"/>
          <w:lang w:val="en-AU"/>
        </w:rPr>
      </w:pPr>
      <w:r>
        <w:rPr>
          <w:lang w:val="en-AU"/>
        </w:rPr>
        <w:t>Development of a skilled workforce with capacity to effect change;</w:t>
      </w:r>
    </w:p>
    <w:p w14:paraId="1F04F80A" w14:textId="0D753860" w:rsidR="000A408C" w:rsidRPr="000A408C" w:rsidRDefault="006E56AE" w:rsidP="004F6A5A">
      <w:pPr>
        <w:pStyle w:val="ListParagraph"/>
        <w:numPr>
          <w:ilvl w:val="0"/>
          <w:numId w:val="10"/>
        </w:numPr>
        <w:autoSpaceDE w:val="0"/>
        <w:autoSpaceDN w:val="0"/>
        <w:adjustRightInd w:val="0"/>
        <w:spacing w:line="276" w:lineRule="auto"/>
        <w:rPr>
          <w:rFonts w:cs="Calibri"/>
          <w:lang w:val="en-AU"/>
        </w:rPr>
      </w:pPr>
      <w:r>
        <w:rPr>
          <w:lang w:val="en-AU"/>
        </w:rPr>
        <w:t>Establishment of</w:t>
      </w:r>
      <w:r w:rsidR="00377AA9">
        <w:rPr>
          <w:lang w:val="en-AU"/>
        </w:rPr>
        <w:t xml:space="preserve"> </w:t>
      </w:r>
      <w:r>
        <w:rPr>
          <w:lang w:val="en-AU"/>
        </w:rPr>
        <w:t>networks and partnerships with other services;</w:t>
      </w:r>
    </w:p>
    <w:p w14:paraId="1D760D0C" w14:textId="0E6C5C85" w:rsidR="000A408C" w:rsidRPr="000A408C" w:rsidRDefault="006E56AE" w:rsidP="004F6A5A">
      <w:pPr>
        <w:pStyle w:val="ListParagraph"/>
        <w:numPr>
          <w:ilvl w:val="0"/>
          <w:numId w:val="10"/>
        </w:numPr>
        <w:autoSpaceDE w:val="0"/>
        <w:autoSpaceDN w:val="0"/>
        <w:adjustRightInd w:val="0"/>
        <w:spacing w:line="276" w:lineRule="auto"/>
        <w:rPr>
          <w:rFonts w:cs="Calibri"/>
          <w:lang w:val="en-AU"/>
        </w:rPr>
      </w:pPr>
      <w:r>
        <w:rPr>
          <w:lang w:val="en-AU"/>
        </w:rPr>
        <w:t>Local c</w:t>
      </w:r>
      <w:r w:rsidR="000A408C" w:rsidRPr="00E856B0">
        <w:rPr>
          <w:lang w:val="en-AU"/>
        </w:rPr>
        <w:t>ommunity involvement</w:t>
      </w:r>
      <w:r w:rsidR="00377AA9">
        <w:rPr>
          <w:lang w:val="en-AU"/>
        </w:rPr>
        <w:t xml:space="preserve"> </w:t>
      </w:r>
      <w:r>
        <w:rPr>
          <w:lang w:val="en-AU"/>
        </w:rPr>
        <w:t xml:space="preserve">in, </w:t>
      </w:r>
      <w:r w:rsidR="00377AA9">
        <w:rPr>
          <w:lang w:val="en-AU"/>
        </w:rPr>
        <w:t>and acceptance of</w:t>
      </w:r>
      <w:r>
        <w:rPr>
          <w:lang w:val="en-AU"/>
        </w:rPr>
        <w:t>,</w:t>
      </w:r>
      <w:r w:rsidR="00377AA9">
        <w:rPr>
          <w:lang w:val="en-AU"/>
        </w:rPr>
        <w:t xml:space="preserve"> the programme</w:t>
      </w:r>
      <w:r>
        <w:rPr>
          <w:lang w:val="en-AU"/>
        </w:rPr>
        <w:t xml:space="preserve"> – excellent programme reach;</w:t>
      </w:r>
      <w:r w:rsidR="000A408C" w:rsidRPr="00E856B0">
        <w:rPr>
          <w:lang w:val="en-AU"/>
        </w:rPr>
        <w:t xml:space="preserve"> </w:t>
      </w:r>
    </w:p>
    <w:p w14:paraId="75A0F942" w14:textId="3B74AC6C" w:rsidR="00CF476C" w:rsidRPr="000A408C" w:rsidRDefault="006E56AE" w:rsidP="004F6A5A">
      <w:pPr>
        <w:pStyle w:val="ListParagraph"/>
        <w:numPr>
          <w:ilvl w:val="0"/>
          <w:numId w:val="10"/>
        </w:numPr>
        <w:autoSpaceDE w:val="0"/>
        <w:autoSpaceDN w:val="0"/>
        <w:adjustRightInd w:val="0"/>
        <w:spacing w:line="276" w:lineRule="auto"/>
        <w:rPr>
          <w:rFonts w:cs="Calibri"/>
          <w:lang w:val="en-AU"/>
        </w:rPr>
      </w:pPr>
      <w:r>
        <w:rPr>
          <w:lang w:val="en-AU"/>
        </w:rPr>
        <w:t xml:space="preserve">New </w:t>
      </w:r>
      <w:r w:rsidR="000A408C" w:rsidRPr="00E856B0">
        <w:rPr>
          <w:lang w:val="en-AU"/>
        </w:rPr>
        <w:t>capacity for local community tobacco control and healthy lifestyle promotion</w:t>
      </w:r>
      <w:r w:rsidR="00CF476C" w:rsidRPr="000A408C">
        <w:rPr>
          <w:rFonts w:cs="Calibri"/>
          <w:lang w:val="en-AU"/>
        </w:rPr>
        <w:t>;</w:t>
      </w:r>
    </w:p>
    <w:p w14:paraId="5EA5361C" w14:textId="343C4A67" w:rsidR="000A408C" w:rsidRDefault="006E56AE" w:rsidP="004F6A5A">
      <w:pPr>
        <w:pStyle w:val="ListParagraph"/>
        <w:numPr>
          <w:ilvl w:val="0"/>
          <w:numId w:val="7"/>
        </w:numPr>
        <w:autoSpaceDE w:val="0"/>
        <w:autoSpaceDN w:val="0"/>
        <w:adjustRightInd w:val="0"/>
        <w:spacing w:line="276" w:lineRule="auto"/>
        <w:rPr>
          <w:rFonts w:cs="Calibri"/>
          <w:lang w:val="en-AU"/>
        </w:rPr>
      </w:pPr>
      <w:r>
        <w:rPr>
          <w:lang w:val="en-AU"/>
        </w:rPr>
        <w:t xml:space="preserve">Increased </w:t>
      </w:r>
      <w:r w:rsidR="000A408C" w:rsidRPr="00E856B0">
        <w:rPr>
          <w:lang w:val="en-AU"/>
        </w:rPr>
        <w:t xml:space="preserve">knowledge </w:t>
      </w:r>
      <w:r>
        <w:rPr>
          <w:lang w:val="en-AU"/>
        </w:rPr>
        <w:t xml:space="preserve">(at community and individual level) </w:t>
      </w:r>
      <w:r w:rsidR="000A408C" w:rsidRPr="00E856B0">
        <w:rPr>
          <w:lang w:val="en-AU"/>
        </w:rPr>
        <w:t>around the effects of smoking, and the benefits of healthy lifestyle choices around nutrition and exercise</w:t>
      </w:r>
      <w:r>
        <w:rPr>
          <w:lang w:val="en-AU"/>
        </w:rPr>
        <w:t>;</w:t>
      </w:r>
    </w:p>
    <w:p w14:paraId="0319B58E" w14:textId="26C783E1" w:rsidR="000A408C" w:rsidRPr="000A408C" w:rsidRDefault="006E56AE" w:rsidP="004F6A5A">
      <w:pPr>
        <w:pStyle w:val="ListParagraph"/>
        <w:numPr>
          <w:ilvl w:val="0"/>
          <w:numId w:val="7"/>
        </w:numPr>
        <w:autoSpaceDE w:val="0"/>
        <w:autoSpaceDN w:val="0"/>
        <w:adjustRightInd w:val="0"/>
        <w:spacing w:line="276" w:lineRule="auto"/>
        <w:rPr>
          <w:rFonts w:cs="Calibri"/>
          <w:lang w:val="en-AU"/>
        </w:rPr>
      </w:pPr>
      <w:r>
        <w:rPr>
          <w:lang w:val="en-AU"/>
        </w:rPr>
        <w:t xml:space="preserve">Individuals </w:t>
      </w:r>
      <w:r w:rsidR="000A408C" w:rsidRPr="00E856B0">
        <w:rPr>
          <w:lang w:val="en-AU"/>
        </w:rPr>
        <w:t>more comfortable about asking advice with regards to quitting, and othe</w:t>
      </w:r>
      <w:r>
        <w:rPr>
          <w:lang w:val="en-AU"/>
        </w:rPr>
        <w:t>r lifestyle changes;</w:t>
      </w:r>
    </w:p>
    <w:p w14:paraId="352D0D4A" w14:textId="2EC78D5F" w:rsidR="000A408C" w:rsidRPr="000A408C" w:rsidRDefault="006E56AE" w:rsidP="004F6A5A">
      <w:pPr>
        <w:pStyle w:val="ListParagraph"/>
        <w:numPr>
          <w:ilvl w:val="0"/>
          <w:numId w:val="7"/>
        </w:numPr>
        <w:autoSpaceDE w:val="0"/>
        <w:autoSpaceDN w:val="0"/>
        <w:adjustRightInd w:val="0"/>
        <w:spacing w:line="276" w:lineRule="auto"/>
        <w:rPr>
          <w:rFonts w:cs="Calibri"/>
          <w:lang w:val="en-AU"/>
        </w:rPr>
      </w:pPr>
      <w:r>
        <w:rPr>
          <w:lang w:val="en-AU"/>
        </w:rPr>
        <w:t>Increase in referrals</w:t>
      </w:r>
      <w:r w:rsidR="000A408C" w:rsidRPr="00E856B0">
        <w:rPr>
          <w:lang w:val="en-AU"/>
        </w:rPr>
        <w:t xml:space="preserve"> to smoking cessation services </w:t>
      </w:r>
      <w:r>
        <w:rPr>
          <w:lang w:val="en-AU"/>
        </w:rPr>
        <w:t xml:space="preserve">and </w:t>
      </w:r>
      <w:r w:rsidR="000A408C" w:rsidRPr="00E856B0">
        <w:rPr>
          <w:lang w:val="en-AU"/>
        </w:rPr>
        <w:t>known quit attempt</w:t>
      </w:r>
      <w:r>
        <w:rPr>
          <w:lang w:val="en-AU"/>
        </w:rPr>
        <w:t>s (estimated to be over 9,000)</w:t>
      </w:r>
    </w:p>
    <w:p w14:paraId="537CF0DF" w14:textId="089F469F" w:rsidR="000A408C" w:rsidRDefault="006E56AE" w:rsidP="004F6A5A">
      <w:pPr>
        <w:pStyle w:val="ListParagraph"/>
        <w:numPr>
          <w:ilvl w:val="0"/>
          <w:numId w:val="7"/>
        </w:numPr>
        <w:spacing w:line="276" w:lineRule="auto"/>
        <w:rPr>
          <w:lang w:val="en-AU"/>
        </w:rPr>
      </w:pPr>
      <w:r>
        <w:rPr>
          <w:lang w:val="en-AU"/>
        </w:rPr>
        <w:t xml:space="preserve">Increase in successful </w:t>
      </w:r>
      <w:r w:rsidR="000A408C" w:rsidRPr="000A408C">
        <w:rPr>
          <w:lang w:val="en-AU"/>
        </w:rPr>
        <w:t>quit</w:t>
      </w:r>
      <w:r>
        <w:rPr>
          <w:lang w:val="en-AU"/>
        </w:rPr>
        <w:t xml:space="preserve"> attempts (estimated to be over 700);</w:t>
      </w:r>
    </w:p>
    <w:p w14:paraId="69CB1C97" w14:textId="41403D7B" w:rsidR="000A408C" w:rsidRDefault="006E56AE" w:rsidP="004F6A5A">
      <w:pPr>
        <w:pStyle w:val="ListParagraph"/>
        <w:numPr>
          <w:ilvl w:val="0"/>
          <w:numId w:val="7"/>
        </w:numPr>
        <w:spacing w:line="276" w:lineRule="auto"/>
        <w:rPr>
          <w:lang w:val="en-AU"/>
        </w:rPr>
      </w:pPr>
      <w:r>
        <w:rPr>
          <w:lang w:val="en-AU"/>
        </w:rPr>
        <w:t xml:space="preserve">More people </w:t>
      </w:r>
      <w:r w:rsidR="000A408C" w:rsidRPr="00E856B0">
        <w:rPr>
          <w:lang w:val="en-AU"/>
        </w:rPr>
        <w:t>cutting down on the amount smoked</w:t>
      </w:r>
      <w:r>
        <w:rPr>
          <w:lang w:val="en-AU"/>
        </w:rPr>
        <w:t>;</w:t>
      </w:r>
    </w:p>
    <w:p w14:paraId="33C764D7" w14:textId="34115A7F" w:rsidR="006E56AE" w:rsidRDefault="006E56AE" w:rsidP="004F6A5A">
      <w:pPr>
        <w:pStyle w:val="ListParagraph"/>
        <w:numPr>
          <w:ilvl w:val="0"/>
          <w:numId w:val="7"/>
        </w:numPr>
        <w:spacing w:line="276" w:lineRule="auto"/>
        <w:rPr>
          <w:lang w:val="en-AU"/>
        </w:rPr>
      </w:pPr>
      <w:r>
        <w:rPr>
          <w:lang w:val="en-AU"/>
        </w:rPr>
        <w:t>More</w:t>
      </w:r>
      <w:r w:rsidRPr="00E856B0">
        <w:rPr>
          <w:lang w:val="en-AU"/>
        </w:rPr>
        <w:t xml:space="preserve"> </w:t>
      </w:r>
      <w:r>
        <w:rPr>
          <w:lang w:val="en-AU"/>
        </w:rPr>
        <w:t>smoke</w:t>
      </w:r>
      <w:r w:rsidR="00964E81">
        <w:rPr>
          <w:lang w:val="en-AU"/>
        </w:rPr>
        <w:t>-</w:t>
      </w:r>
      <w:r>
        <w:rPr>
          <w:lang w:val="en-AU"/>
        </w:rPr>
        <w:t>free communities and homes;</w:t>
      </w:r>
    </w:p>
    <w:p w14:paraId="754D49D9" w14:textId="7D34BD0E" w:rsidR="000A408C" w:rsidRPr="000A408C" w:rsidRDefault="006E56AE" w:rsidP="004F6A5A">
      <w:pPr>
        <w:pStyle w:val="ListParagraph"/>
        <w:numPr>
          <w:ilvl w:val="0"/>
          <w:numId w:val="7"/>
        </w:numPr>
        <w:spacing w:line="276" w:lineRule="auto"/>
        <w:rPr>
          <w:lang w:val="en-AU"/>
        </w:rPr>
      </w:pPr>
      <w:r>
        <w:rPr>
          <w:bCs/>
          <w:lang w:val="en-AU"/>
        </w:rPr>
        <w:t>Increase in</w:t>
      </w:r>
      <w:r w:rsidR="000A408C" w:rsidRPr="00E856B0">
        <w:rPr>
          <w:bCs/>
          <w:lang w:val="en-AU"/>
        </w:rPr>
        <w:t xml:space="preserve"> </w:t>
      </w:r>
      <w:r>
        <w:rPr>
          <w:bCs/>
          <w:lang w:val="en-AU"/>
        </w:rPr>
        <w:t xml:space="preserve">other healthy lifestyle choices, particularly with regard </w:t>
      </w:r>
      <w:r w:rsidR="000A408C" w:rsidRPr="00E856B0">
        <w:rPr>
          <w:bCs/>
          <w:lang w:val="en-AU"/>
        </w:rPr>
        <w:t>to physical activity</w:t>
      </w:r>
    </w:p>
    <w:p w14:paraId="46EE5B83" w14:textId="3F4ECCAC" w:rsidR="000A408C" w:rsidRPr="000A408C" w:rsidRDefault="00446E1D" w:rsidP="004F6A5A">
      <w:pPr>
        <w:autoSpaceDE w:val="0"/>
        <w:autoSpaceDN w:val="0"/>
        <w:adjustRightInd w:val="0"/>
        <w:spacing w:line="276" w:lineRule="auto"/>
        <w:rPr>
          <w:rFonts w:cs="Calibri"/>
          <w:lang w:val="en-AU"/>
        </w:rPr>
      </w:pPr>
      <w:r>
        <w:rPr>
          <w:rFonts w:cs="Calibri"/>
          <w:lang w:val="en-AU"/>
        </w:rPr>
        <w:t>In essence the programme had enabled a shift in community and individual readiness to change, with some communities being able to document change starting to take place.  This was also echoed in the information provided by industry experts</w:t>
      </w:r>
      <w:r w:rsidR="0017113F">
        <w:rPr>
          <w:rFonts w:cs="Calibri"/>
          <w:lang w:val="en-AU"/>
        </w:rPr>
        <w:t xml:space="preserve"> who generally felt that the programme funding had been appropriately allocated and that the subsequent team activities had been very effective.</w:t>
      </w:r>
      <w:r w:rsidR="00964E81">
        <w:rPr>
          <w:rFonts w:cs="Calibri"/>
          <w:lang w:val="en-AU"/>
        </w:rPr>
        <w:t xml:space="preserve"> </w:t>
      </w:r>
      <w:r w:rsidR="00964E81" w:rsidRPr="00E856B0">
        <w:rPr>
          <w:lang w:val="en-AU"/>
        </w:rPr>
        <w:t xml:space="preserve">Industry experts were </w:t>
      </w:r>
      <w:r w:rsidR="00964E81">
        <w:rPr>
          <w:lang w:val="en-AU"/>
        </w:rPr>
        <w:t xml:space="preserve">in full agreement with programme teams </w:t>
      </w:r>
      <w:proofErr w:type="spellStart"/>
      <w:r w:rsidR="00964E81">
        <w:rPr>
          <w:lang w:val="en-AU"/>
        </w:rPr>
        <w:t>c</w:t>
      </w:r>
      <w:r w:rsidR="00964E81" w:rsidRPr="00E856B0">
        <w:rPr>
          <w:lang w:val="en-AU"/>
        </w:rPr>
        <w:t>that</w:t>
      </w:r>
      <w:proofErr w:type="spellEnd"/>
      <w:r w:rsidR="00964E81" w:rsidRPr="00E856B0">
        <w:rPr>
          <w:lang w:val="en-AU"/>
        </w:rPr>
        <w:t xml:space="preserve"> the programme had been able to change local social norms around smoking</w:t>
      </w:r>
      <w:r w:rsidR="00964E81">
        <w:rPr>
          <w:lang w:val="en-AU"/>
        </w:rPr>
        <w:t xml:space="preserve">, and that </w:t>
      </w:r>
      <w:r w:rsidR="00964E81" w:rsidRPr="00E856B0">
        <w:rPr>
          <w:lang w:val="en-AU"/>
        </w:rPr>
        <w:t xml:space="preserve">Aboriginal and Torre Strait Islander smokers are now well informed and are </w:t>
      </w:r>
      <w:r w:rsidR="00964E81">
        <w:rPr>
          <w:lang w:val="en-AU"/>
        </w:rPr>
        <w:t xml:space="preserve">even </w:t>
      </w:r>
      <w:r w:rsidR="00964E81" w:rsidRPr="00E856B0">
        <w:rPr>
          <w:lang w:val="en-AU"/>
        </w:rPr>
        <w:t>acting to reduce smoking</w:t>
      </w:r>
      <w:r w:rsidR="00964E81">
        <w:rPr>
          <w:lang w:val="en-AU"/>
        </w:rPr>
        <w:t xml:space="preserve"> in some communities.  Industry experts saw the programme as more effective for changing smoking related behaviours than for changing other health </w:t>
      </w:r>
      <w:r w:rsidR="00180C4A">
        <w:rPr>
          <w:lang w:val="en-AU"/>
        </w:rPr>
        <w:t>related</w:t>
      </w:r>
      <w:r w:rsidR="00964E81">
        <w:rPr>
          <w:lang w:val="en-AU"/>
        </w:rPr>
        <w:t xml:space="preserve"> behaviours</w:t>
      </w:r>
      <w:r w:rsidR="00180C4A">
        <w:rPr>
          <w:lang w:val="en-AU"/>
        </w:rPr>
        <w:t xml:space="preserve">.  </w:t>
      </w:r>
    </w:p>
    <w:p w14:paraId="11C93A5D" w14:textId="5F70D15B" w:rsidR="00446E1D" w:rsidRPr="007B46BD" w:rsidRDefault="007B46BD" w:rsidP="007F182C">
      <w:pPr>
        <w:pStyle w:val="Heading2"/>
      </w:pPr>
      <w:r w:rsidRPr="007B46BD">
        <w:t>The</w:t>
      </w:r>
      <w:r>
        <w:t xml:space="preserve"> Barriers and enablers to Success</w:t>
      </w:r>
    </w:p>
    <w:p w14:paraId="3B874B18" w14:textId="6BA087A2" w:rsidR="00CF476C" w:rsidRPr="00446E1D" w:rsidRDefault="00446E1D" w:rsidP="004F6A5A">
      <w:pPr>
        <w:autoSpaceDE w:val="0"/>
        <w:autoSpaceDN w:val="0"/>
        <w:adjustRightInd w:val="0"/>
        <w:spacing w:line="276" w:lineRule="auto"/>
        <w:rPr>
          <w:rFonts w:cs="Calibri"/>
          <w:lang w:val="en-AU"/>
        </w:rPr>
      </w:pPr>
      <w:r>
        <w:rPr>
          <w:rFonts w:cs="Calibri"/>
          <w:lang w:val="en-AU"/>
        </w:rPr>
        <w:t>TIS&amp;HL teams were able to articulate a number of</w:t>
      </w:r>
      <w:r w:rsidR="00CF476C" w:rsidRPr="00446E1D">
        <w:rPr>
          <w:rFonts w:cs="Calibri"/>
          <w:lang w:val="en-AU"/>
        </w:rPr>
        <w:t xml:space="preserve"> barriers and enablers to </w:t>
      </w:r>
      <w:r>
        <w:rPr>
          <w:rFonts w:cs="Calibri"/>
          <w:lang w:val="en-AU"/>
        </w:rPr>
        <w:t xml:space="preserve">this success.  </w:t>
      </w:r>
      <w:r w:rsidR="00BA679A">
        <w:rPr>
          <w:rFonts w:cs="Calibri"/>
          <w:lang w:val="en-AU"/>
        </w:rPr>
        <w:t xml:space="preserve">Enablers included the health promotion focus of the programme referred to earlier, and the </w:t>
      </w:r>
      <w:r w:rsidR="00317E09">
        <w:rPr>
          <w:rFonts w:cs="Calibri"/>
          <w:lang w:val="en-AU"/>
        </w:rPr>
        <w:t>participation</w:t>
      </w:r>
      <w:r w:rsidR="00BA679A">
        <w:rPr>
          <w:rFonts w:cs="Calibri"/>
          <w:lang w:val="en-AU"/>
        </w:rPr>
        <w:t xml:space="preserve"> of the community in programme development.  Indeed</w:t>
      </w:r>
      <w:r w:rsidR="00317E09">
        <w:rPr>
          <w:rFonts w:cs="Calibri"/>
          <w:lang w:val="en-AU"/>
        </w:rPr>
        <w:t xml:space="preserve"> the community involvement was seen as the prime enabler; from the recruitment of a local workforce, through the active consultation with community members to the use of local champions and ambassadors, this was seen to be the most enabling element of TIS&amp;HL programme. </w:t>
      </w:r>
      <w:r>
        <w:rPr>
          <w:rFonts w:cs="Calibri"/>
          <w:lang w:val="en-AU"/>
        </w:rPr>
        <w:t>The barriers</w:t>
      </w:r>
      <w:r w:rsidR="00BA679A">
        <w:rPr>
          <w:rFonts w:cs="Calibri"/>
          <w:lang w:val="en-AU"/>
        </w:rPr>
        <w:t>, which it should be noted are not universal,</w:t>
      </w:r>
      <w:r>
        <w:rPr>
          <w:rFonts w:cs="Calibri"/>
          <w:lang w:val="en-AU"/>
        </w:rPr>
        <w:t xml:space="preserve"> included:</w:t>
      </w:r>
    </w:p>
    <w:p w14:paraId="134B13AA" w14:textId="639B0BE9" w:rsidR="00446E1D" w:rsidRDefault="00446E1D" w:rsidP="004F6A5A">
      <w:pPr>
        <w:pStyle w:val="ListParagraph"/>
        <w:numPr>
          <w:ilvl w:val="0"/>
          <w:numId w:val="7"/>
        </w:numPr>
        <w:autoSpaceDE w:val="0"/>
        <w:autoSpaceDN w:val="0"/>
        <w:adjustRightInd w:val="0"/>
        <w:spacing w:line="276" w:lineRule="auto"/>
        <w:rPr>
          <w:rFonts w:cs="Calibri"/>
          <w:lang w:val="en-AU"/>
        </w:rPr>
      </w:pPr>
      <w:r>
        <w:rPr>
          <w:rFonts w:cs="Calibri"/>
          <w:lang w:val="en-AU"/>
        </w:rPr>
        <w:t>Need for a ‘broker’ to support the move from community to clinical services once someone feels ready to quit smoking;</w:t>
      </w:r>
    </w:p>
    <w:p w14:paraId="343B52A1" w14:textId="09611A7B" w:rsidR="00446E1D" w:rsidRDefault="00446E1D" w:rsidP="004F6A5A">
      <w:pPr>
        <w:pStyle w:val="ListParagraph"/>
        <w:numPr>
          <w:ilvl w:val="0"/>
          <w:numId w:val="7"/>
        </w:numPr>
        <w:autoSpaceDE w:val="0"/>
        <w:autoSpaceDN w:val="0"/>
        <w:adjustRightInd w:val="0"/>
        <w:spacing w:line="276" w:lineRule="auto"/>
        <w:rPr>
          <w:rFonts w:cs="Calibri"/>
          <w:lang w:val="en-AU"/>
        </w:rPr>
      </w:pPr>
      <w:r>
        <w:rPr>
          <w:rFonts w:cs="Calibri"/>
          <w:lang w:val="en-AU"/>
        </w:rPr>
        <w:lastRenderedPageBreak/>
        <w:t xml:space="preserve">Delivery in remote and rural areas </w:t>
      </w:r>
      <w:r w:rsidR="00BA679A">
        <w:rPr>
          <w:rFonts w:cs="Calibri"/>
          <w:lang w:val="en-AU"/>
        </w:rPr>
        <w:t>can be challenging due to accessibility – travel to these areas is expensive and may also be impossible in the wet season;</w:t>
      </w:r>
    </w:p>
    <w:p w14:paraId="54CA46BB" w14:textId="6F1C470B" w:rsidR="00BA679A" w:rsidRDefault="00BA679A" w:rsidP="004F6A5A">
      <w:pPr>
        <w:pStyle w:val="ListParagraph"/>
        <w:numPr>
          <w:ilvl w:val="0"/>
          <w:numId w:val="7"/>
        </w:numPr>
        <w:autoSpaceDE w:val="0"/>
        <w:autoSpaceDN w:val="0"/>
        <w:adjustRightInd w:val="0"/>
        <w:spacing w:line="276" w:lineRule="auto"/>
        <w:rPr>
          <w:rFonts w:cs="Calibri"/>
          <w:lang w:val="en-AU"/>
        </w:rPr>
      </w:pPr>
      <w:r>
        <w:rPr>
          <w:rFonts w:cs="Calibri"/>
          <w:lang w:val="en-AU"/>
        </w:rPr>
        <w:t>Remoteness of service location can also impact on recruitment and retention and the deve</w:t>
      </w:r>
      <w:r w:rsidR="00317E09">
        <w:rPr>
          <w:rFonts w:cs="Calibri"/>
          <w:lang w:val="en-AU"/>
        </w:rPr>
        <w:t>lopment of service partnerships;</w:t>
      </w:r>
    </w:p>
    <w:p w14:paraId="3C4646F0" w14:textId="34947CE4" w:rsidR="00317E09" w:rsidRDefault="00317E09" w:rsidP="004F6A5A">
      <w:pPr>
        <w:pStyle w:val="ListParagraph"/>
        <w:numPr>
          <w:ilvl w:val="0"/>
          <w:numId w:val="7"/>
        </w:numPr>
        <w:autoSpaceDE w:val="0"/>
        <w:autoSpaceDN w:val="0"/>
        <w:adjustRightInd w:val="0"/>
        <w:spacing w:line="276" w:lineRule="auto"/>
        <w:rPr>
          <w:rFonts w:cs="Calibri"/>
          <w:lang w:val="en-AU"/>
        </w:rPr>
      </w:pPr>
      <w:r>
        <w:rPr>
          <w:rFonts w:cs="Calibri"/>
          <w:lang w:val="en-AU"/>
        </w:rPr>
        <w:t xml:space="preserve">Possible </w:t>
      </w:r>
      <w:proofErr w:type="gramStart"/>
      <w:r>
        <w:rPr>
          <w:rFonts w:cs="Calibri"/>
          <w:lang w:val="en-AU"/>
        </w:rPr>
        <w:t xml:space="preserve">misunderstanding in some quarters regarding the health promotion </w:t>
      </w:r>
      <w:r w:rsidR="00B54B44">
        <w:rPr>
          <w:rFonts w:cs="Calibri"/>
          <w:lang w:val="en-AU"/>
        </w:rPr>
        <w:t xml:space="preserve">and population health </w:t>
      </w:r>
      <w:r>
        <w:rPr>
          <w:rFonts w:cs="Calibri"/>
          <w:lang w:val="en-AU"/>
        </w:rPr>
        <w:t>focus</w:t>
      </w:r>
      <w:proofErr w:type="gramEnd"/>
      <w:r>
        <w:rPr>
          <w:rFonts w:cs="Calibri"/>
          <w:lang w:val="en-AU"/>
        </w:rPr>
        <w:t xml:space="preserve"> of the programme.</w:t>
      </w:r>
    </w:p>
    <w:p w14:paraId="22A189AF" w14:textId="66B1FE68" w:rsidR="00BA679A" w:rsidRDefault="00180C4A" w:rsidP="004F6A5A">
      <w:pPr>
        <w:autoSpaceDE w:val="0"/>
        <w:autoSpaceDN w:val="0"/>
        <w:adjustRightInd w:val="0"/>
        <w:spacing w:line="276" w:lineRule="auto"/>
        <w:rPr>
          <w:rFonts w:cs="Calibri"/>
          <w:lang w:val="en-AU"/>
        </w:rPr>
      </w:pPr>
      <w:r>
        <w:rPr>
          <w:rFonts w:cs="Calibri"/>
          <w:lang w:val="en-AU"/>
        </w:rPr>
        <w:t>Industry experts also felt that the local nature of the programme was the biggest contributor to its success. Local ownership, a dedicated local workforce and a directly relevant local approach were again seen as underpinning programme successes.  Experts also felt that the programme had also opened new options up to communities</w:t>
      </w:r>
      <w:r w:rsidR="001062BF">
        <w:rPr>
          <w:rFonts w:cs="Calibri"/>
          <w:lang w:val="en-AU"/>
        </w:rPr>
        <w:t>; it was suggested that some brokering of services was already</w:t>
      </w:r>
      <w:r>
        <w:rPr>
          <w:rFonts w:cs="Calibri"/>
          <w:lang w:val="en-AU"/>
        </w:rPr>
        <w:t xml:space="preserve"> </w:t>
      </w:r>
      <w:r w:rsidR="001062BF">
        <w:rPr>
          <w:rFonts w:cs="Calibri"/>
          <w:lang w:val="en-AU"/>
        </w:rPr>
        <w:t>taking place, which is in contrast to programme funders who saw the lack of brokers as a challenge to the programme.  It may therefore be that this brokering is happening in some communities but not others.</w:t>
      </w:r>
    </w:p>
    <w:p w14:paraId="24610CAA" w14:textId="3C640A93" w:rsidR="004B1FD7" w:rsidRDefault="004B1FD7" w:rsidP="004F6A5A">
      <w:pPr>
        <w:autoSpaceDE w:val="0"/>
        <w:autoSpaceDN w:val="0"/>
        <w:adjustRightInd w:val="0"/>
        <w:spacing w:line="276" w:lineRule="auto"/>
        <w:rPr>
          <w:rFonts w:cs="Calibri"/>
          <w:lang w:val="en-AU"/>
        </w:rPr>
      </w:pPr>
      <w:r>
        <w:rPr>
          <w:lang w:val="en-AU"/>
        </w:rPr>
        <w:t>According to industry experts, t</w:t>
      </w:r>
      <w:r w:rsidRPr="00E856B0">
        <w:rPr>
          <w:lang w:val="en-AU"/>
        </w:rPr>
        <w:t>he national approach</w:t>
      </w:r>
      <w:r>
        <w:rPr>
          <w:lang w:val="en-AU"/>
        </w:rPr>
        <w:t xml:space="preserve"> taken, and the leadership provided by the </w:t>
      </w:r>
      <w:r w:rsidRPr="00E856B0">
        <w:rPr>
          <w:lang w:val="en-AU"/>
        </w:rPr>
        <w:t xml:space="preserve">National Co-ordinator </w:t>
      </w:r>
      <w:r>
        <w:rPr>
          <w:lang w:val="en-AU"/>
        </w:rPr>
        <w:t xml:space="preserve">was also essential for programme success. National and regional meetings were also </w:t>
      </w:r>
      <w:r w:rsidRPr="00E856B0">
        <w:rPr>
          <w:lang w:val="en-AU"/>
        </w:rPr>
        <w:t>great</w:t>
      </w:r>
      <w:r>
        <w:rPr>
          <w:lang w:val="en-AU"/>
        </w:rPr>
        <w:t>ly</w:t>
      </w:r>
      <w:r w:rsidRPr="00E856B0">
        <w:rPr>
          <w:lang w:val="en-AU"/>
        </w:rPr>
        <w:t xml:space="preserve"> value</w:t>
      </w:r>
      <w:r>
        <w:rPr>
          <w:lang w:val="en-AU"/>
        </w:rPr>
        <w:t xml:space="preserve">d by programme teams, even though not listed as key to programme success; teams felt the </w:t>
      </w:r>
      <w:r w:rsidRPr="00E856B0">
        <w:rPr>
          <w:lang w:val="en-AU"/>
        </w:rPr>
        <w:t xml:space="preserve">support </w:t>
      </w:r>
      <w:r>
        <w:rPr>
          <w:lang w:val="en-AU"/>
        </w:rPr>
        <w:t xml:space="preserve">that was </w:t>
      </w:r>
      <w:r w:rsidRPr="00E856B0">
        <w:rPr>
          <w:lang w:val="en-AU"/>
        </w:rPr>
        <w:t>provided by nat</w:t>
      </w:r>
      <w:r>
        <w:rPr>
          <w:lang w:val="en-AU"/>
        </w:rPr>
        <w:t xml:space="preserve">ional and regional conferences were very useful in </w:t>
      </w:r>
      <w:r w:rsidRPr="00E856B0">
        <w:rPr>
          <w:lang w:val="en-AU"/>
        </w:rPr>
        <w:t>terms of networking, sharing good practice and keeping up to date</w:t>
      </w:r>
      <w:r>
        <w:rPr>
          <w:lang w:val="en-AU"/>
        </w:rPr>
        <w:t xml:space="preserve">. </w:t>
      </w:r>
    </w:p>
    <w:p w14:paraId="405B1641" w14:textId="05C8416E" w:rsidR="00180C4A" w:rsidRDefault="00CD202C" w:rsidP="004F6A5A">
      <w:pPr>
        <w:autoSpaceDE w:val="0"/>
        <w:autoSpaceDN w:val="0"/>
        <w:adjustRightInd w:val="0"/>
        <w:spacing w:line="276" w:lineRule="auto"/>
        <w:rPr>
          <w:rFonts w:cs="Calibri"/>
          <w:lang w:val="en-AU"/>
        </w:rPr>
      </w:pPr>
      <w:r>
        <w:rPr>
          <w:rFonts w:cs="Calibri"/>
          <w:lang w:val="en-AU"/>
        </w:rPr>
        <w:t xml:space="preserve">Some of the barriers to programme success raised by programme teams were reiterated by industry experts who also felt that there were challenges to implementation in remote and rural areas.  Whilst some of these were the same as those raised by teams (recruitment and retention), experts also presented other issues </w:t>
      </w:r>
      <w:r w:rsidR="00F26B7C">
        <w:rPr>
          <w:rFonts w:cs="Calibri"/>
          <w:lang w:val="en-AU"/>
        </w:rPr>
        <w:t>including</w:t>
      </w:r>
      <w:r>
        <w:rPr>
          <w:rFonts w:cs="Calibri"/>
          <w:lang w:val="en-AU"/>
        </w:rPr>
        <w:t xml:space="preserve"> limitations in the </w:t>
      </w:r>
      <w:r w:rsidR="00F26B7C">
        <w:rPr>
          <w:rFonts w:cs="Calibri"/>
          <w:lang w:val="en-AU"/>
        </w:rPr>
        <w:t xml:space="preserve">geographical </w:t>
      </w:r>
      <w:r>
        <w:rPr>
          <w:rFonts w:cs="Calibri"/>
          <w:lang w:val="en-AU"/>
        </w:rPr>
        <w:t xml:space="preserve">areas covered by </w:t>
      </w:r>
      <w:r w:rsidR="00F26B7C">
        <w:rPr>
          <w:rFonts w:cs="Calibri"/>
          <w:lang w:val="en-AU"/>
        </w:rPr>
        <w:t xml:space="preserve">some </w:t>
      </w:r>
      <w:r>
        <w:rPr>
          <w:rFonts w:cs="Calibri"/>
          <w:lang w:val="en-AU"/>
        </w:rPr>
        <w:t>teams</w:t>
      </w:r>
      <w:r w:rsidR="00F26B7C">
        <w:rPr>
          <w:rFonts w:cs="Calibri"/>
          <w:lang w:val="en-AU"/>
        </w:rPr>
        <w:t xml:space="preserve"> on the one hand</w:t>
      </w:r>
      <w:r>
        <w:rPr>
          <w:rFonts w:cs="Calibri"/>
          <w:lang w:val="en-AU"/>
        </w:rPr>
        <w:t xml:space="preserve">, and </w:t>
      </w:r>
      <w:r w:rsidR="00F26B7C">
        <w:rPr>
          <w:rFonts w:cs="Calibri"/>
          <w:lang w:val="en-AU"/>
        </w:rPr>
        <w:t>duplication of activity within geographical areas on the other. G</w:t>
      </w:r>
      <w:r>
        <w:rPr>
          <w:rFonts w:cs="Calibri"/>
          <w:lang w:val="en-AU"/>
        </w:rPr>
        <w:t xml:space="preserve">reater collaboration and partnership development was </w:t>
      </w:r>
      <w:r w:rsidR="00F26B7C">
        <w:rPr>
          <w:rFonts w:cs="Calibri"/>
          <w:lang w:val="en-AU"/>
        </w:rPr>
        <w:t>put forward as</w:t>
      </w:r>
      <w:r>
        <w:rPr>
          <w:rFonts w:cs="Calibri"/>
          <w:lang w:val="en-AU"/>
        </w:rPr>
        <w:t xml:space="preserve"> a solution to</w:t>
      </w:r>
      <w:r w:rsidR="00F26B7C">
        <w:rPr>
          <w:rFonts w:cs="Calibri"/>
          <w:lang w:val="en-AU"/>
        </w:rPr>
        <w:t xml:space="preserve"> this issue.</w:t>
      </w:r>
    </w:p>
    <w:p w14:paraId="5FF9F59B" w14:textId="476678C1" w:rsidR="00F26B7C" w:rsidRDefault="00F26B7C" w:rsidP="004F6A5A">
      <w:pPr>
        <w:autoSpaceDE w:val="0"/>
        <w:autoSpaceDN w:val="0"/>
        <w:adjustRightInd w:val="0"/>
        <w:spacing w:line="276" w:lineRule="auto"/>
        <w:rPr>
          <w:rFonts w:cs="Calibri"/>
          <w:lang w:val="en-AU"/>
        </w:rPr>
      </w:pPr>
      <w:r>
        <w:rPr>
          <w:rFonts w:cs="Calibri"/>
          <w:lang w:val="en-AU"/>
        </w:rPr>
        <w:t>In contrast, industry experts did not mention confusion over the programme purpose as an issue. They did however suggest that sometimes programme activities lacked an evidence base, which was suggested to have resulted in poor advice being given on occasions.  The importance of ensuring that evidence based activities are supported going forward was also highlighted by this group.</w:t>
      </w:r>
    </w:p>
    <w:p w14:paraId="6E82D0EE" w14:textId="2B0C4EAD" w:rsidR="00F26B7C" w:rsidRPr="007B46BD" w:rsidRDefault="007B46BD" w:rsidP="007F182C">
      <w:pPr>
        <w:pStyle w:val="Heading2"/>
      </w:pPr>
      <w:r>
        <w:t>Stakeholder S</w:t>
      </w:r>
      <w:r w:rsidRPr="007B46BD">
        <w:t>uggestions</w:t>
      </w:r>
      <w:r>
        <w:t xml:space="preserve"> for Future D</w:t>
      </w:r>
      <w:r w:rsidRPr="007B46BD">
        <w:t xml:space="preserve">evelopment </w:t>
      </w:r>
      <w:r>
        <w:t>in this A</w:t>
      </w:r>
      <w:r w:rsidR="0010238D">
        <w:t>rea</w:t>
      </w:r>
    </w:p>
    <w:p w14:paraId="5058A3C5" w14:textId="3C3957F5" w:rsidR="00CF476C" w:rsidRDefault="00446E1D" w:rsidP="004F6A5A">
      <w:pPr>
        <w:autoSpaceDE w:val="0"/>
        <w:autoSpaceDN w:val="0"/>
        <w:adjustRightInd w:val="0"/>
        <w:spacing w:line="276" w:lineRule="auto"/>
        <w:rPr>
          <w:lang w:val="en-AU"/>
        </w:rPr>
      </w:pPr>
      <w:r>
        <w:rPr>
          <w:rFonts w:cs="Calibri"/>
          <w:lang w:val="en-AU"/>
        </w:rPr>
        <w:t xml:space="preserve">In terms of </w:t>
      </w:r>
      <w:r w:rsidR="00CF476C" w:rsidRPr="00446E1D">
        <w:rPr>
          <w:rFonts w:cs="Calibri"/>
          <w:lang w:val="en-AU"/>
        </w:rPr>
        <w:t>suggestions for future development in this area</w:t>
      </w:r>
      <w:r w:rsidR="00317E09">
        <w:rPr>
          <w:rFonts w:cs="Calibri"/>
          <w:lang w:val="en-AU"/>
        </w:rPr>
        <w:t>,</w:t>
      </w:r>
      <w:r>
        <w:rPr>
          <w:rFonts w:cs="Calibri"/>
          <w:lang w:val="en-AU"/>
        </w:rPr>
        <w:t xml:space="preserve"> </w:t>
      </w:r>
      <w:r w:rsidR="00317E09">
        <w:rPr>
          <w:rFonts w:cs="Calibri"/>
          <w:lang w:val="en-AU"/>
        </w:rPr>
        <w:t xml:space="preserve">funded </w:t>
      </w:r>
      <w:r w:rsidRPr="00446E1D">
        <w:rPr>
          <w:rFonts w:cs="Calibri"/>
          <w:lang w:val="en-AU"/>
        </w:rPr>
        <w:t>stakeholder</w:t>
      </w:r>
      <w:r w:rsidR="00317E09">
        <w:rPr>
          <w:rFonts w:cs="Calibri"/>
          <w:lang w:val="en-AU"/>
        </w:rPr>
        <w:t>s were keen to emphasise the importance of population level approaches.  Many had already made plans for the sustainability of their programmes, including identifying what activities</w:t>
      </w:r>
      <w:r w:rsidR="0017113F">
        <w:rPr>
          <w:rFonts w:cs="Calibri"/>
          <w:lang w:val="en-AU"/>
        </w:rPr>
        <w:t xml:space="preserve"> should be </w:t>
      </w:r>
      <w:r w:rsidR="00317E09">
        <w:rPr>
          <w:rFonts w:cs="Calibri"/>
          <w:lang w:val="en-AU"/>
        </w:rPr>
        <w:t>maintained</w:t>
      </w:r>
      <w:r w:rsidR="0017113F">
        <w:rPr>
          <w:rFonts w:cs="Calibri"/>
          <w:lang w:val="en-AU"/>
        </w:rPr>
        <w:t>,</w:t>
      </w:r>
      <w:r w:rsidR="00317E09">
        <w:rPr>
          <w:rFonts w:cs="Calibri"/>
          <w:lang w:val="en-AU"/>
        </w:rPr>
        <w:t xml:space="preserve"> and what was needed to operate these services.</w:t>
      </w:r>
      <w:r w:rsidR="00BA59E7">
        <w:rPr>
          <w:rFonts w:cs="Calibri"/>
          <w:lang w:val="en-AU"/>
        </w:rPr>
        <w:t xml:space="preserve"> Overall, it was felt that </w:t>
      </w:r>
      <w:r w:rsidR="00BA59E7" w:rsidRPr="00E856B0">
        <w:rPr>
          <w:lang w:val="en-AU"/>
        </w:rPr>
        <w:t>local teams to deliver educational events, school programmes</w:t>
      </w:r>
      <w:r w:rsidR="0017113F">
        <w:rPr>
          <w:lang w:val="en-AU"/>
        </w:rPr>
        <w:t>,</w:t>
      </w:r>
      <w:r w:rsidR="00BA59E7" w:rsidRPr="00E856B0">
        <w:rPr>
          <w:lang w:val="en-AU"/>
        </w:rPr>
        <w:t xml:space="preserve"> and targeted culturally sensitive smoking cessation was the way forward</w:t>
      </w:r>
      <w:r w:rsidR="0017113F">
        <w:rPr>
          <w:lang w:val="en-AU"/>
        </w:rPr>
        <w:t>.</w:t>
      </w:r>
      <w:r w:rsidR="003268E9">
        <w:rPr>
          <w:lang w:val="en-AU"/>
        </w:rPr>
        <w:t xml:space="preserve">  </w:t>
      </w:r>
    </w:p>
    <w:p w14:paraId="5E6D1389" w14:textId="170EA61C" w:rsidR="003268E9" w:rsidRDefault="003268E9" w:rsidP="004F6A5A">
      <w:pPr>
        <w:autoSpaceDE w:val="0"/>
        <w:autoSpaceDN w:val="0"/>
        <w:adjustRightInd w:val="0"/>
        <w:spacing w:line="276" w:lineRule="auto"/>
        <w:rPr>
          <w:lang w:val="en-AU"/>
        </w:rPr>
      </w:pPr>
      <w:r>
        <w:rPr>
          <w:lang w:val="en-AU"/>
        </w:rPr>
        <w:t xml:space="preserve">The importance of sustaining the programme going forward was reiterated by the industry experts.   It was generally felt that the programme had already had a substantial impact on attitudes towards smoking and health lifestyle activities and that it was important that momentum this was maintained.  Ongoing social marketing was seen as essential to this, along with investment in the new local workforce.  The proposal was also put forward that in some </w:t>
      </w:r>
      <w:r w:rsidR="009532DB">
        <w:rPr>
          <w:lang w:val="en-AU"/>
        </w:rPr>
        <w:t>communities</w:t>
      </w:r>
      <w:r>
        <w:rPr>
          <w:lang w:val="en-AU"/>
        </w:rPr>
        <w:t xml:space="preserve"> where social norms towards smoking had </w:t>
      </w:r>
      <w:r w:rsidR="009532DB">
        <w:rPr>
          <w:lang w:val="en-AU"/>
        </w:rPr>
        <w:t>clearly</w:t>
      </w:r>
      <w:r>
        <w:rPr>
          <w:lang w:val="en-AU"/>
        </w:rPr>
        <w:t xml:space="preserve"> changed, supporting action </w:t>
      </w:r>
      <w:r w:rsidR="009532DB">
        <w:rPr>
          <w:lang w:val="en-AU"/>
        </w:rPr>
        <w:t>should also be prioritised.</w:t>
      </w:r>
    </w:p>
    <w:p w14:paraId="38664CB1" w14:textId="5129CBB9" w:rsidR="009532DB" w:rsidRPr="0006553A" w:rsidRDefault="009532DB" w:rsidP="0006553A">
      <w:pPr>
        <w:spacing w:line="276" w:lineRule="auto"/>
        <w:rPr>
          <w:lang w:val="en-AU"/>
        </w:rPr>
      </w:pPr>
      <w:r>
        <w:rPr>
          <w:rFonts w:cs="Calibri"/>
          <w:lang w:val="en-AU"/>
        </w:rPr>
        <w:t xml:space="preserve">Finally, </w:t>
      </w:r>
      <w:r w:rsidR="000C2195">
        <w:rPr>
          <w:rFonts w:cs="Calibri"/>
          <w:lang w:val="en-AU"/>
        </w:rPr>
        <w:t xml:space="preserve">all </w:t>
      </w:r>
      <w:r>
        <w:rPr>
          <w:rFonts w:cs="Calibri"/>
          <w:lang w:val="en-AU"/>
        </w:rPr>
        <w:t xml:space="preserve">industry </w:t>
      </w:r>
      <w:r w:rsidR="000C2195">
        <w:rPr>
          <w:rFonts w:cs="Calibri"/>
          <w:lang w:val="en-AU"/>
        </w:rPr>
        <w:t xml:space="preserve">experts and programme teams </w:t>
      </w:r>
      <w:r>
        <w:rPr>
          <w:rFonts w:cs="Calibri"/>
          <w:lang w:val="en-AU"/>
        </w:rPr>
        <w:t xml:space="preserve">agreed that </w:t>
      </w:r>
      <w:r w:rsidRPr="00E856B0">
        <w:rPr>
          <w:lang w:val="en-AU"/>
        </w:rPr>
        <w:t>raising community awareness of the issues relate</w:t>
      </w:r>
      <w:r w:rsidR="000C2195">
        <w:rPr>
          <w:lang w:val="en-AU"/>
        </w:rPr>
        <w:t>d to smoking/healthy lifestyles was an important activity for reducing smoking.  The majority of both groups also placed importance on improving access to NRT</w:t>
      </w:r>
      <w:r w:rsidRPr="00E856B0">
        <w:rPr>
          <w:lang w:val="en-AU"/>
        </w:rPr>
        <w:t>, local media campaigns</w:t>
      </w:r>
      <w:r w:rsidR="000C2195">
        <w:rPr>
          <w:lang w:val="en-AU"/>
        </w:rPr>
        <w:t xml:space="preserve">, </w:t>
      </w:r>
      <w:r w:rsidRPr="00E856B0">
        <w:rPr>
          <w:lang w:val="en-AU"/>
        </w:rPr>
        <w:t xml:space="preserve">developing clear pathways to smoking cessation services, improving access to cessation services for </w:t>
      </w:r>
      <w:r w:rsidRPr="00E856B0">
        <w:rPr>
          <w:lang w:val="en-AU"/>
        </w:rPr>
        <w:lastRenderedPageBreak/>
        <w:t>individuals, improving one-on-one cessation services, local workforce training and development and culturall</w:t>
      </w:r>
      <w:r w:rsidR="000C2195">
        <w:rPr>
          <w:lang w:val="en-AU"/>
        </w:rPr>
        <w:t xml:space="preserve">y appropriate </w:t>
      </w:r>
      <w:proofErr w:type="spellStart"/>
      <w:r w:rsidR="000C2195">
        <w:rPr>
          <w:lang w:val="en-AU"/>
        </w:rPr>
        <w:t>Quitline</w:t>
      </w:r>
      <w:proofErr w:type="spellEnd"/>
      <w:r w:rsidR="000C2195">
        <w:rPr>
          <w:lang w:val="en-AU"/>
        </w:rPr>
        <w:t xml:space="preserve"> services</w:t>
      </w:r>
      <w:r w:rsidRPr="00E856B0">
        <w:rPr>
          <w:lang w:val="en-AU"/>
        </w:rPr>
        <w:t>.</w:t>
      </w:r>
    </w:p>
    <w:p w14:paraId="56DCF49C" w14:textId="261B8604" w:rsidR="00CF476C" w:rsidRDefault="004F6A5A" w:rsidP="007F182C">
      <w:pPr>
        <w:pStyle w:val="Heading2"/>
      </w:pPr>
      <w:r>
        <w:t>Conclusion</w:t>
      </w:r>
    </w:p>
    <w:p w14:paraId="3BD76D2E" w14:textId="184217EB" w:rsidR="0006553A" w:rsidRDefault="004F6A5A" w:rsidP="004F6A5A">
      <w:pPr>
        <w:spacing w:line="276" w:lineRule="auto"/>
        <w:rPr>
          <w:lang w:val="en-AU"/>
        </w:rPr>
      </w:pPr>
      <w:r>
        <w:rPr>
          <w:lang w:val="en-AU"/>
        </w:rPr>
        <w:t xml:space="preserve">The programme has seen a number of successes particularly in terms of reach, an important measure of impact for health promotion programmes.  There appears to be good evidence that there has been a change in attitudes towards smoking and healthy lifestyles in Aboriginal and Torres </w:t>
      </w:r>
      <w:r w:rsidR="0006553A">
        <w:rPr>
          <w:lang w:val="en-AU"/>
        </w:rPr>
        <w:t>Strait</w:t>
      </w:r>
      <w:r>
        <w:rPr>
          <w:lang w:val="en-AU"/>
        </w:rPr>
        <w:t xml:space="preserve"> Islander communities since the programme commenced.  This has started to </w:t>
      </w:r>
      <w:r w:rsidR="0006553A">
        <w:rPr>
          <w:lang w:val="en-AU"/>
        </w:rPr>
        <w:t xml:space="preserve">translate into </w:t>
      </w:r>
      <w:proofErr w:type="gramStart"/>
      <w:r w:rsidR="0006553A">
        <w:rPr>
          <w:lang w:val="en-AU"/>
        </w:rPr>
        <w:t>action,</w:t>
      </w:r>
      <w:proofErr w:type="gramEnd"/>
      <w:r w:rsidR="0006553A">
        <w:rPr>
          <w:lang w:val="en-AU"/>
        </w:rPr>
        <w:t xml:space="preserve"> however it is important that the momentum started by the programme is not lost.  Continuing to promote healthy life style and anti-smoking messages through social marketing, whilst also developing and strengthening the mechanisms for behavioural change within this group is important.  The new Aboriginal and Torres Strait Islander workforce that this programme has </w:t>
      </w:r>
      <w:r w:rsidR="001F25CA">
        <w:rPr>
          <w:lang w:val="en-AU"/>
        </w:rPr>
        <w:t>established, will</w:t>
      </w:r>
      <w:r w:rsidR="0006553A">
        <w:rPr>
          <w:lang w:val="en-AU"/>
        </w:rPr>
        <w:t xml:space="preserve"> have an essential role to play in the maintenance of the change that has begun; developing and supporting this workforce is therefore </w:t>
      </w:r>
      <w:r w:rsidR="0010238D">
        <w:rPr>
          <w:lang w:val="en-AU"/>
        </w:rPr>
        <w:t xml:space="preserve">important.  In particular it will be important to find ways of ensuring equity in implementation across the commonwealth, by addressing the differences in workforce recruitment and retention, particularly in remote and rural communities.  </w:t>
      </w:r>
      <w:r w:rsidR="00A648EE">
        <w:rPr>
          <w:lang w:val="en-AU"/>
        </w:rPr>
        <w:t xml:space="preserve">It will also be important to build evaluation in to the programme, in order to ensure the development of a sound evidence base for what works, with this information being used to underpin decisions about future programme developments. </w:t>
      </w:r>
      <w:r w:rsidR="0010238D">
        <w:rPr>
          <w:lang w:val="en-AU"/>
        </w:rPr>
        <w:t xml:space="preserve">Participants in this consultation were very clear that good work has resulted from the TIS&amp;HL programme, but that this work has only just begun.  As one interviewee stated: </w:t>
      </w:r>
    </w:p>
    <w:p w14:paraId="78504483" w14:textId="32B42962" w:rsidR="004F6A5A" w:rsidRPr="00E856B0" w:rsidRDefault="0006553A" w:rsidP="004F6A5A">
      <w:pPr>
        <w:spacing w:line="276" w:lineRule="auto"/>
        <w:rPr>
          <w:lang w:val="en-AU"/>
        </w:rPr>
      </w:pPr>
      <w:r w:rsidRPr="0006553A">
        <w:rPr>
          <w:lang w:val="en-AU"/>
        </w:rPr>
        <w:t>“We need to build the bridge for Indigenous people to walk across and bridges take some time to build”</w:t>
      </w:r>
      <w:r>
        <w:rPr>
          <w:lang w:val="en-AU"/>
        </w:rPr>
        <w:t xml:space="preserve"> </w:t>
      </w:r>
    </w:p>
    <w:sectPr w:rsidR="004F6A5A" w:rsidRPr="00E856B0" w:rsidSect="008C14FF">
      <w:headerReference w:type="even" r:id="rId18"/>
      <w:headerReference w:type="default" r:id="rId19"/>
      <w:footerReference w:type="even" r:id="rId20"/>
      <w:footerReference w:type="default" r:id="rId21"/>
      <w:headerReference w:type="first" r:id="rId22"/>
      <w:footerReference w:type="first" r:id="rId23"/>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A1FF" w14:textId="77777777" w:rsidR="007D70E6" w:rsidRDefault="007D70E6" w:rsidP="00841181">
      <w:r>
        <w:separator/>
      </w:r>
    </w:p>
  </w:endnote>
  <w:endnote w:type="continuationSeparator" w:id="0">
    <w:p w14:paraId="67842232" w14:textId="77777777" w:rsidR="007D70E6" w:rsidRDefault="007D70E6" w:rsidP="0084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F1DD5" w14:textId="77777777" w:rsidR="007D70E6" w:rsidRDefault="007D70E6" w:rsidP="00841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B1130" w14:textId="77777777" w:rsidR="007D70E6" w:rsidRDefault="007D7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356A" w14:textId="77777777" w:rsidR="007D70E6" w:rsidRDefault="007D70E6" w:rsidP="00841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132">
      <w:rPr>
        <w:rStyle w:val="PageNumber"/>
        <w:noProof/>
      </w:rPr>
      <w:t>1</w:t>
    </w:r>
    <w:r>
      <w:rPr>
        <w:rStyle w:val="PageNumber"/>
      </w:rPr>
      <w:fldChar w:fldCharType="end"/>
    </w:r>
  </w:p>
  <w:p w14:paraId="66452437" w14:textId="77777777" w:rsidR="007D70E6" w:rsidRDefault="007D7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A6BD7" w14:textId="77777777" w:rsidR="007D70E6" w:rsidRDefault="007D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5D301" w14:textId="77777777" w:rsidR="007D70E6" w:rsidRDefault="007D70E6" w:rsidP="00841181">
      <w:r>
        <w:separator/>
      </w:r>
    </w:p>
  </w:footnote>
  <w:footnote w:type="continuationSeparator" w:id="0">
    <w:p w14:paraId="732084A8" w14:textId="77777777" w:rsidR="007D70E6" w:rsidRDefault="007D70E6" w:rsidP="00841181">
      <w:r>
        <w:continuationSeparator/>
      </w:r>
    </w:p>
  </w:footnote>
  <w:footnote w:id="1">
    <w:p w14:paraId="084E75E4" w14:textId="128CABC7" w:rsidR="007D70E6" w:rsidRDefault="007D70E6">
      <w:pPr>
        <w:pStyle w:val="FootnoteText"/>
      </w:pPr>
      <w:r>
        <w:rPr>
          <w:rStyle w:val="FootnoteReference"/>
        </w:rPr>
        <w:footnoteRef/>
      </w:r>
      <w:r>
        <w:t xml:space="preserve"> </w:t>
      </w:r>
      <w:r>
        <w:rPr>
          <w:sz w:val="16"/>
        </w:rPr>
        <w:t>T</w:t>
      </w:r>
      <w:r w:rsidRPr="00FF5B62">
        <w:rPr>
          <w:sz w:val="16"/>
        </w:rPr>
        <w:t xml:space="preserve">he collective term, ‘Indigenous Australians’ will be used to refer to the First Nations’ people of Australia – Aboriginal and Torres Strait Islander peoples </w:t>
      </w:r>
      <w:r>
        <w:rPr>
          <w:sz w:val="16"/>
        </w:rPr>
        <w:t>- and</w:t>
      </w:r>
      <w:r w:rsidRPr="00FF5B62">
        <w:rPr>
          <w:sz w:val="16"/>
        </w:rPr>
        <w:t xml:space="preserve"> no offence </w:t>
      </w:r>
      <w:r>
        <w:rPr>
          <w:sz w:val="16"/>
        </w:rPr>
        <w:t xml:space="preserve">is </w:t>
      </w:r>
      <w:r w:rsidRPr="00FF5B62">
        <w:rPr>
          <w:sz w:val="16"/>
        </w:rPr>
        <w:t>intended</w:t>
      </w:r>
      <w:r>
        <w:rPr>
          <w:sz w:val="16"/>
        </w:rPr>
        <w:t xml:space="preserve">. It is also acknowledged and respected that </w:t>
      </w:r>
      <w:r w:rsidRPr="00FF5B62">
        <w:rPr>
          <w:sz w:val="16"/>
        </w:rPr>
        <w:t>Aboriginal peoples and Torres Strait Islanders constitute many nations, language groups and cultures</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D4CB" w14:textId="67CE195C" w:rsidR="007D70E6" w:rsidRDefault="007D7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E5DB" w14:textId="68AFCC44" w:rsidR="007D70E6" w:rsidRDefault="007D7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1BB17" w14:textId="61467A48" w:rsidR="007D70E6" w:rsidRDefault="007D7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08F"/>
    <w:multiLevelType w:val="hybridMultilevel"/>
    <w:tmpl w:val="894A6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61219"/>
    <w:multiLevelType w:val="hybridMultilevel"/>
    <w:tmpl w:val="EA6E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0564"/>
    <w:multiLevelType w:val="hybridMultilevel"/>
    <w:tmpl w:val="ED0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44893"/>
    <w:multiLevelType w:val="hybridMultilevel"/>
    <w:tmpl w:val="E778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B5FDE"/>
    <w:multiLevelType w:val="hybridMultilevel"/>
    <w:tmpl w:val="9A52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23D2E"/>
    <w:multiLevelType w:val="hybridMultilevel"/>
    <w:tmpl w:val="BBA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A96ADE"/>
    <w:multiLevelType w:val="hybridMultilevel"/>
    <w:tmpl w:val="0DF6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6F70"/>
    <w:multiLevelType w:val="hybridMultilevel"/>
    <w:tmpl w:val="B8D0B5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874BBA"/>
    <w:multiLevelType w:val="hybridMultilevel"/>
    <w:tmpl w:val="C50E2CAA"/>
    <w:lvl w:ilvl="0" w:tplc="BDB4273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F11426F"/>
    <w:multiLevelType w:val="hybridMultilevel"/>
    <w:tmpl w:val="76FC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91471"/>
    <w:multiLevelType w:val="hybridMultilevel"/>
    <w:tmpl w:val="AB36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970F6"/>
    <w:multiLevelType w:val="hybridMultilevel"/>
    <w:tmpl w:val="A7A0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BC6951"/>
    <w:multiLevelType w:val="hybridMultilevel"/>
    <w:tmpl w:val="B18A67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9"/>
  </w:num>
  <w:num w:numId="6">
    <w:abstractNumId w:val="10"/>
  </w:num>
  <w:num w:numId="7">
    <w:abstractNumId w:val="5"/>
  </w:num>
  <w:num w:numId="8">
    <w:abstractNumId w:val="2"/>
  </w:num>
  <w:num w:numId="9">
    <w:abstractNumId w:val="6"/>
  </w:num>
  <w:num w:numId="10">
    <w:abstractNumId w:val="3"/>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D6"/>
    <w:rsid w:val="000057AC"/>
    <w:rsid w:val="00042582"/>
    <w:rsid w:val="0004572C"/>
    <w:rsid w:val="000563C8"/>
    <w:rsid w:val="00061217"/>
    <w:rsid w:val="0006553A"/>
    <w:rsid w:val="000803B9"/>
    <w:rsid w:val="00096EA3"/>
    <w:rsid w:val="000A408C"/>
    <w:rsid w:val="000B7519"/>
    <w:rsid w:val="000C1BA4"/>
    <w:rsid w:val="000C2195"/>
    <w:rsid w:val="000C225D"/>
    <w:rsid w:val="000C771E"/>
    <w:rsid w:val="000E2EC4"/>
    <w:rsid w:val="000F3C3B"/>
    <w:rsid w:val="0010238D"/>
    <w:rsid w:val="00105F8D"/>
    <w:rsid w:val="001062BF"/>
    <w:rsid w:val="00121994"/>
    <w:rsid w:val="001407B0"/>
    <w:rsid w:val="001465BD"/>
    <w:rsid w:val="00152F55"/>
    <w:rsid w:val="00157EB9"/>
    <w:rsid w:val="00166E40"/>
    <w:rsid w:val="0017113F"/>
    <w:rsid w:val="00180C4A"/>
    <w:rsid w:val="001A6E76"/>
    <w:rsid w:val="001E0C8B"/>
    <w:rsid w:val="001F25CA"/>
    <w:rsid w:val="001F76DE"/>
    <w:rsid w:val="00201E1C"/>
    <w:rsid w:val="00204B33"/>
    <w:rsid w:val="00232634"/>
    <w:rsid w:val="00237842"/>
    <w:rsid w:val="00244C7D"/>
    <w:rsid w:val="0025785B"/>
    <w:rsid w:val="002635DF"/>
    <w:rsid w:val="0027780D"/>
    <w:rsid w:val="002827F0"/>
    <w:rsid w:val="002A7D80"/>
    <w:rsid w:val="002B2F8D"/>
    <w:rsid w:val="002B31F9"/>
    <w:rsid w:val="002F082E"/>
    <w:rsid w:val="00317E09"/>
    <w:rsid w:val="003268E9"/>
    <w:rsid w:val="003512D8"/>
    <w:rsid w:val="00372138"/>
    <w:rsid w:val="00377AA9"/>
    <w:rsid w:val="00377D71"/>
    <w:rsid w:val="003A08A9"/>
    <w:rsid w:val="003B259D"/>
    <w:rsid w:val="003B64D0"/>
    <w:rsid w:val="003C1DE2"/>
    <w:rsid w:val="003D70A3"/>
    <w:rsid w:val="004059C6"/>
    <w:rsid w:val="00410819"/>
    <w:rsid w:val="004253B8"/>
    <w:rsid w:val="00446E1D"/>
    <w:rsid w:val="0045729B"/>
    <w:rsid w:val="0046244D"/>
    <w:rsid w:val="00470AF5"/>
    <w:rsid w:val="0048246A"/>
    <w:rsid w:val="00483169"/>
    <w:rsid w:val="004876B7"/>
    <w:rsid w:val="004935D0"/>
    <w:rsid w:val="004B0FB3"/>
    <w:rsid w:val="004B1FD7"/>
    <w:rsid w:val="004B7333"/>
    <w:rsid w:val="004C2BBB"/>
    <w:rsid w:val="004D21B9"/>
    <w:rsid w:val="004D777A"/>
    <w:rsid w:val="004E0301"/>
    <w:rsid w:val="004E21EE"/>
    <w:rsid w:val="004F6A5A"/>
    <w:rsid w:val="005004C1"/>
    <w:rsid w:val="00505392"/>
    <w:rsid w:val="00505421"/>
    <w:rsid w:val="00516E14"/>
    <w:rsid w:val="005226F7"/>
    <w:rsid w:val="00532D75"/>
    <w:rsid w:val="005549F7"/>
    <w:rsid w:val="005667E4"/>
    <w:rsid w:val="00572D37"/>
    <w:rsid w:val="005776F3"/>
    <w:rsid w:val="00593C2E"/>
    <w:rsid w:val="005A085E"/>
    <w:rsid w:val="005C1182"/>
    <w:rsid w:val="005C4658"/>
    <w:rsid w:val="005D02BD"/>
    <w:rsid w:val="005F3A98"/>
    <w:rsid w:val="005F4A93"/>
    <w:rsid w:val="005F4FF1"/>
    <w:rsid w:val="006047BA"/>
    <w:rsid w:val="00605B11"/>
    <w:rsid w:val="00607948"/>
    <w:rsid w:val="00641317"/>
    <w:rsid w:val="00642844"/>
    <w:rsid w:val="00675AAB"/>
    <w:rsid w:val="00680066"/>
    <w:rsid w:val="00696888"/>
    <w:rsid w:val="006A3FDC"/>
    <w:rsid w:val="006D1B21"/>
    <w:rsid w:val="006D2284"/>
    <w:rsid w:val="006D6777"/>
    <w:rsid w:val="006E2886"/>
    <w:rsid w:val="006E56AE"/>
    <w:rsid w:val="006E63E8"/>
    <w:rsid w:val="00704CC0"/>
    <w:rsid w:val="00704D45"/>
    <w:rsid w:val="00711077"/>
    <w:rsid w:val="00715E02"/>
    <w:rsid w:val="00736616"/>
    <w:rsid w:val="0076520E"/>
    <w:rsid w:val="007B46BD"/>
    <w:rsid w:val="007C4F4B"/>
    <w:rsid w:val="007D70E6"/>
    <w:rsid w:val="007E0F61"/>
    <w:rsid w:val="007F182C"/>
    <w:rsid w:val="007F7372"/>
    <w:rsid w:val="00800A64"/>
    <w:rsid w:val="0080199D"/>
    <w:rsid w:val="00801B15"/>
    <w:rsid w:val="00812D43"/>
    <w:rsid w:val="00820141"/>
    <w:rsid w:val="00822474"/>
    <w:rsid w:val="00841181"/>
    <w:rsid w:val="00844E15"/>
    <w:rsid w:val="00845491"/>
    <w:rsid w:val="008460B8"/>
    <w:rsid w:val="008544FE"/>
    <w:rsid w:val="00854E81"/>
    <w:rsid w:val="00860C46"/>
    <w:rsid w:val="0086204A"/>
    <w:rsid w:val="00874199"/>
    <w:rsid w:val="00897353"/>
    <w:rsid w:val="008B239F"/>
    <w:rsid w:val="008B5FA7"/>
    <w:rsid w:val="008C14FF"/>
    <w:rsid w:val="008C5E56"/>
    <w:rsid w:val="008D4F3C"/>
    <w:rsid w:val="00902327"/>
    <w:rsid w:val="009136C8"/>
    <w:rsid w:val="00920D3B"/>
    <w:rsid w:val="00933954"/>
    <w:rsid w:val="009532DB"/>
    <w:rsid w:val="00964B00"/>
    <w:rsid w:val="00964E81"/>
    <w:rsid w:val="0097237B"/>
    <w:rsid w:val="00992965"/>
    <w:rsid w:val="009941E6"/>
    <w:rsid w:val="009D4409"/>
    <w:rsid w:val="009E0C79"/>
    <w:rsid w:val="00A02CFF"/>
    <w:rsid w:val="00A04023"/>
    <w:rsid w:val="00A073A2"/>
    <w:rsid w:val="00A102A7"/>
    <w:rsid w:val="00A11BD7"/>
    <w:rsid w:val="00A2134B"/>
    <w:rsid w:val="00A335C9"/>
    <w:rsid w:val="00A370D3"/>
    <w:rsid w:val="00A43B16"/>
    <w:rsid w:val="00A43FDA"/>
    <w:rsid w:val="00A45650"/>
    <w:rsid w:val="00A648EE"/>
    <w:rsid w:val="00A76FE8"/>
    <w:rsid w:val="00A91263"/>
    <w:rsid w:val="00A932A5"/>
    <w:rsid w:val="00AA022E"/>
    <w:rsid w:val="00AC3E5D"/>
    <w:rsid w:val="00AC74C8"/>
    <w:rsid w:val="00B07F4D"/>
    <w:rsid w:val="00B311B1"/>
    <w:rsid w:val="00B50B4E"/>
    <w:rsid w:val="00B54B44"/>
    <w:rsid w:val="00B554B5"/>
    <w:rsid w:val="00B566B9"/>
    <w:rsid w:val="00B6104D"/>
    <w:rsid w:val="00B81CD7"/>
    <w:rsid w:val="00BA59E7"/>
    <w:rsid w:val="00BA679A"/>
    <w:rsid w:val="00BB2B7D"/>
    <w:rsid w:val="00BB5900"/>
    <w:rsid w:val="00BB621F"/>
    <w:rsid w:val="00BF4E0C"/>
    <w:rsid w:val="00C057A2"/>
    <w:rsid w:val="00C1380B"/>
    <w:rsid w:val="00C15713"/>
    <w:rsid w:val="00C20BCE"/>
    <w:rsid w:val="00C22994"/>
    <w:rsid w:val="00C54D43"/>
    <w:rsid w:val="00C71EAE"/>
    <w:rsid w:val="00C72E1E"/>
    <w:rsid w:val="00CB1D86"/>
    <w:rsid w:val="00CB4251"/>
    <w:rsid w:val="00CC1B78"/>
    <w:rsid w:val="00CD202C"/>
    <w:rsid w:val="00CF2DF9"/>
    <w:rsid w:val="00CF476C"/>
    <w:rsid w:val="00D00871"/>
    <w:rsid w:val="00D0365F"/>
    <w:rsid w:val="00D11F66"/>
    <w:rsid w:val="00D16C1D"/>
    <w:rsid w:val="00D45ED6"/>
    <w:rsid w:val="00D466CB"/>
    <w:rsid w:val="00D60219"/>
    <w:rsid w:val="00D67F1A"/>
    <w:rsid w:val="00D76746"/>
    <w:rsid w:val="00DA2484"/>
    <w:rsid w:val="00DA2913"/>
    <w:rsid w:val="00DB3E21"/>
    <w:rsid w:val="00DC36F5"/>
    <w:rsid w:val="00DC64EF"/>
    <w:rsid w:val="00DD518E"/>
    <w:rsid w:val="00DF1524"/>
    <w:rsid w:val="00DF3A5F"/>
    <w:rsid w:val="00E1054C"/>
    <w:rsid w:val="00E119EA"/>
    <w:rsid w:val="00E33AEB"/>
    <w:rsid w:val="00E47132"/>
    <w:rsid w:val="00E60F99"/>
    <w:rsid w:val="00E63975"/>
    <w:rsid w:val="00E856B0"/>
    <w:rsid w:val="00E86F24"/>
    <w:rsid w:val="00E96E58"/>
    <w:rsid w:val="00E97DE3"/>
    <w:rsid w:val="00EA08C0"/>
    <w:rsid w:val="00EA3499"/>
    <w:rsid w:val="00EB6638"/>
    <w:rsid w:val="00ED08C0"/>
    <w:rsid w:val="00EF0D4B"/>
    <w:rsid w:val="00EF12B2"/>
    <w:rsid w:val="00EF3715"/>
    <w:rsid w:val="00EF3FF7"/>
    <w:rsid w:val="00F173C9"/>
    <w:rsid w:val="00F210D8"/>
    <w:rsid w:val="00F22871"/>
    <w:rsid w:val="00F23535"/>
    <w:rsid w:val="00F26B7C"/>
    <w:rsid w:val="00F41D54"/>
    <w:rsid w:val="00F53228"/>
    <w:rsid w:val="00F7229E"/>
    <w:rsid w:val="00F76763"/>
    <w:rsid w:val="00F83C88"/>
    <w:rsid w:val="00F9223D"/>
    <w:rsid w:val="00FB7662"/>
    <w:rsid w:val="00FC5F21"/>
    <w:rsid w:val="00FC709C"/>
    <w:rsid w:val="00FE2F00"/>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F1B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2C"/>
    <w:pPr>
      <w:spacing w:before="120" w:after="120"/>
    </w:pPr>
    <w:rPr>
      <w:rFonts w:ascii="Arial Narrow" w:hAnsi="Arial Narrow"/>
      <w:sz w:val="22"/>
    </w:rPr>
  </w:style>
  <w:style w:type="paragraph" w:styleId="Heading1">
    <w:name w:val="heading 1"/>
    <w:basedOn w:val="Normal"/>
    <w:next w:val="Normal"/>
    <w:link w:val="Heading1Char"/>
    <w:uiPriority w:val="9"/>
    <w:qFormat/>
    <w:rsid w:val="00D45E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7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096EA3"/>
    <w:pPr>
      <w:keepNext/>
      <w:keepLines/>
      <w:spacing w:before="200"/>
      <w:outlineLvl w:val="2"/>
    </w:pPr>
    <w:rPr>
      <w:rFonts w:eastAsiaTheme="majorEastAsia" w:cstheme="majorBidi"/>
      <w:b/>
      <w:bCs/>
      <w:i/>
      <w:color w:val="4F81BD" w:themeColor="accent1"/>
      <w:lang w:val="en-AU"/>
    </w:rPr>
  </w:style>
  <w:style w:type="paragraph" w:styleId="Heading4">
    <w:name w:val="heading 4"/>
    <w:basedOn w:val="Normal"/>
    <w:next w:val="Normal"/>
    <w:link w:val="Heading4Char"/>
    <w:uiPriority w:val="9"/>
    <w:unhideWhenUsed/>
    <w:qFormat/>
    <w:rsid w:val="000C21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autoRedefine/>
    <w:uiPriority w:val="34"/>
    <w:qFormat/>
    <w:rsid w:val="00A02CFF"/>
    <w:pPr>
      <w:numPr>
        <w:numId w:val="13"/>
      </w:numPr>
      <w:contextualSpacing/>
    </w:pPr>
  </w:style>
  <w:style w:type="character" w:customStyle="1" w:styleId="Heading1Char">
    <w:name w:val="Heading 1 Char"/>
    <w:basedOn w:val="DefaultParagraphFont"/>
    <w:link w:val="Heading1"/>
    <w:uiPriority w:val="9"/>
    <w:rsid w:val="00D45ED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370D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0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057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057A2"/>
    <w:pPr>
      <w:spacing w:after="200"/>
    </w:pPr>
    <w:rPr>
      <w:b/>
      <w:bCs/>
      <w:color w:val="4F81BD" w:themeColor="accent1"/>
      <w:sz w:val="18"/>
      <w:szCs w:val="18"/>
    </w:rPr>
  </w:style>
  <w:style w:type="character" w:customStyle="1" w:styleId="Heading3Char">
    <w:name w:val="Heading 3 Char"/>
    <w:basedOn w:val="DefaultParagraphFont"/>
    <w:link w:val="Heading3"/>
    <w:uiPriority w:val="9"/>
    <w:rsid w:val="00096EA3"/>
    <w:rPr>
      <w:rFonts w:ascii="Arial Narrow" w:eastAsiaTheme="majorEastAsia" w:hAnsi="Arial Narrow" w:cstheme="majorBidi"/>
      <w:b/>
      <w:bCs/>
      <w:i/>
      <w:color w:val="4F81BD" w:themeColor="accent1"/>
      <w:lang w:val="en-AU"/>
    </w:rPr>
  </w:style>
  <w:style w:type="table" w:customStyle="1" w:styleId="QTable">
    <w:name w:val="QTable"/>
    <w:uiPriority w:val="99"/>
    <w:qFormat/>
    <w:rsid w:val="004B7333"/>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styleId="NormalWeb">
    <w:name w:val="Normal (Web)"/>
    <w:basedOn w:val="Normal"/>
    <w:uiPriority w:val="99"/>
    <w:semiHidden/>
    <w:unhideWhenUsed/>
    <w:rsid w:val="00237842"/>
    <w:pPr>
      <w:spacing w:before="100" w:beforeAutospacing="1" w:after="100" w:afterAutospacing="1"/>
    </w:pPr>
    <w:rPr>
      <w:rFonts w:ascii="Times New Roman" w:hAnsi="Times New Roman" w:cs="Times New Roman"/>
      <w:lang w:val="en-AU" w:eastAsia="en-AU"/>
    </w:rPr>
  </w:style>
  <w:style w:type="paragraph" w:styleId="BalloonText">
    <w:name w:val="Balloon Text"/>
    <w:basedOn w:val="Normal"/>
    <w:link w:val="BalloonTextChar"/>
    <w:uiPriority w:val="99"/>
    <w:semiHidden/>
    <w:unhideWhenUsed/>
    <w:rsid w:val="000E2E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EC4"/>
    <w:rPr>
      <w:rFonts w:ascii="Lucida Grande" w:hAnsi="Lucida Grande" w:cs="Lucida Grande"/>
      <w:sz w:val="18"/>
      <w:szCs w:val="18"/>
    </w:rPr>
  </w:style>
  <w:style w:type="paragraph" w:styleId="Footer">
    <w:name w:val="footer"/>
    <w:basedOn w:val="Normal"/>
    <w:link w:val="FooterChar"/>
    <w:uiPriority w:val="99"/>
    <w:unhideWhenUsed/>
    <w:rsid w:val="00841181"/>
    <w:pPr>
      <w:tabs>
        <w:tab w:val="center" w:pos="4320"/>
        <w:tab w:val="right" w:pos="8640"/>
      </w:tabs>
    </w:pPr>
  </w:style>
  <w:style w:type="character" w:customStyle="1" w:styleId="FooterChar">
    <w:name w:val="Footer Char"/>
    <w:basedOn w:val="DefaultParagraphFont"/>
    <w:link w:val="Footer"/>
    <w:uiPriority w:val="99"/>
    <w:rsid w:val="00841181"/>
  </w:style>
  <w:style w:type="character" w:styleId="PageNumber">
    <w:name w:val="page number"/>
    <w:basedOn w:val="DefaultParagraphFont"/>
    <w:uiPriority w:val="99"/>
    <w:semiHidden/>
    <w:unhideWhenUsed/>
    <w:rsid w:val="00841181"/>
  </w:style>
  <w:style w:type="character" w:customStyle="1" w:styleId="Heading4Char">
    <w:name w:val="Heading 4 Char"/>
    <w:basedOn w:val="DefaultParagraphFont"/>
    <w:link w:val="Heading4"/>
    <w:uiPriority w:val="9"/>
    <w:rsid w:val="000C219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F6A5A"/>
    <w:pPr>
      <w:tabs>
        <w:tab w:val="center" w:pos="4320"/>
        <w:tab w:val="right" w:pos="8640"/>
      </w:tabs>
    </w:pPr>
  </w:style>
  <w:style w:type="character" w:customStyle="1" w:styleId="HeaderChar">
    <w:name w:val="Header Char"/>
    <w:basedOn w:val="DefaultParagraphFont"/>
    <w:link w:val="Header"/>
    <w:uiPriority w:val="99"/>
    <w:rsid w:val="004F6A5A"/>
  </w:style>
  <w:style w:type="paragraph" w:styleId="FootnoteText">
    <w:name w:val="footnote text"/>
    <w:basedOn w:val="Normal"/>
    <w:link w:val="FootnoteTextChar"/>
    <w:uiPriority w:val="99"/>
    <w:unhideWhenUsed/>
    <w:rsid w:val="000C771E"/>
  </w:style>
  <w:style w:type="character" w:customStyle="1" w:styleId="FootnoteTextChar">
    <w:name w:val="Footnote Text Char"/>
    <w:basedOn w:val="DefaultParagraphFont"/>
    <w:link w:val="FootnoteText"/>
    <w:uiPriority w:val="99"/>
    <w:rsid w:val="000C771E"/>
  </w:style>
  <w:style w:type="character" w:styleId="FootnoteReference">
    <w:name w:val="footnote reference"/>
    <w:basedOn w:val="DefaultParagraphFont"/>
    <w:uiPriority w:val="99"/>
    <w:unhideWhenUsed/>
    <w:rsid w:val="000C771E"/>
    <w:rPr>
      <w:vertAlign w:val="superscript"/>
    </w:rPr>
  </w:style>
  <w:style w:type="character" w:styleId="CommentReference">
    <w:name w:val="annotation reference"/>
    <w:basedOn w:val="DefaultParagraphFont"/>
    <w:uiPriority w:val="99"/>
    <w:semiHidden/>
    <w:unhideWhenUsed/>
    <w:rsid w:val="002B31F9"/>
    <w:rPr>
      <w:sz w:val="16"/>
      <w:szCs w:val="16"/>
    </w:rPr>
  </w:style>
  <w:style w:type="paragraph" w:styleId="CommentText">
    <w:name w:val="annotation text"/>
    <w:basedOn w:val="Normal"/>
    <w:link w:val="CommentTextChar"/>
    <w:uiPriority w:val="99"/>
    <w:semiHidden/>
    <w:unhideWhenUsed/>
    <w:rsid w:val="002B31F9"/>
    <w:rPr>
      <w:sz w:val="20"/>
      <w:szCs w:val="20"/>
    </w:rPr>
  </w:style>
  <w:style w:type="character" w:customStyle="1" w:styleId="CommentTextChar">
    <w:name w:val="Comment Text Char"/>
    <w:basedOn w:val="DefaultParagraphFont"/>
    <w:link w:val="CommentText"/>
    <w:uiPriority w:val="99"/>
    <w:semiHidden/>
    <w:rsid w:val="002B31F9"/>
    <w:rPr>
      <w:sz w:val="20"/>
      <w:szCs w:val="20"/>
    </w:rPr>
  </w:style>
  <w:style w:type="paragraph" w:styleId="CommentSubject">
    <w:name w:val="annotation subject"/>
    <w:basedOn w:val="CommentText"/>
    <w:next w:val="CommentText"/>
    <w:link w:val="CommentSubjectChar"/>
    <w:uiPriority w:val="99"/>
    <w:semiHidden/>
    <w:unhideWhenUsed/>
    <w:rsid w:val="002B31F9"/>
    <w:rPr>
      <w:b/>
      <w:bCs/>
    </w:rPr>
  </w:style>
  <w:style w:type="character" w:customStyle="1" w:styleId="CommentSubjectChar">
    <w:name w:val="Comment Subject Char"/>
    <w:basedOn w:val="CommentTextChar"/>
    <w:link w:val="CommentSubject"/>
    <w:uiPriority w:val="99"/>
    <w:semiHidden/>
    <w:rsid w:val="002B31F9"/>
    <w:rPr>
      <w:b/>
      <w:bCs/>
      <w:sz w:val="20"/>
      <w:szCs w:val="20"/>
    </w:rPr>
  </w:style>
  <w:style w:type="character" w:styleId="Hyperlink">
    <w:name w:val="Hyperlink"/>
    <w:basedOn w:val="DefaultParagraphFont"/>
    <w:uiPriority w:val="99"/>
    <w:unhideWhenUsed/>
    <w:rsid w:val="007D70E6"/>
    <w:rPr>
      <w:color w:val="0000FF" w:themeColor="hyperlink"/>
      <w:u w:val="single"/>
    </w:rPr>
  </w:style>
  <w:style w:type="character" w:styleId="Strong">
    <w:name w:val="Strong"/>
    <w:basedOn w:val="DefaultParagraphFont"/>
    <w:uiPriority w:val="22"/>
    <w:qFormat/>
    <w:rsid w:val="00641317"/>
    <w:rPr>
      <w:rFonts w:ascii="Arial Narrow" w:hAnsi="Arial Narrow"/>
      <w:b/>
      <w:bCs/>
      <w:sz w:val="20"/>
    </w:rPr>
  </w:style>
  <w:style w:type="character" w:styleId="IntenseEmphasis">
    <w:name w:val="Intense Emphasis"/>
    <w:basedOn w:val="DefaultParagraphFont"/>
    <w:uiPriority w:val="21"/>
    <w:qFormat/>
    <w:rsid w:val="00641317"/>
    <w:rPr>
      <w:rFonts w:ascii="Arial Narrow" w:hAnsi="Arial Narrow"/>
      <w:b/>
      <w:bCs/>
      <w:i/>
      <w:iCs/>
      <w:color w:val="auto"/>
      <w:sz w:val="20"/>
    </w:rPr>
  </w:style>
  <w:style w:type="paragraph" w:styleId="Title">
    <w:name w:val="Title"/>
    <w:basedOn w:val="Normal"/>
    <w:next w:val="Normal"/>
    <w:link w:val="TitleChar"/>
    <w:autoRedefine/>
    <w:uiPriority w:val="10"/>
    <w:qFormat/>
    <w:rsid w:val="007F182C"/>
    <w:pPr>
      <w:spacing w:before="5000" w:after="300"/>
      <w:contextualSpacing/>
      <w:jc w:val="center"/>
    </w:pPr>
    <w:rPr>
      <w:rFonts w:asciiTheme="majorHAnsi" w:eastAsiaTheme="majorEastAsia" w:hAnsiTheme="majorHAnsi" w:cstheme="majorBidi"/>
      <w:b/>
      <w:spacing w:val="5"/>
      <w:kern w:val="28"/>
      <w:sz w:val="52"/>
      <w:szCs w:val="52"/>
    </w:rPr>
  </w:style>
  <w:style w:type="character" w:customStyle="1" w:styleId="TitleChar">
    <w:name w:val="Title Char"/>
    <w:basedOn w:val="DefaultParagraphFont"/>
    <w:link w:val="Title"/>
    <w:uiPriority w:val="10"/>
    <w:rsid w:val="007F182C"/>
    <w:rPr>
      <w:rFonts w:asciiTheme="majorHAnsi" w:eastAsiaTheme="majorEastAsia" w:hAnsiTheme="majorHAnsi" w:cstheme="majorBidi"/>
      <w:b/>
      <w:spacing w:val="5"/>
      <w:kern w:val="28"/>
      <w:sz w:val="52"/>
      <w:szCs w:val="52"/>
    </w:rPr>
  </w:style>
  <w:style w:type="paragraph" w:styleId="Subtitle">
    <w:name w:val="Subtitle"/>
    <w:basedOn w:val="Title"/>
    <w:next w:val="Normal"/>
    <w:link w:val="SubtitleChar"/>
    <w:autoRedefine/>
    <w:uiPriority w:val="11"/>
    <w:qFormat/>
    <w:rsid w:val="007F182C"/>
    <w:pPr>
      <w:numPr>
        <w:ilvl w:val="1"/>
      </w:numPr>
      <w:spacing w:before="1800"/>
    </w:pPr>
    <w:rPr>
      <w:iCs/>
      <w:spacing w:val="15"/>
      <w:sz w:val="40"/>
    </w:rPr>
  </w:style>
  <w:style w:type="character" w:customStyle="1" w:styleId="SubtitleChar">
    <w:name w:val="Subtitle Char"/>
    <w:basedOn w:val="DefaultParagraphFont"/>
    <w:link w:val="Subtitle"/>
    <w:uiPriority w:val="11"/>
    <w:rsid w:val="007F182C"/>
    <w:rPr>
      <w:rFonts w:asciiTheme="majorHAnsi" w:eastAsiaTheme="majorEastAsia" w:hAnsiTheme="majorHAnsi" w:cstheme="majorBidi"/>
      <w:b/>
      <w:iCs/>
      <w:spacing w:val="1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2C"/>
    <w:pPr>
      <w:spacing w:before="120" w:after="120"/>
    </w:pPr>
    <w:rPr>
      <w:rFonts w:ascii="Arial Narrow" w:hAnsi="Arial Narrow"/>
      <w:sz w:val="22"/>
    </w:rPr>
  </w:style>
  <w:style w:type="paragraph" w:styleId="Heading1">
    <w:name w:val="heading 1"/>
    <w:basedOn w:val="Normal"/>
    <w:next w:val="Normal"/>
    <w:link w:val="Heading1Char"/>
    <w:uiPriority w:val="9"/>
    <w:qFormat/>
    <w:rsid w:val="00D45E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7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096EA3"/>
    <w:pPr>
      <w:keepNext/>
      <w:keepLines/>
      <w:spacing w:before="200"/>
      <w:outlineLvl w:val="2"/>
    </w:pPr>
    <w:rPr>
      <w:rFonts w:eastAsiaTheme="majorEastAsia" w:cstheme="majorBidi"/>
      <w:b/>
      <w:bCs/>
      <w:i/>
      <w:color w:val="4F81BD" w:themeColor="accent1"/>
      <w:lang w:val="en-AU"/>
    </w:rPr>
  </w:style>
  <w:style w:type="paragraph" w:styleId="Heading4">
    <w:name w:val="heading 4"/>
    <w:basedOn w:val="Normal"/>
    <w:next w:val="Normal"/>
    <w:link w:val="Heading4Char"/>
    <w:uiPriority w:val="9"/>
    <w:unhideWhenUsed/>
    <w:qFormat/>
    <w:rsid w:val="000C21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autoRedefine/>
    <w:uiPriority w:val="34"/>
    <w:qFormat/>
    <w:rsid w:val="00A02CFF"/>
    <w:pPr>
      <w:numPr>
        <w:numId w:val="13"/>
      </w:numPr>
      <w:contextualSpacing/>
    </w:pPr>
  </w:style>
  <w:style w:type="character" w:customStyle="1" w:styleId="Heading1Char">
    <w:name w:val="Heading 1 Char"/>
    <w:basedOn w:val="DefaultParagraphFont"/>
    <w:link w:val="Heading1"/>
    <w:uiPriority w:val="9"/>
    <w:rsid w:val="00D45ED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370D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0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057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057A2"/>
    <w:pPr>
      <w:spacing w:after="200"/>
    </w:pPr>
    <w:rPr>
      <w:b/>
      <w:bCs/>
      <w:color w:val="4F81BD" w:themeColor="accent1"/>
      <w:sz w:val="18"/>
      <w:szCs w:val="18"/>
    </w:rPr>
  </w:style>
  <w:style w:type="character" w:customStyle="1" w:styleId="Heading3Char">
    <w:name w:val="Heading 3 Char"/>
    <w:basedOn w:val="DefaultParagraphFont"/>
    <w:link w:val="Heading3"/>
    <w:uiPriority w:val="9"/>
    <w:rsid w:val="00096EA3"/>
    <w:rPr>
      <w:rFonts w:ascii="Arial Narrow" w:eastAsiaTheme="majorEastAsia" w:hAnsi="Arial Narrow" w:cstheme="majorBidi"/>
      <w:b/>
      <w:bCs/>
      <w:i/>
      <w:color w:val="4F81BD" w:themeColor="accent1"/>
      <w:lang w:val="en-AU"/>
    </w:rPr>
  </w:style>
  <w:style w:type="table" w:customStyle="1" w:styleId="QTable">
    <w:name w:val="QTable"/>
    <w:uiPriority w:val="99"/>
    <w:qFormat/>
    <w:rsid w:val="004B7333"/>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styleId="NormalWeb">
    <w:name w:val="Normal (Web)"/>
    <w:basedOn w:val="Normal"/>
    <w:uiPriority w:val="99"/>
    <w:semiHidden/>
    <w:unhideWhenUsed/>
    <w:rsid w:val="00237842"/>
    <w:pPr>
      <w:spacing w:before="100" w:beforeAutospacing="1" w:after="100" w:afterAutospacing="1"/>
    </w:pPr>
    <w:rPr>
      <w:rFonts w:ascii="Times New Roman" w:hAnsi="Times New Roman" w:cs="Times New Roman"/>
      <w:lang w:val="en-AU" w:eastAsia="en-AU"/>
    </w:rPr>
  </w:style>
  <w:style w:type="paragraph" w:styleId="BalloonText">
    <w:name w:val="Balloon Text"/>
    <w:basedOn w:val="Normal"/>
    <w:link w:val="BalloonTextChar"/>
    <w:uiPriority w:val="99"/>
    <w:semiHidden/>
    <w:unhideWhenUsed/>
    <w:rsid w:val="000E2E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EC4"/>
    <w:rPr>
      <w:rFonts w:ascii="Lucida Grande" w:hAnsi="Lucida Grande" w:cs="Lucida Grande"/>
      <w:sz w:val="18"/>
      <w:szCs w:val="18"/>
    </w:rPr>
  </w:style>
  <w:style w:type="paragraph" w:styleId="Footer">
    <w:name w:val="footer"/>
    <w:basedOn w:val="Normal"/>
    <w:link w:val="FooterChar"/>
    <w:uiPriority w:val="99"/>
    <w:unhideWhenUsed/>
    <w:rsid w:val="00841181"/>
    <w:pPr>
      <w:tabs>
        <w:tab w:val="center" w:pos="4320"/>
        <w:tab w:val="right" w:pos="8640"/>
      </w:tabs>
    </w:pPr>
  </w:style>
  <w:style w:type="character" w:customStyle="1" w:styleId="FooterChar">
    <w:name w:val="Footer Char"/>
    <w:basedOn w:val="DefaultParagraphFont"/>
    <w:link w:val="Footer"/>
    <w:uiPriority w:val="99"/>
    <w:rsid w:val="00841181"/>
  </w:style>
  <w:style w:type="character" w:styleId="PageNumber">
    <w:name w:val="page number"/>
    <w:basedOn w:val="DefaultParagraphFont"/>
    <w:uiPriority w:val="99"/>
    <w:semiHidden/>
    <w:unhideWhenUsed/>
    <w:rsid w:val="00841181"/>
  </w:style>
  <w:style w:type="character" w:customStyle="1" w:styleId="Heading4Char">
    <w:name w:val="Heading 4 Char"/>
    <w:basedOn w:val="DefaultParagraphFont"/>
    <w:link w:val="Heading4"/>
    <w:uiPriority w:val="9"/>
    <w:rsid w:val="000C219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F6A5A"/>
    <w:pPr>
      <w:tabs>
        <w:tab w:val="center" w:pos="4320"/>
        <w:tab w:val="right" w:pos="8640"/>
      </w:tabs>
    </w:pPr>
  </w:style>
  <w:style w:type="character" w:customStyle="1" w:styleId="HeaderChar">
    <w:name w:val="Header Char"/>
    <w:basedOn w:val="DefaultParagraphFont"/>
    <w:link w:val="Header"/>
    <w:uiPriority w:val="99"/>
    <w:rsid w:val="004F6A5A"/>
  </w:style>
  <w:style w:type="paragraph" w:styleId="FootnoteText">
    <w:name w:val="footnote text"/>
    <w:basedOn w:val="Normal"/>
    <w:link w:val="FootnoteTextChar"/>
    <w:uiPriority w:val="99"/>
    <w:unhideWhenUsed/>
    <w:rsid w:val="000C771E"/>
  </w:style>
  <w:style w:type="character" w:customStyle="1" w:styleId="FootnoteTextChar">
    <w:name w:val="Footnote Text Char"/>
    <w:basedOn w:val="DefaultParagraphFont"/>
    <w:link w:val="FootnoteText"/>
    <w:uiPriority w:val="99"/>
    <w:rsid w:val="000C771E"/>
  </w:style>
  <w:style w:type="character" w:styleId="FootnoteReference">
    <w:name w:val="footnote reference"/>
    <w:basedOn w:val="DefaultParagraphFont"/>
    <w:uiPriority w:val="99"/>
    <w:unhideWhenUsed/>
    <w:rsid w:val="000C771E"/>
    <w:rPr>
      <w:vertAlign w:val="superscript"/>
    </w:rPr>
  </w:style>
  <w:style w:type="character" w:styleId="CommentReference">
    <w:name w:val="annotation reference"/>
    <w:basedOn w:val="DefaultParagraphFont"/>
    <w:uiPriority w:val="99"/>
    <w:semiHidden/>
    <w:unhideWhenUsed/>
    <w:rsid w:val="002B31F9"/>
    <w:rPr>
      <w:sz w:val="16"/>
      <w:szCs w:val="16"/>
    </w:rPr>
  </w:style>
  <w:style w:type="paragraph" w:styleId="CommentText">
    <w:name w:val="annotation text"/>
    <w:basedOn w:val="Normal"/>
    <w:link w:val="CommentTextChar"/>
    <w:uiPriority w:val="99"/>
    <w:semiHidden/>
    <w:unhideWhenUsed/>
    <w:rsid w:val="002B31F9"/>
    <w:rPr>
      <w:sz w:val="20"/>
      <w:szCs w:val="20"/>
    </w:rPr>
  </w:style>
  <w:style w:type="character" w:customStyle="1" w:styleId="CommentTextChar">
    <w:name w:val="Comment Text Char"/>
    <w:basedOn w:val="DefaultParagraphFont"/>
    <w:link w:val="CommentText"/>
    <w:uiPriority w:val="99"/>
    <w:semiHidden/>
    <w:rsid w:val="002B31F9"/>
    <w:rPr>
      <w:sz w:val="20"/>
      <w:szCs w:val="20"/>
    </w:rPr>
  </w:style>
  <w:style w:type="paragraph" w:styleId="CommentSubject">
    <w:name w:val="annotation subject"/>
    <w:basedOn w:val="CommentText"/>
    <w:next w:val="CommentText"/>
    <w:link w:val="CommentSubjectChar"/>
    <w:uiPriority w:val="99"/>
    <w:semiHidden/>
    <w:unhideWhenUsed/>
    <w:rsid w:val="002B31F9"/>
    <w:rPr>
      <w:b/>
      <w:bCs/>
    </w:rPr>
  </w:style>
  <w:style w:type="character" w:customStyle="1" w:styleId="CommentSubjectChar">
    <w:name w:val="Comment Subject Char"/>
    <w:basedOn w:val="CommentTextChar"/>
    <w:link w:val="CommentSubject"/>
    <w:uiPriority w:val="99"/>
    <w:semiHidden/>
    <w:rsid w:val="002B31F9"/>
    <w:rPr>
      <w:b/>
      <w:bCs/>
      <w:sz w:val="20"/>
      <w:szCs w:val="20"/>
    </w:rPr>
  </w:style>
  <w:style w:type="character" w:styleId="Hyperlink">
    <w:name w:val="Hyperlink"/>
    <w:basedOn w:val="DefaultParagraphFont"/>
    <w:uiPriority w:val="99"/>
    <w:unhideWhenUsed/>
    <w:rsid w:val="007D70E6"/>
    <w:rPr>
      <w:color w:val="0000FF" w:themeColor="hyperlink"/>
      <w:u w:val="single"/>
    </w:rPr>
  </w:style>
  <w:style w:type="character" w:styleId="Strong">
    <w:name w:val="Strong"/>
    <w:basedOn w:val="DefaultParagraphFont"/>
    <w:uiPriority w:val="22"/>
    <w:qFormat/>
    <w:rsid w:val="00641317"/>
    <w:rPr>
      <w:rFonts w:ascii="Arial Narrow" w:hAnsi="Arial Narrow"/>
      <w:b/>
      <w:bCs/>
      <w:sz w:val="20"/>
    </w:rPr>
  </w:style>
  <w:style w:type="character" w:styleId="IntenseEmphasis">
    <w:name w:val="Intense Emphasis"/>
    <w:basedOn w:val="DefaultParagraphFont"/>
    <w:uiPriority w:val="21"/>
    <w:qFormat/>
    <w:rsid w:val="00641317"/>
    <w:rPr>
      <w:rFonts w:ascii="Arial Narrow" w:hAnsi="Arial Narrow"/>
      <w:b/>
      <w:bCs/>
      <w:i/>
      <w:iCs/>
      <w:color w:val="auto"/>
      <w:sz w:val="20"/>
    </w:rPr>
  </w:style>
  <w:style w:type="paragraph" w:styleId="Title">
    <w:name w:val="Title"/>
    <w:basedOn w:val="Normal"/>
    <w:next w:val="Normal"/>
    <w:link w:val="TitleChar"/>
    <w:autoRedefine/>
    <w:uiPriority w:val="10"/>
    <w:qFormat/>
    <w:rsid w:val="007F182C"/>
    <w:pPr>
      <w:spacing w:before="5000" w:after="300"/>
      <w:contextualSpacing/>
      <w:jc w:val="center"/>
    </w:pPr>
    <w:rPr>
      <w:rFonts w:asciiTheme="majorHAnsi" w:eastAsiaTheme="majorEastAsia" w:hAnsiTheme="majorHAnsi" w:cstheme="majorBidi"/>
      <w:b/>
      <w:spacing w:val="5"/>
      <w:kern w:val="28"/>
      <w:sz w:val="52"/>
      <w:szCs w:val="52"/>
    </w:rPr>
  </w:style>
  <w:style w:type="character" w:customStyle="1" w:styleId="TitleChar">
    <w:name w:val="Title Char"/>
    <w:basedOn w:val="DefaultParagraphFont"/>
    <w:link w:val="Title"/>
    <w:uiPriority w:val="10"/>
    <w:rsid w:val="007F182C"/>
    <w:rPr>
      <w:rFonts w:asciiTheme="majorHAnsi" w:eastAsiaTheme="majorEastAsia" w:hAnsiTheme="majorHAnsi" w:cstheme="majorBidi"/>
      <w:b/>
      <w:spacing w:val="5"/>
      <w:kern w:val="28"/>
      <w:sz w:val="52"/>
      <w:szCs w:val="52"/>
    </w:rPr>
  </w:style>
  <w:style w:type="paragraph" w:styleId="Subtitle">
    <w:name w:val="Subtitle"/>
    <w:basedOn w:val="Title"/>
    <w:next w:val="Normal"/>
    <w:link w:val="SubtitleChar"/>
    <w:autoRedefine/>
    <w:uiPriority w:val="11"/>
    <w:qFormat/>
    <w:rsid w:val="007F182C"/>
    <w:pPr>
      <w:numPr>
        <w:ilvl w:val="1"/>
      </w:numPr>
      <w:spacing w:before="1800"/>
    </w:pPr>
    <w:rPr>
      <w:iCs/>
      <w:spacing w:val="15"/>
      <w:sz w:val="40"/>
    </w:rPr>
  </w:style>
  <w:style w:type="character" w:customStyle="1" w:styleId="SubtitleChar">
    <w:name w:val="Subtitle Char"/>
    <w:basedOn w:val="DefaultParagraphFont"/>
    <w:link w:val="Subtitle"/>
    <w:uiPriority w:val="11"/>
    <w:rsid w:val="007F182C"/>
    <w:rPr>
      <w:rFonts w:asciiTheme="majorHAnsi" w:eastAsiaTheme="majorEastAsia" w:hAnsiTheme="majorHAnsi" w:cstheme="majorBidi"/>
      <w:b/>
      <w:iCs/>
      <w:spacing w:val="1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3917">
      <w:bodyDiv w:val="1"/>
      <w:marLeft w:val="0"/>
      <w:marRight w:val="0"/>
      <w:marTop w:val="0"/>
      <w:marBottom w:val="0"/>
      <w:divBdr>
        <w:top w:val="none" w:sz="0" w:space="0" w:color="auto"/>
        <w:left w:val="none" w:sz="0" w:space="0" w:color="auto"/>
        <w:bottom w:val="none" w:sz="0" w:space="0" w:color="auto"/>
        <w:right w:val="none" w:sz="0" w:space="0" w:color="auto"/>
      </w:divBdr>
    </w:div>
    <w:div w:id="617226801">
      <w:bodyDiv w:val="1"/>
      <w:marLeft w:val="0"/>
      <w:marRight w:val="0"/>
      <w:marTop w:val="0"/>
      <w:marBottom w:val="0"/>
      <w:divBdr>
        <w:top w:val="none" w:sz="0" w:space="0" w:color="auto"/>
        <w:left w:val="none" w:sz="0" w:space="0" w:color="auto"/>
        <w:bottom w:val="none" w:sz="0" w:space="0" w:color="auto"/>
        <w:right w:val="none" w:sz="0" w:space="0" w:color="auto"/>
      </w:divBdr>
    </w:div>
    <w:div w:id="948971575">
      <w:bodyDiv w:val="1"/>
      <w:marLeft w:val="0"/>
      <w:marRight w:val="0"/>
      <w:marTop w:val="0"/>
      <w:marBottom w:val="0"/>
      <w:divBdr>
        <w:top w:val="none" w:sz="0" w:space="0" w:color="auto"/>
        <w:left w:val="none" w:sz="0" w:space="0" w:color="auto"/>
        <w:bottom w:val="none" w:sz="0" w:space="0" w:color="auto"/>
        <w:right w:val="none" w:sz="0" w:space="0" w:color="auto"/>
      </w:divBdr>
    </w:div>
    <w:div w:id="1104567783">
      <w:bodyDiv w:val="1"/>
      <w:marLeft w:val="0"/>
      <w:marRight w:val="0"/>
      <w:marTop w:val="0"/>
      <w:marBottom w:val="0"/>
      <w:divBdr>
        <w:top w:val="none" w:sz="0" w:space="0" w:color="auto"/>
        <w:left w:val="none" w:sz="0" w:space="0" w:color="auto"/>
        <w:bottom w:val="none" w:sz="0" w:space="0" w:color="auto"/>
        <w:right w:val="none" w:sz="0" w:space="0" w:color="auto"/>
      </w:divBdr>
    </w:div>
    <w:div w:id="1221208183">
      <w:bodyDiv w:val="1"/>
      <w:marLeft w:val="0"/>
      <w:marRight w:val="0"/>
      <w:marTop w:val="0"/>
      <w:marBottom w:val="0"/>
      <w:divBdr>
        <w:top w:val="none" w:sz="0" w:space="0" w:color="auto"/>
        <w:left w:val="none" w:sz="0" w:space="0" w:color="auto"/>
        <w:bottom w:val="none" w:sz="0" w:space="0" w:color="auto"/>
        <w:right w:val="none" w:sz="0" w:space="0" w:color="auto"/>
      </w:divBdr>
    </w:div>
    <w:div w:id="1689256886">
      <w:bodyDiv w:val="1"/>
      <w:marLeft w:val="0"/>
      <w:marRight w:val="0"/>
      <w:marTop w:val="0"/>
      <w:marBottom w:val="0"/>
      <w:divBdr>
        <w:top w:val="none" w:sz="0" w:space="0" w:color="auto"/>
        <w:left w:val="none" w:sz="0" w:space="0" w:color="auto"/>
        <w:bottom w:val="none" w:sz="0" w:space="0" w:color="auto"/>
        <w:right w:val="none" w:sz="0" w:space="0" w:color="auto"/>
      </w:divBdr>
    </w:div>
    <w:div w:id="189415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AF27-9718-4E56-98A1-74E0426A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Tackling Indigenous Smoking and Healthy Lifestyle Programme Review: Stakeholder Consultation</vt:lpstr>
    </vt:vector>
  </TitlesOfParts>
  <Company>Worcester</Company>
  <LinksUpToDate>false</LinksUpToDate>
  <CharactersWithSpaces>52302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Indigenous Smoking and Healthy Lifestyle Programme Review: Stakeholder Consultation</dc:title>
  <dc:subject>Tackling Indigenous Smoking</dc:subject>
  <dc:creator>University of Canberra</dc:creator>
  <cp:keywords>Stakeholder Consultation; Tackling Indigenous Smoking</cp:keywords>
  <cp:lastModifiedBy>Indigenous Health Division</cp:lastModifiedBy>
  <cp:revision>2</cp:revision>
  <cp:lastPrinted>2014-10-19T23:56:00Z</cp:lastPrinted>
  <dcterms:created xsi:type="dcterms:W3CDTF">2015-09-14T03:39:00Z</dcterms:created>
  <dcterms:modified xsi:type="dcterms:W3CDTF">2015-09-14T03:39:00Z</dcterms:modified>
  <cp:category>Tackling Indigenous Smoking</cp:category>
</cp:coreProperties>
</file>