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45B9C" w14:textId="653A460C" w:rsidR="006836FC" w:rsidRPr="00FB60E5" w:rsidRDefault="00827DE6" w:rsidP="00FB60E5">
      <w:pPr>
        <w:ind w:left="0"/>
      </w:pPr>
      <w:r>
        <w:rPr>
          <w:noProof/>
          <w:lang w:eastAsia="en-AU"/>
        </w:rPr>
        <w:drawing>
          <wp:anchor distT="0" distB="0" distL="114300" distR="114300" simplePos="0" relativeHeight="251659264" behindDoc="0" locked="0" layoutInCell="1" allowOverlap="1" wp14:anchorId="4D93AC41" wp14:editId="2C4C11D3">
            <wp:simplePos x="914400" y="990600"/>
            <wp:positionH relativeFrom="margin">
              <wp:align>center</wp:align>
            </wp:positionH>
            <wp:positionV relativeFrom="margin">
              <wp:align>center</wp:align>
            </wp:positionV>
            <wp:extent cx="7603398" cy="10728000"/>
            <wp:effectExtent l="0" t="0" r="0" b="0"/>
            <wp:wrapNone/>
            <wp:docPr id="4" name="Picture 4" descr="Cover page for the publication A Study oF Patient Pathways in alcohol and other drug treatment , Patient Pathways National Project -  Final Report, June 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603398" cy="10728000"/>
                    </a:xfrm>
                    <a:prstGeom prst="rect">
                      <a:avLst/>
                    </a:prstGeom>
                  </pic:spPr>
                </pic:pic>
              </a:graphicData>
            </a:graphic>
            <wp14:sizeRelH relativeFrom="margin">
              <wp14:pctWidth>0</wp14:pctWidth>
            </wp14:sizeRelH>
            <wp14:sizeRelV relativeFrom="margin">
              <wp14:pctHeight>0</wp14:pctHeight>
            </wp14:sizeRelV>
          </wp:anchor>
        </w:drawing>
      </w:r>
    </w:p>
    <w:p w14:paraId="38A45B9D" w14:textId="77777777" w:rsidR="006836FC" w:rsidRPr="00FB60E5" w:rsidRDefault="006836FC" w:rsidP="00FB60E5">
      <w:pPr>
        <w:ind w:left="0"/>
        <w:sectPr w:rsidR="006836FC" w:rsidRPr="00FB60E5" w:rsidSect="006836FC">
          <w:footerReference w:type="default" r:id="rId13"/>
          <w:pgSz w:w="11906" w:h="16838"/>
          <w:pgMar w:top="1440" w:right="1440" w:bottom="1440" w:left="1440" w:header="708" w:footer="708" w:gutter="0"/>
          <w:pgNumType w:fmt="upperRoman" w:start="1"/>
          <w:cols w:space="708"/>
          <w:titlePg/>
          <w:docGrid w:linePitch="360"/>
        </w:sectPr>
      </w:pPr>
    </w:p>
    <w:p w14:paraId="7D54A1E4" w14:textId="27D64747" w:rsidR="00827DE6" w:rsidRDefault="00827DE6" w:rsidP="00FB60E5">
      <w:pPr>
        <w:ind w:left="0"/>
      </w:pPr>
      <w:r w:rsidRPr="00FB60E5">
        <w:rPr>
          <w:noProof/>
          <w:lang w:eastAsia="en-AU"/>
        </w:rPr>
        <w:lastRenderedPageBreak/>
        <w:drawing>
          <wp:inline distT="0" distB="0" distL="0" distR="0" wp14:anchorId="3E773CF4" wp14:editId="533CB999">
            <wp:extent cx="1606550" cy="494322"/>
            <wp:effectExtent l="0" t="0" r="0" b="1270"/>
            <wp:docPr id="7" name="Picture 1" descr="Turning Po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Logo_RGB.jpg"/>
                    <pic:cNvPicPr/>
                  </pic:nvPicPr>
                  <pic:blipFill>
                    <a:blip r:embed="rId14">
                      <a:extLst>
                        <a:ext uri="{28A0092B-C50C-407E-A947-70E740481C1C}">
                          <a14:useLocalDpi xmlns:a14="http://schemas.microsoft.com/office/drawing/2010/main" val="0"/>
                        </a:ext>
                      </a:extLst>
                    </a:blip>
                    <a:stretch>
                      <a:fillRect/>
                    </a:stretch>
                  </pic:blipFill>
                  <pic:spPr>
                    <a:xfrm>
                      <a:off x="0" y="0"/>
                      <a:ext cx="1634287" cy="502857"/>
                    </a:xfrm>
                    <a:prstGeom prst="rect">
                      <a:avLst/>
                    </a:prstGeom>
                  </pic:spPr>
                </pic:pic>
              </a:graphicData>
            </a:graphic>
          </wp:inline>
        </w:drawing>
      </w:r>
      <w:r w:rsidRPr="00FB60E5">
        <w:rPr>
          <w:noProof/>
          <w:lang w:eastAsia="en-AU"/>
        </w:rPr>
        <w:drawing>
          <wp:inline distT="0" distB="0" distL="0" distR="0" wp14:anchorId="34ECB6B9" wp14:editId="66BFFBFC">
            <wp:extent cx="1440000" cy="476544"/>
            <wp:effectExtent l="0" t="0" r="8255" b="0"/>
            <wp:docPr id="20" name="Picture 18" descr="Monash Univers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1440000" cy="476544"/>
                    </a:xfrm>
                    <a:prstGeom prst="rect">
                      <a:avLst/>
                    </a:prstGeom>
                    <a:noFill/>
                    <a:ln w="9525">
                      <a:noFill/>
                      <a:miter lim="800000"/>
                      <a:headEnd/>
                      <a:tailEnd/>
                    </a:ln>
                  </pic:spPr>
                </pic:pic>
              </a:graphicData>
            </a:graphic>
          </wp:inline>
        </w:drawing>
      </w:r>
      <w:r w:rsidRPr="00FB60E5">
        <w:rPr>
          <w:noProof/>
          <w:lang w:eastAsia="en-AU"/>
        </w:rPr>
        <w:drawing>
          <wp:inline distT="0" distB="0" distL="0" distR="0" wp14:anchorId="73D56D03" wp14:editId="0A7F374D">
            <wp:extent cx="1440000" cy="645071"/>
            <wp:effectExtent l="0" t="0" r="8255" b="3175"/>
            <wp:docPr id="21" name="Picture 7" descr="Alcohol and other Drugs Council of Australia (AD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440000" cy="645071"/>
                    </a:xfrm>
                    <a:prstGeom prst="rect">
                      <a:avLst/>
                    </a:prstGeom>
                    <a:noFill/>
                    <a:ln w="9525">
                      <a:noFill/>
                      <a:miter lim="800000"/>
                      <a:headEnd/>
                      <a:tailEnd/>
                    </a:ln>
                  </pic:spPr>
                </pic:pic>
              </a:graphicData>
            </a:graphic>
          </wp:inline>
        </w:drawing>
      </w:r>
      <w:r w:rsidRPr="00FB60E5">
        <w:rPr>
          <w:noProof/>
          <w:lang w:eastAsia="en-AU"/>
        </w:rPr>
        <w:drawing>
          <wp:inline distT="0" distB="0" distL="0" distR="0" wp14:anchorId="627934B3" wp14:editId="374EEA56">
            <wp:extent cx="1223753" cy="539750"/>
            <wp:effectExtent l="0" t="0" r="0" b="0"/>
            <wp:docPr id="5" name="Picture 4" descr="National drug research institute (ND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227236" cy="541286"/>
                    </a:xfrm>
                    <a:prstGeom prst="rect">
                      <a:avLst/>
                    </a:prstGeom>
                    <a:noFill/>
                    <a:ln w="9525">
                      <a:noFill/>
                      <a:miter lim="800000"/>
                      <a:headEnd/>
                      <a:tailEnd/>
                    </a:ln>
                  </pic:spPr>
                </pic:pic>
              </a:graphicData>
            </a:graphic>
          </wp:inline>
        </w:drawing>
      </w:r>
    </w:p>
    <w:p w14:paraId="1DC75D0D" w14:textId="146BE6B0" w:rsidR="00FB60E5" w:rsidRPr="00827DE6" w:rsidRDefault="00B249AF" w:rsidP="00827DE6">
      <w:pPr>
        <w:spacing w:before="2160"/>
        <w:ind w:left="0"/>
        <w:jc w:val="center"/>
        <w:rPr>
          <w:rStyle w:val="IntenseEmphasis"/>
        </w:rPr>
      </w:pPr>
      <w:r w:rsidRPr="00827DE6">
        <w:rPr>
          <w:rStyle w:val="IntenseEmphasis"/>
          <w:noProof/>
          <w:lang w:eastAsia="en-AU"/>
        </w:rPr>
        <w:drawing>
          <wp:anchor distT="0" distB="0" distL="114300" distR="114300" simplePos="0" relativeHeight="251658240" behindDoc="0" locked="0" layoutInCell="1" allowOverlap="1" wp14:anchorId="38A475E9" wp14:editId="3763CAFD">
            <wp:simplePos x="5327650" y="5571490"/>
            <wp:positionH relativeFrom="margin">
              <wp:align>right</wp:align>
            </wp:positionH>
            <wp:positionV relativeFrom="margin">
              <wp:align>bottom</wp:align>
            </wp:positionV>
            <wp:extent cx="1314450" cy="756285"/>
            <wp:effectExtent l="0" t="0" r="0" b="5715"/>
            <wp:wrapSquare wrapText="bothSides"/>
            <wp:docPr id="6" name="Picture 4" descr="Part of easten health, Great Health and wellb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ofEH_RGB_sm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756285"/>
                    </a:xfrm>
                    <a:prstGeom prst="rect">
                      <a:avLst/>
                    </a:prstGeom>
                    <a:noFill/>
                    <a:ln w="9525">
                      <a:noFill/>
                      <a:miter lim="800000"/>
                      <a:headEnd/>
                      <a:tailEnd/>
                    </a:ln>
                  </pic:spPr>
                </pic:pic>
              </a:graphicData>
            </a:graphic>
          </wp:anchor>
        </w:drawing>
      </w:r>
      <w:r w:rsidR="00827DE6">
        <w:rPr>
          <w:rStyle w:val="IntenseEmphasis"/>
        </w:rPr>
        <w:t>A s</w:t>
      </w:r>
      <w:r w:rsidR="00827DE6" w:rsidRPr="00827DE6">
        <w:rPr>
          <w:rStyle w:val="IntenseEmphasis"/>
        </w:rPr>
        <w:t>tudy of</w:t>
      </w:r>
      <w:r w:rsidR="00827DE6">
        <w:rPr>
          <w:rStyle w:val="IntenseEmphasis"/>
        </w:rPr>
        <w:t xml:space="preserve"> Patient Pathways in Alcohol and O</w:t>
      </w:r>
      <w:r w:rsidR="00FB60E5" w:rsidRPr="00827DE6">
        <w:rPr>
          <w:rStyle w:val="IntenseEmphasis"/>
        </w:rPr>
        <w:t xml:space="preserve">ther </w:t>
      </w:r>
      <w:r w:rsidR="00827DE6">
        <w:rPr>
          <w:rStyle w:val="IntenseEmphasis"/>
        </w:rPr>
        <w:t>Drug T</w:t>
      </w:r>
      <w:r w:rsidR="00FB60E5" w:rsidRPr="00827DE6">
        <w:rPr>
          <w:rStyle w:val="IntenseEmphasis"/>
        </w:rPr>
        <w:t>reatment</w:t>
      </w:r>
    </w:p>
    <w:p w14:paraId="11F95528" w14:textId="77777777" w:rsidR="00FB60E5" w:rsidRPr="00827DE6" w:rsidRDefault="00FB60E5" w:rsidP="00827DE6">
      <w:pPr>
        <w:jc w:val="center"/>
        <w:rPr>
          <w:rStyle w:val="IntenseEmphasis"/>
          <w:b w:val="0"/>
        </w:rPr>
      </w:pPr>
      <w:r w:rsidRPr="00827DE6">
        <w:rPr>
          <w:rStyle w:val="IntenseEmphasis"/>
          <w:b w:val="0"/>
        </w:rPr>
        <w:t>Patient Pat</w:t>
      </w:r>
      <w:bookmarkStart w:id="0" w:name="_GoBack"/>
      <w:bookmarkEnd w:id="0"/>
      <w:r w:rsidRPr="00827DE6">
        <w:rPr>
          <w:rStyle w:val="IntenseEmphasis"/>
          <w:b w:val="0"/>
        </w:rPr>
        <w:t>hways National Project</w:t>
      </w:r>
    </w:p>
    <w:p w14:paraId="77480287" w14:textId="77777777" w:rsidR="00FB60E5" w:rsidRPr="00827DE6" w:rsidRDefault="00FB60E5" w:rsidP="00827DE6">
      <w:pPr>
        <w:pStyle w:val="BodyText"/>
        <w:rPr>
          <w:rStyle w:val="SubtleEmphasis"/>
          <w:sz w:val="28"/>
          <w:szCs w:val="28"/>
        </w:rPr>
      </w:pPr>
      <w:proofErr w:type="spellStart"/>
      <w:r w:rsidRPr="00827DE6">
        <w:rPr>
          <w:rStyle w:val="SubtleEmphasis"/>
          <w:sz w:val="28"/>
          <w:szCs w:val="28"/>
        </w:rPr>
        <w:t>Lubman</w:t>
      </w:r>
      <w:proofErr w:type="spellEnd"/>
      <w:r w:rsidRPr="00827DE6">
        <w:rPr>
          <w:rStyle w:val="SubtleEmphasis"/>
          <w:sz w:val="28"/>
          <w:szCs w:val="28"/>
        </w:rPr>
        <w:t xml:space="preserve">, D., Manning, V., Best, D., </w:t>
      </w:r>
      <w:proofErr w:type="spellStart"/>
      <w:r w:rsidRPr="00827DE6">
        <w:rPr>
          <w:rStyle w:val="SubtleEmphasis"/>
          <w:sz w:val="28"/>
          <w:szCs w:val="28"/>
        </w:rPr>
        <w:t>Berends</w:t>
      </w:r>
      <w:proofErr w:type="spellEnd"/>
      <w:r w:rsidRPr="00827DE6">
        <w:rPr>
          <w:rStyle w:val="SubtleEmphasis"/>
          <w:sz w:val="28"/>
          <w:szCs w:val="28"/>
        </w:rPr>
        <w:t xml:space="preserve">, L., </w:t>
      </w:r>
      <w:proofErr w:type="spellStart"/>
      <w:r w:rsidRPr="00827DE6">
        <w:rPr>
          <w:rStyle w:val="SubtleEmphasis"/>
          <w:sz w:val="28"/>
          <w:szCs w:val="28"/>
        </w:rPr>
        <w:t>Mugavin</w:t>
      </w:r>
      <w:proofErr w:type="spellEnd"/>
      <w:r w:rsidRPr="00827DE6">
        <w:rPr>
          <w:rStyle w:val="SubtleEmphasis"/>
          <w:sz w:val="28"/>
          <w:szCs w:val="28"/>
        </w:rPr>
        <w:t xml:space="preserve">, J., Lloyd, B., Lam, T., Garfield, J., </w:t>
      </w:r>
      <w:proofErr w:type="spellStart"/>
      <w:r w:rsidRPr="00827DE6">
        <w:rPr>
          <w:rStyle w:val="SubtleEmphasis"/>
          <w:sz w:val="28"/>
          <w:szCs w:val="28"/>
        </w:rPr>
        <w:t>Buykx</w:t>
      </w:r>
      <w:proofErr w:type="spellEnd"/>
      <w:r w:rsidRPr="00827DE6">
        <w:rPr>
          <w:rStyle w:val="SubtleEmphasis"/>
          <w:sz w:val="28"/>
          <w:szCs w:val="28"/>
        </w:rPr>
        <w:t xml:space="preserve">, P., Matthews, S., </w:t>
      </w:r>
      <w:proofErr w:type="spellStart"/>
      <w:r w:rsidRPr="00827DE6">
        <w:rPr>
          <w:rStyle w:val="SubtleEmphasis"/>
          <w:sz w:val="28"/>
          <w:szCs w:val="28"/>
        </w:rPr>
        <w:t>Larner</w:t>
      </w:r>
      <w:proofErr w:type="spellEnd"/>
      <w:r w:rsidRPr="00827DE6">
        <w:rPr>
          <w:rStyle w:val="SubtleEmphasis"/>
          <w:sz w:val="28"/>
          <w:szCs w:val="28"/>
        </w:rPr>
        <w:t xml:space="preserve">, A., </w:t>
      </w:r>
      <w:proofErr w:type="gramStart"/>
      <w:r w:rsidRPr="00827DE6">
        <w:rPr>
          <w:rStyle w:val="SubtleEmphasis"/>
          <w:sz w:val="28"/>
          <w:szCs w:val="28"/>
        </w:rPr>
        <w:t>Gao</w:t>
      </w:r>
      <w:proofErr w:type="gramEnd"/>
      <w:r w:rsidRPr="00827DE6">
        <w:rPr>
          <w:rStyle w:val="SubtleEmphasis"/>
          <w:sz w:val="28"/>
          <w:szCs w:val="28"/>
        </w:rPr>
        <w:t xml:space="preserve">, C., </w:t>
      </w:r>
      <w:proofErr w:type="spellStart"/>
      <w:r w:rsidRPr="00827DE6">
        <w:rPr>
          <w:rStyle w:val="SubtleEmphasis"/>
          <w:sz w:val="28"/>
          <w:szCs w:val="28"/>
        </w:rPr>
        <w:t>Allsop</w:t>
      </w:r>
      <w:proofErr w:type="spellEnd"/>
      <w:r w:rsidRPr="00827DE6">
        <w:rPr>
          <w:rStyle w:val="SubtleEmphasis"/>
          <w:sz w:val="28"/>
          <w:szCs w:val="28"/>
        </w:rPr>
        <w:t>, S., Room, R.</w:t>
      </w:r>
    </w:p>
    <w:p w14:paraId="3067AC3E" w14:textId="77777777" w:rsidR="00FB60E5" w:rsidRPr="00827DE6" w:rsidRDefault="00FB60E5" w:rsidP="00827DE6">
      <w:pPr>
        <w:pStyle w:val="BodyText"/>
        <w:rPr>
          <w:rStyle w:val="SubtleEmphasis"/>
          <w:sz w:val="28"/>
          <w:szCs w:val="28"/>
        </w:rPr>
      </w:pPr>
      <w:r w:rsidRPr="00827DE6">
        <w:rPr>
          <w:rStyle w:val="SubtleEmphasis"/>
          <w:sz w:val="28"/>
          <w:szCs w:val="28"/>
        </w:rPr>
        <w:t>FINAL REPORT</w:t>
      </w:r>
    </w:p>
    <w:p w14:paraId="14479C8B" w14:textId="77777777" w:rsidR="00FB60E5" w:rsidRPr="00827DE6" w:rsidRDefault="00FB60E5" w:rsidP="00827DE6">
      <w:pPr>
        <w:pStyle w:val="BodyText"/>
        <w:rPr>
          <w:rStyle w:val="SubtleEmphasis"/>
          <w:sz w:val="28"/>
          <w:szCs w:val="28"/>
        </w:rPr>
      </w:pPr>
      <w:r w:rsidRPr="00827DE6">
        <w:rPr>
          <w:rStyle w:val="SubtleEmphasis"/>
          <w:sz w:val="28"/>
          <w:szCs w:val="28"/>
        </w:rPr>
        <w:t>June 2014</w:t>
      </w:r>
    </w:p>
    <w:p w14:paraId="38A45BBA" w14:textId="052EEC19" w:rsidR="002646C4" w:rsidRPr="00FB60E5" w:rsidRDefault="00883963" w:rsidP="00827DE6">
      <w:pPr>
        <w:keepNext/>
        <w:pageBreakBefore/>
        <w:spacing w:before="6240"/>
        <w:ind w:left="0"/>
      </w:pPr>
      <w:bookmarkStart w:id="1" w:name="_Toc345932869"/>
      <w:bookmarkStart w:id="2" w:name="_Toc350884488"/>
      <w:bookmarkStart w:id="3" w:name="_Toc351536574"/>
      <w:bookmarkStart w:id="4" w:name="_Toc351622811"/>
      <w:bookmarkStart w:id="5" w:name="_Toc351622882"/>
      <w:bookmarkStart w:id="6" w:name="_Toc352002266"/>
      <w:bookmarkStart w:id="7" w:name="_Toc352168064"/>
      <w:bookmarkStart w:id="8" w:name="_Toc352844009"/>
      <w:bookmarkStart w:id="9" w:name="_Toc354593030"/>
      <w:bookmarkStart w:id="10" w:name="_Toc354732281"/>
      <w:bookmarkStart w:id="11" w:name="_Toc354734003"/>
      <w:bookmarkStart w:id="12" w:name="_Toc354734169"/>
      <w:bookmarkStart w:id="13" w:name="_Toc354734779"/>
      <w:r w:rsidRPr="00FB60E5">
        <w:lastRenderedPageBreak/>
        <w:t>© 2014 Commonwealth of Australia</w:t>
      </w:r>
    </w:p>
    <w:p w14:paraId="38A45BBB" w14:textId="77777777" w:rsidR="00883963" w:rsidRPr="00FB60E5" w:rsidRDefault="00883963" w:rsidP="00FB60E5">
      <w:pPr>
        <w:ind w:left="0"/>
      </w:pPr>
      <w:proofErr w:type="gramStart"/>
      <w:r w:rsidRPr="00FB60E5">
        <w:t xml:space="preserve">Reproduced with permission of the </w:t>
      </w:r>
      <w:r w:rsidR="001302FA" w:rsidRPr="00FB60E5">
        <w:t>Commonwealth of Australia</w:t>
      </w:r>
      <w:r w:rsidRPr="00FB60E5">
        <w:t>.</w:t>
      </w:r>
      <w:proofErr w:type="gramEnd"/>
      <w:r w:rsidRPr="00FB60E5">
        <w:t xml:space="preserve"> Unauthorised reproduction and other uses comprised in the copyright are prohibited without permission.</w:t>
      </w:r>
    </w:p>
    <w:p w14:paraId="38A45BBD" w14:textId="77777777" w:rsidR="00883963" w:rsidRPr="00FB60E5" w:rsidRDefault="00883963" w:rsidP="00FB60E5">
      <w:pPr>
        <w:ind w:left="0"/>
      </w:pPr>
      <w:r w:rsidRPr="00FB60E5">
        <w:t xml:space="preserve">Copyright enquiries can be made to the lead author, at Turning Point, 54-62 Gertrude Street, Fitzroy, Victoria 3065, </w:t>
      </w:r>
      <w:proofErr w:type="gramStart"/>
      <w:r w:rsidRPr="00FB60E5">
        <w:t>Australia</w:t>
      </w:r>
      <w:proofErr w:type="gramEnd"/>
      <w:r w:rsidRPr="00FB60E5">
        <w:t>.</w:t>
      </w:r>
    </w:p>
    <w:p w14:paraId="38A45BBF" w14:textId="65D5ECF5" w:rsidR="00883963" w:rsidRPr="00FB60E5" w:rsidRDefault="00883963" w:rsidP="00FB60E5">
      <w:pPr>
        <w:ind w:left="0"/>
      </w:pPr>
      <w:r w:rsidRPr="00FB60E5">
        <w:t>Published by Turning Point, whi</w:t>
      </w:r>
      <w:r w:rsidR="00827DE6">
        <w:t>ch is a part of Eastern Health.</w:t>
      </w:r>
    </w:p>
    <w:p w14:paraId="38A45BC1" w14:textId="3501F971" w:rsidR="00883963" w:rsidRPr="00FB60E5" w:rsidRDefault="00883963" w:rsidP="00FB60E5">
      <w:pPr>
        <w:ind w:left="0"/>
      </w:pPr>
      <w:r w:rsidRPr="00FB60E5">
        <w:t xml:space="preserve">This project was funded by the </w:t>
      </w:r>
      <w:r w:rsidR="001302FA" w:rsidRPr="00FB60E5">
        <w:t>Commonwealth of Australia</w:t>
      </w:r>
      <w:r w:rsidR="00827DE6">
        <w:t>.</w:t>
      </w:r>
    </w:p>
    <w:p w14:paraId="38A45BC3" w14:textId="77777777" w:rsidR="00883963" w:rsidRPr="00FB60E5" w:rsidRDefault="00883963" w:rsidP="00FB60E5">
      <w:pPr>
        <w:ind w:left="0"/>
      </w:pPr>
      <w:r w:rsidRPr="00FB60E5">
        <w:t xml:space="preserve">The responsibility for all statements made in this document lies with the authors. The views of the authors do not necessarily reflect the views and position of the </w:t>
      </w:r>
      <w:r w:rsidR="001302FA" w:rsidRPr="00FB60E5">
        <w:t>Commonwealth of Australia.</w:t>
      </w:r>
    </w:p>
    <w:p w14:paraId="38A45BC6" w14:textId="3589B3C4" w:rsidR="00883963" w:rsidRPr="00FB60E5" w:rsidRDefault="00883963" w:rsidP="00827DE6">
      <w:pPr>
        <w:spacing w:before="840"/>
        <w:ind w:left="0"/>
      </w:pPr>
      <w:r w:rsidRPr="00FB60E5">
        <w:t>The corre</w:t>
      </w:r>
      <w:r w:rsidR="00827DE6">
        <w:t>ct citation for this report is:</w:t>
      </w:r>
    </w:p>
    <w:p w14:paraId="4274E504" w14:textId="77777777" w:rsidR="002C27A8" w:rsidRDefault="008450ED" w:rsidP="00FB60E5">
      <w:pPr>
        <w:ind w:left="0"/>
      </w:pPr>
      <w:bookmarkStart w:id="14" w:name="_Toc388371061"/>
      <w:proofErr w:type="spellStart"/>
      <w:r w:rsidRPr="00FB60E5">
        <w:t>Lubman</w:t>
      </w:r>
      <w:proofErr w:type="spellEnd"/>
      <w:r w:rsidRPr="00FB60E5">
        <w:t>, D., M</w:t>
      </w:r>
      <w:r w:rsidR="00F9110B" w:rsidRPr="00FB60E5">
        <w:t xml:space="preserve">anning, V., Best, D., </w:t>
      </w:r>
      <w:proofErr w:type="spellStart"/>
      <w:r w:rsidR="00F9110B" w:rsidRPr="00FB60E5">
        <w:t>Berends</w:t>
      </w:r>
      <w:proofErr w:type="spellEnd"/>
      <w:r w:rsidR="00F9110B" w:rsidRPr="00FB60E5">
        <w:t xml:space="preserve">, L., </w:t>
      </w:r>
      <w:proofErr w:type="spellStart"/>
      <w:r w:rsidRPr="00FB60E5">
        <w:t>Mugavin</w:t>
      </w:r>
      <w:proofErr w:type="spellEnd"/>
      <w:r w:rsidRPr="00FB60E5">
        <w:t xml:space="preserve">, J., </w:t>
      </w:r>
      <w:r w:rsidR="00F9110B" w:rsidRPr="00FB60E5">
        <w:t xml:space="preserve">Lloyd, B., </w:t>
      </w:r>
      <w:r w:rsidRPr="00FB60E5">
        <w:t xml:space="preserve">Lam, T., </w:t>
      </w:r>
      <w:r w:rsidR="00F9110B" w:rsidRPr="00FB60E5">
        <w:t xml:space="preserve">Garfield, J., </w:t>
      </w:r>
      <w:proofErr w:type="spellStart"/>
      <w:r w:rsidRPr="00FB60E5">
        <w:t>Buykx</w:t>
      </w:r>
      <w:proofErr w:type="spellEnd"/>
      <w:r w:rsidRPr="00FB60E5">
        <w:t xml:space="preserve">, P., Matthews, S., </w:t>
      </w:r>
      <w:proofErr w:type="spellStart"/>
      <w:r w:rsidRPr="00FB60E5">
        <w:t>Larner</w:t>
      </w:r>
      <w:proofErr w:type="spellEnd"/>
      <w:r w:rsidRPr="00FB60E5">
        <w:t>, A., </w:t>
      </w:r>
      <w:proofErr w:type="gramStart"/>
      <w:r w:rsidRPr="00FB60E5">
        <w:t>Gao</w:t>
      </w:r>
      <w:proofErr w:type="gramEnd"/>
      <w:r w:rsidRPr="00FB60E5">
        <w:t xml:space="preserve">, C., </w:t>
      </w:r>
      <w:proofErr w:type="spellStart"/>
      <w:r w:rsidRPr="00FB60E5">
        <w:t>Allsop</w:t>
      </w:r>
      <w:proofErr w:type="spellEnd"/>
      <w:r w:rsidRPr="00FB60E5">
        <w:t>, S., Room, R.</w:t>
      </w:r>
      <w:r w:rsidR="0030497C" w:rsidRPr="00FB60E5">
        <w:t xml:space="preserve"> </w:t>
      </w:r>
      <w:r w:rsidR="00883963" w:rsidRPr="00FB60E5">
        <w:t>(</w:t>
      </w:r>
      <w:r w:rsidR="00285510" w:rsidRPr="00FB60E5">
        <w:t>2014</w:t>
      </w:r>
      <w:r w:rsidR="00883963" w:rsidRPr="00FB60E5">
        <w:t xml:space="preserve">). </w:t>
      </w:r>
      <w:proofErr w:type="gramStart"/>
      <w:r w:rsidR="00C85B93" w:rsidRPr="00FB60E5">
        <w:t>A study of p</w:t>
      </w:r>
      <w:r w:rsidR="00883963" w:rsidRPr="00FB60E5">
        <w:t xml:space="preserve">atient </w:t>
      </w:r>
      <w:r w:rsidR="00C85B93" w:rsidRPr="00FB60E5">
        <w:t>p</w:t>
      </w:r>
      <w:r w:rsidR="00883963" w:rsidRPr="00FB60E5">
        <w:t>athways</w:t>
      </w:r>
      <w:r w:rsidR="00C85B93" w:rsidRPr="00FB60E5">
        <w:t xml:space="preserve"> in alc</w:t>
      </w:r>
      <w:r w:rsidRPr="00FB60E5">
        <w:t>ohol and other drug treatment</w:t>
      </w:r>
      <w:r w:rsidR="00883963" w:rsidRPr="00FB60E5">
        <w:t>.</w:t>
      </w:r>
      <w:proofErr w:type="gramEnd"/>
      <w:r w:rsidR="00883963" w:rsidRPr="00FB60E5">
        <w:t xml:space="preserve"> Turning Point, Fitzroy</w:t>
      </w:r>
      <w:bookmarkEnd w:id="14"/>
      <w:r w:rsidR="002C27A8">
        <w:t>.</w:t>
      </w:r>
    </w:p>
    <w:p w14:paraId="38A45BC9" w14:textId="5F8312CB" w:rsidR="008A3649" w:rsidRPr="00FB60E5" w:rsidRDefault="00045FA3" w:rsidP="0071715D">
      <w:pPr>
        <w:pStyle w:val="Heading1"/>
        <w:ind w:left="432" w:hanging="432"/>
      </w:pPr>
      <w:bookmarkStart w:id="15" w:name="_Toc388371062"/>
      <w:bookmarkStart w:id="16" w:name="_Toc398105031"/>
      <w:bookmarkStart w:id="17" w:name="_Toc531696228"/>
      <w:r w:rsidRPr="00FB60E5">
        <w:lastRenderedPageBreak/>
        <w:t>Acknowledgements</w:t>
      </w:r>
      <w:bookmarkEnd w:id="1"/>
      <w:bookmarkEnd w:id="2"/>
      <w:bookmarkEnd w:id="3"/>
      <w:bookmarkEnd w:id="4"/>
      <w:bookmarkEnd w:id="5"/>
      <w:bookmarkEnd w:id="6"/>
      <w:bookmarkEnd w:id="7"/>
      <w:bookmarkEnd w:id="8"/>
      <w:bookmarkEnd w:id="9"/>
      <w:bookmarkEnd w:id="10"/>
      <w:bookmarkEnd w:id="11"/>
      <w:bookmarkEnd w:id="12"/>
      <w:bookmarkEnd w:id="13"/>
      <w:bookmarkEnd w:id="15"/>
      <w:bookmarkEnd w:id="16"/>
      <w:bookmarkEnd w:id="17"/>
    </w:p>
    <w:p w14:paraId="38A45BCA" w14:textId="167523C7" w:rsidR="00901D28" w:rsidRPr="00FB60E5" w:rsidRDefault="00045FA3" w:rsidP="00FB60E5">
      <w:r w:rsidRPr="00FB60E5">
        <w:t xml:space="preserve">We </w:t>
      </w:r>
      <w:r w:rsidR="002F63D3" w:rsidRPr="00FB60E5">
        <w:t>thank</w:t>
      </w:r>
      <w:r w:rsidRPr="00FB60E5">
        <w:t xml:space="preserve"> the participants who </w:t>
      </w:r>
      <w:r w:rsidR="00850BEC" w:rsidRPr="00FB60E5">
        <w:t>were involved</w:t>
      </w:r>
      <w:r w:rsidRPr="00FB60E5">
        <w:t xml:space="preserve"> </w:t>
      </w:r>
      <w:r w:rsidR="002F63D3" w:rsidRPr="00FB60E5">
        <w:t>across the different phases of the project</w:t>
      </w:r>
      <w:r w:rsidRPr="00FB60E5">
        <w:t xml:space="preserve"> </w:t>
      </w:r>
      <w:r w:rsidR="002F63D3" w:rsidRPr="00FB60E5">
        <w:t xml:space="preserve">for </w:t>
      </w:r>
      <w:r w:rsidRPr="00FB60E5">
        <w:t>the substantial amount of time they have given</w:t>
      </w:r>
      <w:r w:rsidR="00327BB0" w:rsidRPr="00FB60E5">
        <w:t xml:space="preserve"> to help us understand their treatment journeys and experiences. </w:t>
      </w:r>
      <w:r w:rsidR="006F77B8" w:rsidRPr="00FB60E5">
        <w:t>We would also like to thank all of the treatment service staff that supported th</w:t>
      </w:r>
      <w:r w:rsidR="00327BB0" w:rsidRPr="00FB60E5">
        <w:t>e</w:t>
      </w:r>
      <w:r w:rsidR="006F77B8" w:rsidRPr="00FB60E5">
        <w:t xml:space="preserve"> project in</w:t>
      </w:r>
      <w:r w:rsidR="00163BDB" w:rsidRPr="00FB60E5">
        <w:t xml:space="preserve"> </w:t>
      </w:r>
      <w:r w:rsidR="00327BB0" w:rsidRPr="00FB60E5">
        <w:t xml:space="preserve">both </w:t>
      </w:r>
      <w:r w:rsidR="00163BDB" w:rsidRPr="00FB60E5">
        <w:t>Victoria and West Australia</w:t>
      </w:r>
      <w:r w:rsidR="00327BB0" w:rsidRPr="00FB60E5">
        <w:t>,</w:t>
      </w:r>
      <w:r w:rsidR="00163BDB" w:rsidRPr="00FB60E5">
        <w:t xml:space="preserve"> and members of </w:t>
      </w:r>
      <w:r w:rsidR="00A10255" w:rsidRPr="00FB60E5">
        <w:t>Alcohol and other Drugs Council of Australia</w:t>
      </w:r>
      <w:r w:rsidR="00381191" w:rsidRPr="00FB60E5">
        <w:t xml:space="preserve"> (ADCA) </w:t>
      </w:r>
      <w:r w:rsidR="00163BDB" w:rsidRPr="00FB60E5">
        <w:t xml:space="preserve">for their </w:t>
      </w:r>
      <w:r w:rsidR="00327BB0" w:rsidRPr="00FB60E5">
        <w:t>support and expertise</w:t>
      </w:r>
      <w:r w:rsidR="00827DE6">
        <w:t>.</w:t>
      </w:r>
    </w:p>
    <w:p w14:paraId="38A45BCB" w14:textId="0D751D34" w:rsidR="008450ED" w:rsidRPr="00FB60E5" w:rsidRDefault="005C7C60" w:rsidP="00FB60E5">
      <w:pPr>
        <w:ind w:left="0"/>
      </w:pPr>
      <w:r w:rsidRPr="00FB60E5">
        <w:t xml:space="preserve">The authors </w:t>
      </w:r>
      <w:r w:rsidR="002F63D3" w:rsidRPr="00FB60E5">
        <w:t>also thank</w:t>
      </w:r>
      <w:r w:rsidRPr="00FB60E5">
        <w:t xml:space="preserve"> </w:t>
      </w:r>
      <w:proofErr w:type="spellStart"/>
      <w:r w:rsidRPr="00FB60E5">
        <w:t>Mee</w:t>
      </w:r>
      <w:proofErr w:type="spellEnd"/>
      <w:r w:rsidRPr="00FB60E5">
        <w:t xml:space="preserve"> Lee Easton and Ying Chen from the Victorian Data Linkages Unit</w:t>
      </w:r>
      <w:r w:rsidR="00327BB0" w:rsidRPr="00FB60E5">
        <w:t>, and</w:t>
      </w:r>
      <w:r w:rsidRPr="00FB60E5">
        <w:t xml:space="preserve"> Rob Knight and Mark Gill for providing access to the data. Th</w:t>
      </w:r>
      <w:r w:rsidR="00327BB0" w:rsidRPr="00FB60E5">
        <w:t xml:space="preserve">is work could not have been completed without the </w:t>
      </w:r>
      <w:r w:rsidRPr="00FB60E5">
        <w:t xml:space="preserve">support </w:t>
      </w:r>
      <w:r w:rsidR="00327BB0" w:rsidRPr="00FB60E5">
        <w:t>of the</w:t>
      </w:r>
      <w:r w:rsidRPr="00FB60E5">
        <w:t xml:space="preserve"> Com</w:t>
      </w:r>
      <w:r w:rsidR="00827DE6">
        <w:t>monwealth Department of Health.</w:t>
      </w:r>
    </w:p>
    <w:p w14:paraId="38A45BCC" w14:textId="4E8AD11D" w:rsidR="00265514" w:rsidRDefault="008101A8" w:rsidP="00FB60E5">
      <w:pPr>
        <w:ind w:left="0"/>
      </w:pPr>
      <w:r w:rsidRPr="00FB60E5">
        <w:t xml:space="preserve">Finally, we would like to </w:t>
      </w:r>
      <w:r w:rsidR="008450ED" w:rsidRPr="00FB60E5">
        <w:t xml:space="preserve">thank others members of the research team who assisted with the project: </w:t>
      </w:r>
      <w:proofErr w:type="spellStart"/>
      <w:r w:rsidR="008450ED" w:rsidRPr="00FB60E5">
        <w:t>Seraina</w:t>
      </w:r>
      <w:proofErr w:type="spellEnd"/>
      <w:r w:rsidR="008450ED" w:rsidRPr="00FB60E5">
        <w:t xml:space="preserve"> </w:t>
      </w:r>
      <w:proofErr w:type="spellStart"/>
      <w:r w:rsidR="008450ED" w:rsidRPr="00FB60E5">
        <w:t>Agramunt</w:t>
      </w:r>
      <w:proofErr w:type="spellEnd"/>
      <w:r w:rsidR="008450ED" w:rsidRPr="00FB60E5">
        <w:t xml:space="preserve">, Julia Butt, Sue Carruthers, Dina </w:t>
      </w:r>
      <w:proofErr w:type="spellStart"/>
      <w:r w:rsidR="008450ED" w:rsidRPr="00FB60E5">
        <w:t>Eleftheriadis</w:t>
      </w:r>
      <w:proofErr w:type="spellEnd"/>
      <w:r w:rsidR="008450ED" w:rsidRPr="00FB60E5">
        <w:t xml:space="preserve">, Sarah Flynn, Jodie </w:t>
      </w:r>
      <w:proofErr w:type="spellStart"/>
      <w:r w:rsidR="008450ED" w:rsidRPr="00FB60E5">
        <w:t>Grigg</w:t>
      </w:r>
      <w:proofErr w:type="spellEnd"/>
      <w:r w:rsidR="008450ED" w:rsidRPr="00FB60E5">
        <w:t xml:space="preserve">, Cherie </w:t>
      </w:r>
      <w:proofErr w:type="spellStart"/>
      <w:r w:rsidR="008450ED" w:rsidRPr="00FB60E5">
        <w:t>Helibronn</w:t>
      </w:r>
      <w:proofErr w:type="spellEnd"/>
      <w:r w:rsidR="008450ED" w:rsidRPr="00FB60E5">
        <w:t xml:space="preserve">, Barbara Hunter, </w:t>
      </w:r>
      <w:proofErr w:type="spellStart"/>
      <w:r w:rsidR="008450ED" w:rsidRPr="00FB60E5">
        <w:t>Klaudia</w:t>
      </w:r>
      <w:proofErr w:type="spellEnd"/>
      <w:r w:rsidR="008450ED" w:rsidRPr="00FB60E5">
        <w:t xml:space="preserve"> Jones, Shraddha </w:t>
      </w:r>
      <w:proofErr w:type="spellStart"/>
      <w:r w:rsidR="008450ED" w:rsidRPr="00FB60E5">
        <w:t>Kashyap</w:t>
      </w:r>
      <w:proofErr w:type="spellEnd"/>
      <w:r w:rsidR="008450ED" w:rsidRPr="00FB60E5">
        <w:t xml:space="preserve">, Jessica Killian, </w:t>
      </w:r>
      <w:proofErr w:type="spellStart"/>
      <w:r w:rsidR="008450ED" w:rsidRPr="00FB60E5">
        <w:t>Melaine</w:t>
      </w:r>
      <w:proofErr w:type="spellEnd"/>
      <w:r w:rsidR="008450ED" w:rsidRPr="00FB60E5">
        <w:t xml:space="preserve"> </w:t>
      </w:r>
      <w:proofErr w:type="spellStart"/>
      <w:r w:rsidR="008450ED" w:rsidRPr="00FB60E5">
        <w:t>McAleer</w:t>
      </w:r>
      <w:proofErr w:type="spellEnd"/>
      <w:r w:rsidR="008450ED" w:rsidRPr="00FB60E5">
        <w:t xml:space="preserve">, Terence McCann, Vijay </w:t>
      </w:r>
      <w:proofErr w:type="spellStart"/>
      <w:r w:rsidR="008450ED" w:rsidRPr="00FB60E5">
        <w:t>Rawat</w:t>
      </w:r>
      <w:proofErr w:type="spellEnd"/>
      <w:r w:rsidR="008450ED" w:rsidRPr="00FB60E5" w:rsidDel="00FE19CC">
        <w:t xml:space="preserve"> </w:t>
      </w:r>
      <w:r w:rsidR="008450ED" w:rsidRPr="00FB60E5">
        <w:t xml:space="preserve">and Terry </w:t>
      </w:r>
      <w:proofErr w:type="spellStart"/>
      <w:r w:rsidR="008450ED" w:rsidRPr="00FB60E5">
        <w:t>Slomp</w:t>
      </w:r>
      <w:proofErr w:type="spellEnd"/>
      <w:r w:rsidR="008450ED" w:rsidRPr="00FB60E5">
        <w:t>.</w:t>
      </w:r>
    </w:p>
    <w:sdt>
      <w:sdtPr>
        <w:rPr>
          <w:b w:val="0"/>
          <w:sz w:val="24"/>
        </w:rPr>
        <w:id w:val="27005809"/>
        <w:docPartObj>
          <w:docPartGallery w:val="Table of Contents"/>
          <w:docPartUnique/>
        </w:docPartObj>
      </w:sdtPr>
      <w:sdtEndPr>
        <w:rPr>
          <w:bCs/>
          <w:noProof/>
        </w:rPr>
      </w:sdtEndPr>
      <w:sdtContent>
        <w:p w14:paraId="18B1D3DF" w14:textId="6A574E44" w:rsidR="001B3CBD" w:rsidRDefault="001B3CBD" w:rsidP="001B3CBD">
          <w:pPr>
            <w:pStyle w:val="Header"/>
          </w:pPr>
          <w:r>
            <w:t>Table of Contents</w:t>
          </w:r>
        </w:p>
        <w:p w14:paraId="163310FC" w14:textId="77777777" w:rsidR="00F24987" w:rsidRDefault="001B3CBD">
          <w:pPr>
            <w:pStyle w:val="TOC1"/>
            <w:rPr>
              <w:rFonts w:asciiTheme="minorHAnsi" w:eastAsiaTheme="minorEastAsia" w:hAnsiTheme="minorHAnsi"/>
              <w:b w:val="0"/>
              <w:sz w:val="22"/>
              <w:lang w:eastAsia="en-AU"/>
            </w:rPr>
          </w:pPr>
          <w:r>
            <w:fldChar w:fldCharType="begin"/>
          </w:r>
          <w:r>
            <w:instrText xml:space="preserve"> TOC \o "1-2" \h \z \u </w:instrText>
          </w:r>
          <w:r>
            <w:fldChar w:fldCharType="separate"/>
          </w:r>
          <w:hyperlink w:anchor="_Toc531696228" w:history="1">
            <w:r w:rsidR="00F24987" w:rsidRPr="00BC2A8A">
              <w:rPr>
                <w:rStyle w:val="Hyperlink"/>
              </w:rPr>
              <w:t>Acknowledgements</w:t>
            </w:r>
            <w:r w:rsidR="00F24987">
              <w:rPr>
                <w:webHidden/>
              </w:rPr>
              <w:tab/>
            </w:r>
            <w:r w:rsidR="00F24987">
              <w:rPr>
                <w:webHidden/>
              </w:rPr>
              <w:fldChar w:fldCharType="begin"/>
            </w:r>
            <w:r w:rsidR="00F24987">
              <w:rPr>
                <w:webHidden/>
              </w:rPr>
              <w:instrText xml:space="preserve"> PAGEREF _Toc531696228 \h </w:instrText>
            </w:r>
            <w:r w:rsidR="00F24987">
              <w:rPr>
                <w:webHidden/>
              </w:rPr>
            </w:r>
            <w:r w:rsidR="00F24987">
              <w:rPr>
                <w:webHidden/>
              </w:rPr>
              <w:fldChar w:fldCharType="separate"/>
            </w:r>
            <w:r w:rsidR="00F24987">
              <w:rPr>
                <w:webHidden/>
              </w:rPr>
              <w:t>3</w:t>
            </w:r>
            <w:r w:rsidR="00F24987">
              <w:rPr>
                <w:webHidden/>
              </w:rPr>
              <w:fldChar w:fldCharType="end"/>
            </w:r>
          </w:hyperlink>
        </w:p>
        <w:p w14:paraId="401F4FB7" w14:textId="77777777" w:rsidR="00F24987" w:rsidRDefault="009A63CC">
          <w:pPr>
            <w:pStyle w:val="TOC1"/>
            <w:rPr>
              <w:rFonts w:asciiTheme="minorHAnsi" w:eastAsiaTheme="minorEastAsia" w:hAnsiTheme="minorHAnsi"/>
              <w:b w:val="0"/>
              <w:sz w:val="22"/>
              <w:lang w:eastAsia="en-AU"/>
            </w:rPr>
          </w:pPr>
          <w:hyperlink w:anchor="_Toc531696229" w:history="1">
            <w:r w:rsidR="00F24987" w:rsidRPr="00BC2A8A">
              <w:rPr>
                <w:rStyle w:val="Hyperlink"/>
              </w:rPr>
              <w:t>List of acronyms</w:t>
            </w:r>
            <w:r w:rsidR="00F24987">
              <w:rPr>
                <w:webHidden/>
              </w:rPr>
              <w:tab/>
            </w:r>
            <w:r w:rsidR="00F24987">
              <w:rPr>
                <w:webHidden/>
              </w:rPr>
              <w:fldChar w:fldCharType="begin"/>
            </w:r>
            <w:r w:rsidR="00F24987">
              <w:rPr>
                <w:webHidden/>
              </w:rPr>
              <w:instrText xml:space="preserve"> PAGEREF _Toc531696229 \h </w:instrText>
            </w:r>
            <w:r w:rsidR="00F24987">
              <w:rPr>
                <w:webHidden/>
              </w:rPr>
            </w:r>
            <w:r w:rsidR="00F24987">
              <w:rPr>
                <w:webHidden/>
              </w:rPr>
              <w:fldChar w:fldCharType="separate"/>
            </w:r>
            <w:r w:rsidR="00F24987">
              <w:rPr>
                <w:webHidden/>
              </w:rPr>
              <w:t>9</w:t>
            </w:r>
            <w:r w:rsidR="00F24987">
              <w:rPr>
                <w:webHidden/>
              </w:rPr>
              <w:fldChar w:fldCharType="end"/>
            </w:r>
          </w:hyperlink>
        </w:p>
        <w:p w14:paraId="0C41F3DA" w14:textId="77777777" w:rsidR="00F24987" w:rsidRDefault="009A63CC">
          <w:pPr>
            <w:pStyle w:val="TOC1"/>
            <w:rPr>
              <w:rFonts w:asciiTheme="minorHAnsi" w:eastAsiaTheme="minorEastAsia" w:hAnsiTheme="minorHAnsi"/>
              <w:b w:val="0"/>
              <w:sz w:val="22"/>
              <w:lang w:eastAsia="en-AU"/>
            </w:rPr>
          </w:pPr>
          <w:hyperlink w:anchor="_Toc531696230" w:history="1">
            <w:r w:rsidR="00F24987" w:rsidRPr="00BC2A8A">
              <w:rPr>
                <w:rStyle w:val="Hyperlink"/>
              </w:rPr>
              <w:t>Executive summary</w:t>
            </w:r>
            <w:r w:rsidR="00F24987">
              <w:rPr>
                <w:webHidden/>
              </w:rPr>
              <w:tab/>
            </w:r>
            <w:r w:rsidR="00F24987">
              <w:rPr>
                <w:webHidden/>
              </w:rPr>
              <w:fldChar w:fldCharType="begin"/>
            </w:r>
            <w:r w:rsidR="00F24987">
              <w:rPr>
                <w:webHidden/>
              </w:rPr>
              <w:instrText xml:space="preserve"> PAGEREF _Toc531696230 \h </w:instrText>
            </w:r>
            <w:r w:rsidR="00F24987">
              <w:rPr>
                <w:webHidden/>
              </w:rPr>
            </w:r>
            <w:r w:rsidR="00F24987">
              <w:rPr>
                <w:webHidden/>
              </w:rPr>
              <w:fldChar w:fldCharType="separate"/>
            </w:r>
            <w:r w:rsidR="00F24987">
              <w:rPr>
                <w:webHidden/>
              </w:rPr>
              <w:t>10</w:t>
            </w:r>
            <w:r w:rsidR="00F24987">
              <w:rPr>
                <w:webHidden/>
              </w:rPr>
              <w:fldChar w:fldCharType="end"/>
            </w:r>
          </w:hyperlink>
        </w:p>
        <w:p w14:paraId="5934B9E7" w14:textId="77777777" w:rsidR="00F24987" w:rsidRDefault="009A63CC">
          <w:pPr>
            <w:pStyle w:val="TOC2"/>
            <w:rPr>
              <w:rFonts w:asciiTheme="minorHAnsi" w:eastAsiaTheme="minorEastAsia" w:hAnsiTheme="minorHAnsi"/>
              <w:noProof/>
              <w:sz w:val="22"/>
              <w:lang w:eastAsia="en-AU"/>
            </w:rPr>
          </w:pPr>
          <w:hyperlink w:anchor="_Toc531696231" w:history="1">
            <w:r w:rsidR="00F24987" w:rsidRPr="00BC2A8A">
              <w:rPr>
                <w:rStyle w:val="Hyperlink"/>
                <w:noProof/>
              </w:rPr>
              <w:t>Background</w:t>
            </w:r>
            <w:r w:rsidR="00F24987">
              <w:rPr>
                <w:noProof/>
                <w:webHidden/>
              </w:rPr>
              <w:tab/>
            </w:r>
            <w:r w:rsidR="00F24987">
              <w:rPr>
                <w:noProof/>
                <w:webHidden/>
              </w:rPr>
              <w:fldChar w:fldCharType="begin"/>
            </w:r>
            <w:r w:rsidR="00F24987">
              <w:rPr>
                <w:noProof/>
                <w:webHidden/>
              </w:rPr>
              <w:instrText xml:space="preserve"> PAGEREF _Toc531696231 \h </w:instrText>
            </w:r>
            <w:r w:rsidR="00F24987">
              <w:rPr>
                <w:noProof/>
                <w:webHidden/>
              </w:rPr>
            </w:r>
            <w:r w:rsidR="00F24987">
              <w:rPr>
                <w:noProof/>
                <w:webHidden/>
              </w:rPr>
              <w:fldChar w:fldCharType="separate"/>
            </w:r>
            <w:r w:rsidR="00F24987">
              <w:rPr>
                <w:noProof/>
                <w:webHidden/>
              </w:rPr>
              <w:t>10</w:t>
            </w:r>
            <w:r w:rsidR="00F24987">
              <w:rPr>
                <w:noProof/>
                <w:webHidden/>
              </w:rPr>
              <w:fldChar w:fldCharType="end"/>
            </w:r>
          </w:hyperlink>
        </w:p>
        <w:p w14:paraId="56CCA63D" w14:textId="77777777" w:rsidR="00F24987" w:rsidRDefault="009A63CC">
          <w:pPr>
            <w:pStyle w:val="TOC2"/>
            <w:rPr>
              <w:rFonts w:asciiTheme="minorHAnsi" w:eastAsiaTheme="minorEastAsia" w:hAnsiTheme="minorHAnsi"/>
              <w:noProof/>
              <w:sz w:val="22"/>
              <w:lang w:eastAsia="en-AU"/>
            </w:rPr>
          </w:pPr>
          <w:hyperlink w:anchor="_Toc531696232" w:history="1">
            <w:r w:rsidR="00F24987" w:rsidRPr="00BC2A8A">
              <w:rPr>
                <w:rStyle w:val="Hyperlink"/>
                <w:noProof/>
              </w:rPr>
              <w:t>Study Rationale</w:t>
            </w:r>
            <w:r w:rsidR="00F24987">
              <w:rPr>
                <w:noProof/>
                <w:webHidden/>
              </w:rPr>
              <w:tab/>
            </w:r>
            <w:r w:rsidR="00F24987">
              <w:rPr>
                <w:noProof/>
                <w:webHidden/>
              </w:rPr>
              <w:fldChar w:fldCharType="begin"/>
            </w:r>
            <w:r w:rsidR="00F24987">
              <w:rPr>
                <w:noProof/>
                <w:webHidden/>
              </w:rPr>
              <w:instrText xml:space="preserve"> PAGEREF _Toc531696232 \h </w:instrText>
            </w:r>
            <w:r w:rsidR="00F24987">
              <w:rPr>
                <w:noProof/>
                <w:webHidden/>
              </w:rPr>
            </w:r>
            <w:r w:rsidR="00F24987">
              <w:rPr>
                <w:noProof/>
                <w:webHidden/>
              </w:rPr>
              <w:fldChar w:fldCharType="separate"/>
            </w:r>
            <w:r w:rsidR="00F24987">
              <w:rPr>
                <w:noProof/>
                <w:webHidden/>
              </w:rPr>
              <w:t>10</w:t>
            </w:r>
            <w:r w:rsidR="00F24987">
              <w:rPr>
                <w:noProof/>
                <w:webHidden/>
              </w:rPr>
              <w:fldChar w:fldCharType="end"/>
            </w:r>
          </w:hyperlink>
        </w:p>
        <w:p w14:paraId="04124B67" w14:textId="77777777" w:rsidR="00F24987" w:rsidRDefault="009A63CC">
          <w:pPr>
            <w:pStyle w:val="TOC2"/>
            <w:rPr>
              <w:rFonts w:asciiTheme="minorHAnsi" w:eastAsiaTheme="minorEastAsia" w:hAnsiTheme="minorHAnsi"/>
              <w:noProof/>
              <w:sz w:val="22"/>
              <w:lang w:eastAsia="en-AU"/>
            </w:rPr>
          </w:pPr>
          <w:hyperlink w:anchor="_Toc531696233" w:history="1">
            <w:r w:rsidR="00F24987" w:rsidRPr="00BC2A8A">
              <w:rPr>
                <w:rStyle w:val="Hyperlink"/>
                <w:noProof/>
              </w:rPr>
              <w:t>Priority One: Findings from the System Description</w:t>
            </w:r>
            <w:r w:rsidR="00F24987">
              <w:rPr>
                <w:noProof/>
                <w:webHidden/>
              </w:rPr>
              <w:tab/>
            </w:r>
            <w:r w:rsidR="00F24987">
              <w:rPr>
                <w:noProof/>
                <w:webHidden/>
              </w:rPr>
              <w:fldChar w:fldCharType="begin"/>
            </w:r>
            <w:r w:rsidR="00F24987">
              <w:rPr>
                <w:noProof/>
                <w:webHidden/>
              </w:rPr>
              <w:instrText xml:space="preserve"> PAGEREF _Toc531696233 \h </w:instrText>
            </w:r>
            <w:r w:rsidR="00F24987">
              <w:rPr>
                <w:noProof/>
                <w:webHidden/>
              </w:rPr>
            </w:r>
            <w:r w:rsidR="00F24987">
              <w:rPr>
                <w:noProof/>
                <w:webHidden/>
              </w:rPr>
              <w:fldChar w:fldCharType="separate"/>
            </w:r>
            <w:r w:rsidR="00F24987">
              <w:rPr>
                <w:noProof/>
                <w:webHidden/>
              </w:rPr>
              <w:t>11</w:t>
            </w:r>
            <w:r w:rsidR="00F24987">
              <w:rPr>
                <w:noProof/>
                <w:webHidden/>
              </w:rPr>
              <w:fldChar w:fldCharType="end"/>
            </w:r>
          </w:hyperlink>
        </w:p>
        <w:p w14:paraId="4CE36EB5" w14:textId="77777777" w:rsidR="00F24987" w:rsidRDefault="009A63CC">
          <w:pPr>
            <w:pStyle w:val="TOC2"/>
            <w:rPr>
              <w:rFonts w:asciiTheme="minorHAnsi" w:eastAsiaTheme="minorEastAsia" w:hAnsiTheme="minorHAnsi"/>
              <w:noProof/>
              <w:sz w:val="22"/>
              <w:lang w:eastAsia="en-AU"/>
            </w:rPr>
          </w:pPr>
          <w:hyperlink w:anchor="_Toc531696234" w:history="1">
            <w:r w:rsidR="00F24987" w:rsidRPr="00BC2A8A">
              <w:rPr>
                <w:rStyle w:val="Hyperlink"/>
                <w:noProof/>
              </w:rPr>
              <w:t>Priority Two – Part 1: Treatment cohort outcomes study</w:t>
            </w:r>
            <w:r w:rsidR="00F24987">
              <w:rPr>
                <w:noProof/>
                <w:webHidden/>
              </w:rPr>
              <w:tab/>
            </w:r>
            <w:r w:rsidR="00F24987">
              <w:rPr>
                <w:noProof/>
                <w:webHidden/>
              </w:rPr>
              <w:fldChar w:fldCharType="begin"/>
            </w:r>
            <w:r w:rsidR="00F24987">
              <w:rPr>
                <w:noProof/>
                <w:webHidden/>
              </w:rPr>
              <w:instrText xml:space="preserve"> PAGEREF _Toc531696234 \h </w:instrText>
            </w:r>
            <w:r w:rsidR="00F24987">
              <w:rPr>
                <w:noProof/>
                <w:webHidden/>
              </w:rPr>
            </w:r>
            <w:r w:rsidR="00F24987">
              <w:rPr>
                <w:noProof/>
                <w:webHidden/>
              </w:rPr>
              <w:fldChar w:fldCharType="separate"/>
            </w:r>
            <w:r w:rsidR="00F24987">
              <w:rPr>
                <w:noProof/>
                <w:webHidden/>
              </w:rPr>
              <w:t>11</w:t>
            </w:r>
            <w:r w:rsidR="00F24987">
              <w:rPr>
                <w:noProof/>
                <w:webHidden/>
              </w:rPr>
              <w:fldChar w:fldCharType="end"/>
            </w:r>
          </w:hyperlink>
        </w:p>
        <w:p w14:paraId="4C1AE9C0" w14:textId="77777777" w:rsidR="00F24987" w:rsidRDefault="009A63CC">
          <w:pPr>
            <w:pStyle w:val="TOC2"/>
            <w:rPr>
              <w:rFonts w:asciiTheme="minorHAnsi" w:eastAsiaTheme="minorEastAsia" w:hAnsiTheme="minorHAnsi"/>
              <w:noProof/>
              <w:sz w:val="22"/>
              <w:lang w:eastAsia="en-AU"/>
            </w:rPr>
          </w:pPr>
          <w:hyperlink w:anchor="_Toc531696235" w:history="1">
            <w:r w:rsidR="00F24987" w:rsidRPr="00BC2A8A">
              <w:rPr>
                <w:rStyle w:val="Hyperlink"/>
                <w:noProof/>
              </w:rPr>
              <w:t>Priority 2 – Part 2: Qualitative data</w:t>
            </w:r>
            <w:r w:rsidR="00F24987">
              <w:rPr>
                <w:noProof/>
                <w:webHidden/>
              </w:rPr>
              <w:tab/>
            </w:r>
            <w:r w:rsidR="00F24987">
              <w:rPr>
                <w:noProof/>
                <w:webHidden/>
              </w:rPr>
              <w:fldChar w:fldCharType="begin"/>
            </w:r>
            <w:r w:rsidR="00F24987">
              <w:rPr>
                <w:noProof/>
                <w:webHidden/>
              </w:rPr>
              <w:instrText xml:space="preserve"> PAGEREF _Toc531696235 \h </w:instrText>
            </w:r>
            <w:r w:rsidR="00F24987">
              <w:rPr>
                <w:noProof/>
                <w:webHidden/>
              </w:rPr>
            </w:r>
            <w:r w:rsidR="00F24987">
              <w:rPr>
                <w:noProof/>
                <w:webHidden/>
              </w:rPr>
              <w:fldChar w:fldCharType="separate"/>
            </w:r>
            <w:r w:rsidR="00F24987">
              <w:rPr>
                <w:noProof/>
                <w:webHidden/>
              </w:rPr>
              <w:t>13</w:t>
            </w:r>
            <w:r w:rsidR="00F24987">
              <w:rPr>
                <w:noProof/>
                <w:webHidden/>
              </w:rPr>
              <w:fldChar w:fldCharType="end"/>
            </w:r>
          </w:hyperlink>
        </w:p>
        <w:p w14:paraId="3F8635FA" w14:textId="77777777" w:rsidR="00F24987" w:rsidRDefault="009A63CC">
          <w:pPr>
            <w:pStyle w:val="TOC2"/>
            <w:rPr>
              <w:rFonts w:asciiTheme="minorHAnsi" w:eastAsiaTheme="minorEastAsia" w:hAnsiTheme="minorHAnsi"/>
              <w:noProof/>
              <w:sz w:val="22"/>
              <w:lang w:eastAsia="en-AU"/>
            </w:rPr>
          </w:pPr>
          <w:hyperlink w:anchor="_Toc531696236" w:history="1">
            <w:r w:rsidR="00F24987" w:rsidRPr="00BC2A8A">
              <w:rPr>
                <w:rStyle w:val="Hyperlink"/>
                <w:noProof/>
              </w:rPr>
              <w:t>Priority 3: Findings from the linkage data</w:t>
            </w:r>
            <w:r w:rsidR="00F24987">
              <w:rPr>
                <w:noProof/>
                <w:webHidden/>
              </w:rPr>
              <w:tab/>
            </w:r>
            <w:r w:rsidR="00F24987">
              <w:rPr>
                <w:noProof/>
                <w:webHidden/>
              </w:rPr>
              <w:fldChar w:fldCharType="begin"/>
            </w:r>
            <w:r w:rsidR="00F24987">
              <w:rPr>
                <w:noProof/>
                <w:webHidden/>
              </w:rPr>
              <w:instrText xml:space="preserve"> PAGEREF _Toc531696236 \h </w:instrText>
            </w:r>
            <w:r w:rsidR="00F24987">
              <w:rPr>
                <w:noProof/>
                <w:webHidden/>
              </w:rPr>
            </w:r>
            <w:r w:rsidR="00F24987">
              <w:rPr>
                <w:noProof/>
                <w:webHidden/>
              </w:rPr>
              <w:fldChar w:fldCharType="separate"/>
            </w:r>
            <w:r w:rsidR="00F24987">
              <w:rPr>
                <w:noProof/>
                <w:webHidden/>
              </w:rPr>
              <w:t>14</w:t>
            </w:r>
            <w:r w:rsidR="00F24987">
              <w:rPr>
                <w:noProof/>
                <w:webHidden/>
              </w:rPr>
              <w:fldChar w:fldCharType="end"/>
            </w:r>
          </w:hyperlink>
        </w:p>
        <w:p w14:paraId="1AD19FC0" w14:textId="77777777" w:rsidR="00F24987" w:rsidRDefault="009A63CC">
          <w:pPr>
            <w:pStyle w:val="TOC2"/>
            <w:rPr>
              <w:rFonts w:asciiTheme="minorHAnsi" w:eastAsiaTheme="minorEastAsia" w:hAnsiTheme="minorHAnsi"/>
              <w:noProof/>
              <w:sz w:val="22"/>
              <w:lang w:eastAsia="en-AU"/>
            </w:rPr>
          </w:pPr>
          <w:hyperlink w:anchor="_Toc531696237" w:history="1">
            <w:r w:rsidR="00F24987" w:rsidRPr="00BC2A8A">
              <w:rPr>
                <w:rStyle w:val="Hyperlink"/>
                <w:noProof/>
              </w:rPr>
              <w:t>Conclusion</w:t>
            </w:r>
            <w:r w:rsidR="00F24987">
              <w:rPr>
                <w:noProof/>
                <w:webHidden/>
              </w:rPr>
              <w:tab/>
            </w:r>
            <w:r w:rsidR="00F24987">
              <w:rPr>
                <w:noProof/>
                <w:webHidden/>
              </w:rPr>
              <w:fldChar w:fldCharType="begin"/>
            </w:r>
            <w:r w:rsidR="00F24987">
              <w:rPr>
                <w:noProof/>
                <w:webHidden/>
              </w:rPr>
              <w:instrText xml:space="preserve"> PAGEREF _Toc531696237 \h </w:instrText>
            </w:r>
            <w:r w:rsidR="00F24987">
              <w:rPr>
                <w:noProof/>
                <w:webHidden/>
              </w:rPr>
            </w:r>
            <w:r w:rsidR="00F24987">
              <w:rPr>
                <w:noProof/>
                <w:webHidden/>
              </w:rPr>
              <w:fldChar w:fldCharType="separate"/>
            </w:r>
            <w:r w:rsidR="00F24987">
              <w:rPr>
                <w:noProof/>
                <w:webHidden/>
              </w:rPr>
              <w:t>14</w:t>
            </w:r>
            <w:r w:rsidR="00F24987">
              <w:rPr>
                <w:noProof/>
                <w:webHidden/>
              </w:rPr>
              <w:fldChar w:fldCharType="end"/>
            </w:r>
          </w:hyperlink>
        </w:p>
        <w:p w14:paraId="76EA39C0" w14:textId="77777777" w:rsidR="00F24987" w:rsidRDefault="009A63CC">
          <w:pPr>
            <w:pStyle w:val="TOC2"/>
            <w:rPr>
              <w:rFonts w:asciiTheme="minorHAnsi" w:eastAsiaTheme="minorEastAsia" w:hAnsiTheme="minorHAnsi"/>
              <w:noProof/>
              <w:sz w:val="22"/>
              <w:lang w:eastAsia="en-AU"/>
            </w:rPr>
          </w:pPr>
          <w:hyperlink w:anchor="_Toc531696238" w:history="1">
            <w:r w:rsidR="00F24987" w:rsidRPr="00BC2A8A">
              <w:rPr>
                <w:rStyle w:val="Hyperlink"/>
                <w:noProof/>
              </w:rPr>
              <w:t>Recommendations</w:t>
            </w:r>
            <w:r w:rsidR="00F24987">
              <w:rPr>
                <w:noProof/>
                <w:webHidden/>
              </w:rPr>
              <w:tab/>
            </w:r>
            <w:r w:rsidR="00F24987">
              <w:rPr>
                <w:noProof/>
                <w:webHidden/>
              </w:rPr>
              <w:fldChar w:fldCharType="begin"/>
            </w:r>
            <w:r w:rsidR="00F24987">
              <w:rPr>
                <w:noProof/>
                <w:webHidden/>
              </w:rPr>
              <w:instrText xml:space="preserve"> PAGEREF _Toc531696238 \h </w:instrText>
            </w:r>
            <w:r w:rsidR="00F24987">
              <w:rPr>
                <w:noProof/>
                <w:webHidden/>
              </w:rPr>
            </w:r>
            <w:r w:rsidR="00F24987">
              <w:rPr>
                <w:noProof/>
                <w:webHidden/>
              </w:rPr>
              <w:fldChar w:fldCharType="separate"/>
            </w:r>
            <w:r w:rsidR="00F24987">
              <w:rPr>
                <w:noProof/>
                <w:webHidden/>
              </w:rPr>
              <w:t>15</w:t>
            </w:r>
            <w:r w:rsidR="00F24987">
              <w:rPr>
                <w:noProof/>
                <w:webHidden/>
              </w:rPr>
              <w:fldChar w:fldCharType="end"/>
            </w:r>
          </w:hyperlink>
        </w:p>
        <w:p w14:paraId="12B67303" w14:textId="77777777" w:rsidR="00F24987" w:rsidRDefault="009A63CC">
          <w:pPr>
            <w:pStyle w:val="TOC1"/>
            <w:tabs>
              <w:tab w:val="left" w:pos="440"/>
            </w:tabs>
            <w:rPr>
              <w:rFonts w:asciiTheme="minorHAnsi" w:eastAsiaTheme="minorEastAsia" w:hAnsiTheme="minorHAnsi"/>
              <w:b w:val="0"/>
              <w:sz w:val="22"/>
              <w:lang w:eastAsia="en-AU"/>
            </w:rPr>
          </w:pPr>
          <w:hyperlink w:anchor="_Toc531696239" w:history="1">
            <w:r w:rsidR="00F24987" w:rsidRPr="00BC2A8A">
              <w:rPr>
                <w:rStyle w:val="Hyperlink"/>
              </w:rPr>
              <w:t>1</w:t>
            </w:r>
            <w:r w:rsidR="00F24987">
              <w:rPr>
                <w:rFonts w:asciiTheme="minorHAnsi" w:eastAsiaTheme="minorEastAsia" w:hAnsiTheme="minorHAnsi"/>
                <w:b w:val="0"/>
                <w:sz w:val="22"/>
                <w:lang w:eastAsia="en-AU"/>
              </w:rPr>
              <w:tab/>
            </w:r>
            <w:r w:rsidR="00F24987" w:rsidRPr="00BC2A8A">
              <w:rPr>
                <w:rStyle w:val="Hyperlink"/>
              </w:rPr>
              <w:t>Introduction and overview</w:t>
            </w:r>
            <w:r w:rsidR="00F24987">
              <w:rPr>
                <w:webHidden/>
              </w:rPr>
              <w:tab/>
            </w:r>
            <w:r w:rsidR="00F24987">
              <w:rPr>
                <w:webHidden/>
              </w:rPr>
              <w:fldChar w:fldCharType="begin"/>
            </w:r>
            <w:r w:rsidR="00F24987">
              <w:rPr>
                <w:webHidden/>
              </w:rPr>
              <w:instrText xml:space="preserve"> PAGEREF _Toc531696239 \h </w:instrText>
            </w:r>
            <w:r w:rsidR="00F24987">
              <w:rPr>
                <w:webHidden/>
              </w:rPr>
            </w:r>
            <w:r w:rsidR="00F24987">
              <w:rPr>
                <w:webHidden/>
              </w:rPr>
              <w:fldChar w:fldCharType="separate"/>
            </w:r>
            <w:r w:rsidR="00F24987">
              <w:rPr>
                <w:webHidden/>
              </w:rPr>
              <w:t>19</w:t>
            </w:r>
            <w:r w:rsidR="00F24987">
              <w:rPr>
                <w:webHidden/>
              </w:rPr>
              <w:fldChar w:fldCharType="end"/>
            </w:r>
          </w:hyperlink>
        </w:p>
        <w:p w14:paraId="7C670218" w14:textId="77777777" w:rsidR="00F24987" w:rsidRDefault="009A63CC">
          <w:pPr>
            <w:pStyle w:val="TOC2"/>
            <w:tabs>
              <w:tab w:val="left" w:pos="880"/>
            </w:tabs>
            <w:rPr>
              <w:rFonts w:asciiTheme="minorHAnsi" w:eastAsiaTheme="minorEastAsia" w:hAnsiTheme="minorHAnsi"/>
              <w:noProof/>
              <w:sz w:val="22"/>
              <w:lang w:eastAsia="en-AU"/>
            </w:rPr>
          </w:pPr>
          <w:hyperlink w:anchor="_Toc531696240" w:history="1">
            <w:r w:rsidR="00F24987" w:rsidRPr="00BC2A8A">
              <w:rPr>
                <w:rStyle w:val="Hyperlink"/>
                <w:noProof/>
              </w:rPr>
              <w:t>1.1</w:t>
            </w:r>
            <w:r w:rsidR="00F24987">
              <w:rPr>
                <w:rFonts w:asciiTheme="minorHAnsi" w:eastAsiaTheme="minorEastAsia" w:hAnsiTheme="minorHAnsi"/>
                <w:noProof/>
                <w:sz w:val="22"/>
                <w:lang w:eastAsia="en-AU"/>
              </w:rPr>
              <w:tab/>
            </w:r>
            <w:r w:rsidR="00F24987" w:rsidRPr="00BC2A8A">
              <w:rPr>
                <w:rStyle w:val="Hyperlink"/>
                <w:noProof/>
              </w:rPr>
              <w:t>Study rationale</w:t>
            </w:r>
            <w:r w:rsidR="00F24987">
              <w:rPr>
                <w:noProof/>
                <w:webHidden/>
              </w:rPr>
              <w:tab/>
            </w:r>
            <w:r w:rsidR="00F24987">
              <w:rPr>
                <w:noProof/>
                <w:webHidden/>
              </w:rPr>
              <w:fldChar w:fldCharType="begin"/>
            </w:r>
            <w:r w:rsidR="00F24987">
              <w:rPr>
                <w:noProof/>
                <w:webHidden/>
              </w:rPr>
              <w:instrText xml:space="preserve"> PAGEREF _Toc531696240 \h </w:instrText>
            </w:r>
            <w:r w:rsidR="00F24987">
              <w:rPr>
                <w:noProof/>
                <w:webHidden/>
              </w:rPr>
            </w:r>
            <w:r w:rsidR="00F24987">
              <w:rPr>
                <w:noProof/>
                <w:webHidden/>
              </w:rPr>
              <w:fldChar w:fldCharType="separate"/>
            </w:r>
            <w:r w:rsidR="00F24987">
              <w:rPr>
                <w:noProof/>
                <w:webHidden/>
              </w:rPr>
              <w:t>26</w:t>
            </w:r>
            <w:r w:rsidR="00F24987">
              <w:rPr>
                <w:noProof/>
                <w:webHidden/>
              </w:rPr>
              <w:fldChar w:fldCharType="end"/>
            </w:r>
          </w:hyperlink>
        </w:p>
        <w:p w14:paraId="16C841EA" w14:textId="77777777" w:rsidR="00F24987" w:rsidRDefault="009A63CC">
          <w:pPr>
            <w:pStyle w:val="TOC1"/>
            <w:tabs>
              <w:tab w:val="left" w:pos="440"/>
            </w:tabs>
            <w:rPr>
              <w:rFonts w:asciiTheme="minorHAnsi" w:eastAsiaTheme="minorEastAsia" w:hAnsiTheme="minorHAnsi"/>
              <w:b w:val="0"/>
              <w:sz w:val="22"/>
              <w:lang w:eastAsia="en-AU"/>
            </w:rPr>
          </w:pPr>
          <w:hyperlink w:anchor="_Toc531696241" w:history="1">
            <w:r w:rsidR="00F24987" w:rsidRPr="00BC2A8A">
              <w:rPr>
                <w:rStyle w:val="Hyperlink"/>
              </w:rPr>
              <w:t>2</w:t>
            </w:r>
            <w:r w:rsidR="00F24987">
              <w:rPr>
                <w:rFonts w:asciiTheme="minorHAnsi" w:eastAsiaTheme="minorEastAsia" w:hAnsiTheme="minorHAnsi"/>
                <w:b w:val="0"/>
                <w:sz w:val="22"/>
                <w:lang w:eastAsia="en-AU"/>
              </w:rPr>
              <w:tab/>
            </w:r>
            <w:r w:rsidR="00F24987" w:rsidRPr="00BC2A8A">
              <w:rPr>
                <w:rStyle w:val="Hyperlink"/>
              </w:rPr>
              <w:t>System description</w:t>
            </w:r>
            <w:r w:rsidR="00F24987">
              <w:rPr>
                <w:webHidden/>
              </w:rPr>
              <w:tab/>
            </w:r>
            <w:r w:rsidR="00F24987">
              <w:rPr>
                <w:webHidden/>
              </w:rPr>
              <w:fldChar w:fldCharType="begin"/>
            </w:r>
            <w:r w:rsidR="00F24987">
              <w:rPr>
                <w:webHidden/>
              </w:rPr>
              <w:instrText xml:space="preserve"> PAGEREF _Toc531696241 \h </w:instrText>
            </w:r>
            <w:r w:rsidR="00F24987">
              <w:rPr>
                <w:webHidden/>
              </w:rPr>
            </w:r>
            <w:r w:rsidR="00F24987">
              <w:rPr>
                <w:webHidden/>
              </w:rPr>
              <w:fldChar w:fldCharType="separate"/>
            </w:r>
            <w:r w:rsidR="00F24987">
              <w:rPr>
                <w:webHidden/>
              </w:rPr>
              <w:t>31</w:t>
            </w:r>
            <w:r w:rsidR="00F24987">
              <w:rPr>
                <w:webHidden/>
              </w:rPr>
              <w:fldChar w:fldCharType="end"/>
            </w:r>
          </w:hyperlink>
        </w:p>
        <w:p w14:paraId="1B9576C4" w14:textId="77777777" w:rsidR="00F24987" w:rsidRDefault="009A63CC">
          <w:pPr>
            <w:pStyle w:val="TOC2"/>
            <w:tabs>
              <w:tab w:val="left" w:pos="880"/>
            </w:tabs>
            <w:rPr>
              <w:rFonts w:asciiTheme="minorHAnsi" w:eastAsiaTheme="minorEastAsia" w:hAnsiTheme="minorHAnsi"/>
              <w:noProof/>
              <w:sz w:val="22"/>
              <w:lang w:eastAsia="en-AU"/>
            </w:rPr>
          </w:pPr>
          <w:hyperlink w:anchor="_Toc531696242" w:history="1">
            <w:r w:rsidR="00F24987" w:rsidRPr="00BC2A8A">
              <w:rPr>
                <w:rStyle w:val="Hyperlink"/>
                <w:noProof/>
                <w14:scene3d>
                  <w14:camera w14:prst="orthographicFront"/>
                  <w14:lightRig w14:rig="threePt" w14:dir="t">
                    <w14:rot w14:lat="0" w14:lon="0" w14:rev="0"/>
                  </w14:lightRig>
                </w14:scene3d>
              </w:rPr>
              <w:t>2.1</w:t>
            </w:r>
            <w:r w:rsidR="00F24987">
              <w:rPr>
                <w:rFonts w:asciiTheme="minorHAnsi" w:eastAsiaTheme="minorEastAsia" w:hAnsiTheme="minorHAnsi"/>
                <w:noProof/>
                <w:sz w:val="22"/>
                <w:lang w:eastAsia="en-AU"/>
              </w:rPr>
              <w:tab/>
            </w:r>
            <w:r w:rsidR="00F24987" w:rsidRPr="00BC2A8A">
              <w:rPr>
                <w:rStyle w:val="Hyperlink"/>
                <w:noProof/>
              </w:rPr>
              <w:t>Method</w:t>
            </w:r>
            <w:r w:rsidR="00F24987">
              <w:rPr>
                <w:noProof/>
                <w:webHidden/>
              </w:rPr>
              <w:tab/>
            </w:r>
            <w:r w:rsidR="00F24987">
              <w:rPr>
                <w:noProof/>
                <w:webHidden/>
              </w:rPr>
              <w:fldChar w:fldCharType="begin"/>
            </w:r>
            <w:r w:rsidR="00F24987">
              <w:rPr>
                <w:noProof/>
                <w:webHidden/>
              </w:rPr>
              <w:instrText xml:space="preserve"> PAGEREF _Toc531696242 \h </w:instrText>
            </w:r>
            <w:r w:rsidR="00F24987">
              <w:rPr>
                <w:noProof/>
                <w:webHidden/>
              </w:rPr>
            </w:r>
            <w:r w:rsidR="00F24987">
              <w:rPr>
                <w:noProof/>
                <w:webHidden/>
              </w:rPr>
              <w:fldChar w:fldCharType="separate"/>
            </w:r>
            <w:r w:rsidR="00F24987">
              <w:rPr>
                <w:noProof/>
                <w:webHidden/>
              </w:rPr>
              <w:t>31</w:t>
            </w:r>
            <w:r w:rsidR="00F24987">
              <w:rPr>
                <w:noProof/>
                <w:webHidden/>
              </w:rPr>
              <w:fldChar w:fldCharType="end"/>
            </w:r>
          </w:hyperlink>
        </w:p>
        <w:p w14:paraId="4FF9FEFD" w14:textId="77777777" w:rsidR="00F24987" w:rsidRDefault="009A63CC">
          <w:pPr>
            <w:pStyle w:val="TOC2"/>
            <w:tabs>
              <w:tab w:val="left" w:pos="880"/>
            </w:tabs>
            <w:rPr>
              <w:rFonts w:asciiTheme="minorHAnsi" w:eastAsiaTheme="minorEastAsia" w:hAnsiTheme="minorHAnsi"/>
              <w:noProof/>
              <w:sz w:val="22"/>
              <w:lang w:eastAsia="en-AU"/>
            </w:rPr>
          </w:pPr>
          <w:hyperlink w:anchor="_Toc531696243" w:history="1">
            <w:r w:rsidR="00F24987" w:rsidRPr="00BC2A8A">
              <w:rPr>
                <w:rStyle w:val="Hyperlink"/>
                <w:noProof/>
                <w14:scene3d>
                  <w14:camera w14:prst="orthographicFront"/>
                  <w14:lightRig w14:rig="threePt" w14:dir="t">
                    <w14:rot w14:lat="0" w14:lon="0" w14:rev="0"/>
                  </w14:lightRig>
                </w14:scene3d>
              </w:rPr>
              <w:t>2.2</w:t>
            </w:r>
            <w:r w:rsidR="00F24987">
              <w:rPr>
                <w:rFonts w:asciiTheme="minorHAnsi" w:eastAsiaTheme="minorEastAsia" w:hAnsiTheme="minorHAnsi"/>
                <w:noProof/>
                <w:sz w:val="22"/>
                <w:lang w:eastAsia="en-AU"/>
              </w:rPr>
              <w:tab/>
            </w:r>
            <w:r w:rsidR="00F24987" w:rsidRPr="00BC2A8A">
              <w:rPr>
                <w:rStyle w:val="Hyperlink"/>
                <w:noProof/>
              </w:rPr>
              <w:t>System values and principles</w:t>
            </w:r>
            <w:r w:rsidR="00F24987">
              <w:rPr>
                <w:noProof/>
                <w:webHidden/>
              </w:rPr>
              <w:tab/>
            </w:r>
            <w:r w:rsidR="00F24987">
              <w:rPr>
                <w:noProof/>
                <w:webHidden/>
              </w:rPr>
              <w:fldChar w:fldCharType="begin"/>
            </w:r>
            <w:r w:rsidR="00F24987">
              <w:rPr>
                <w:noProof/>
                <w:webHidden/>
              </w:rPr>
              <w:instrText xml:space="preserve"> PAGEREF _Toc531696243 \h </w:instrText>
            </w:r>
            <w:r w:rsidR="00F24987">
              <w:rPr>
                <w:noProof/>
                <w:webHidden/>
              </w:rPr>
            </w:r>
            <w:r w:rsidR="00F24987">
              <w:rPr>
                <w:noProof/>
                <w:webHidden/>
              </w:rPr>
              <w:fldChar w:fldCharType="separate"/>
            </w:r>
            <w:r w:rsidR="00F24987">
              <w:rPr>
                <w:noProof/>
                <w:webHidden/>
              </w:rPr>
              <w:t>32</w:t>
            </w:r>
            <w:r w:rsidR="00F24987">
              <w:rPr>
                <w:noProof/>
                <w:webHidden/>
              </w:rPr>
              <w:fldChar w:fldCharType="end"/>
            </w:r>
          </w:hyperlink>
        </w:p>
        <w:p w14:paraId="44B81C2E" w14:textId="77777777" w:rsidR="00F24987" w:rsidRDefault="009A63CC">
          <w:pPr>
            <w:pStyle w:val="TOC2"/>
            <w:tabs>
              <w:tab w:val="left" w:pos="880"/>
            </w:tabs>
            <w:rPr>
              <w:rFonts w:asciiTheme="minorHAnsi" w:eastAsiaTheme="minorEastAsia" w:hAnsiTheme="minorHAnsi"/>
              <w:noProof/>
              <w:sz w:val="22"/>
              <w:lang w:eastAsia="en-AU"/>
            </w:rPr>
          </w:pPr>
          <w:hyperlink w:anchor="_Toc531696244" w:history="1">
            <w:r w:rsidR="00F24987" w:rsidRPr="00BC2A8A">
              <w:rPr>
                <w:rStyle w:val="Hyperlink"/>
                <w:noProof/>
                <w14:scene3d>
                  <w14:camera w14:prst="orthographicFront"/>
                  <w14:lightRig w14:rig="threePt" w14:dir="t">
                    <w14:rot w14:lat="0" w14:lon="0" w14:rev="0"/>
                  </w14:lightRig>
                </w14:scene3d>
              </w:rPr>
              <w:t>2.3</w:t>
            </w:r>
            <w:r w:rsidR="00F24987">
              <w:rPr>
                <w:rFonts w:asciiTheme="minorHAnsi" w:eastAsiaTheme="minorEastAsia" w:hAnsiTheme="minorHAnsi"/>
                <w:noProof/>
                <w:sz w:val="22"/>
                <w:lang w:eastAsia="en-AU"/>
              </w:rPr>
              <w:tab/>
            </w:r>
            <w:r w:rsidR="00F24987" w:rsidRPr="00BC2A8A">
              <w:rPr>
                <w:rStyle w:val="Hyperlink"/>
                <w:noProof/>
              </w:rPr>
              <w:t>Summary</w:t>
            </w:r>
            <w:r w:rsidR="00F24987">
              <w:rPr>
                <w:noProof/>
                <w:webHidden/>
              </w:rPr>
              <w:tab/>
            </w:r>
            <w:r w:rsidR="00F24987">
              <w:rPr>
                <w:noProof/>
                <w:webHidden/>
              </w:rPr>
              <w:fldChar w:fldCharType="begin"/>
            </w:r>
            <w:r w:rsidR="00F24987">
              <w:rPr>
                <w:noProof/>
                <w:webHidden/>
              </w:rPr>
              <w:instrText xml:space="preserve"> PAGEREF _Toc531696244 \h </w:instrText>
            </w:r>
            <w:r w:rsidR="00F24987">
              <w:rPr>
                <w:noProof/>
                <w:webHidden/>
              </w:rPr>
            </w:r>
            <w:r w:rsidR="00F24987">
              <w:rPr>
                <w:noProof/>
                <w:webHidden/>
              </w:rPr>
              <w:fldChar w:fldCharType="separate"/>
            </w:r>
            <w:r w:rsidR="00F24987">
              <w:rPr>
                <w:noProof/>
                <w:webHidden/>
              </w:rPr>
              <w:t>37</w:t>
            </w:r>
            <w:r w:rsidR="00F24987">
              <w:rPr>
                <w:noProof/>
                <w:webHidden/>
              </w:rPr>
              <w:fldChar w:fldCharType="end"/>
            </w:r>
          </w:hyperlink>
        </w:p>
        <w:p w14:paraId="661DFC9B" w14:textId="77777777" w:rsidR="00F24987" w:rsidRDefault="009A63CC">
          <w:pPr>
            <w:pStyle w:val="TOC1"/>
            <w:tabs>
              <w:tab w:val="left" w:pos="440"/>
            </w:tabs>
            <w:rPr>
              <w:rFonts w:asciiTheme="minorHAnsi" w:eastAsiaTheme="minorEastAsia" w:hAnsiTheme="minorHAnsi"/>
              <w:b w:val="0"/>
              <w:sz w:val="22"/>
              <w:lang w:eastAsia="en-AU"/>
            </w:rPr>
          </w:pPr>
          <w:hyperlink w:anchor="_Toc531696245" w:history="1">
            <w:r w:rsidR="00F24987" w:rsidRPr="00BC2A8A">
              <w:rPr>
                <w:rStyle w:val="Hyperlink"/>
              </w:rPr>
              <w:t>3</w:t>
            </w:r>
            <w:r w:rsidR="00F24987">
              <w:rPr>
                <w:rFonts w:asciiTheme="minorHAnsi" w:eastAsiaTheme="minorEastAsia" w:hAnsiTheme="minorHAnsi"/>
                <w:b w:val="0"/>
                <w:sz w:val="22"/>
                <w:lang w:eastAsia="en-AU"/>
              </w:rPr>
              <w:tab/>
            </w:r>
            <w:r w:rsidR="00F24987" w:rsidRPr="00BC2A8A">
              <w:rPr>
                <w:rStyle w:val="Hyperlink"/>
              </w:rPr>
              <w:t>Client survey data: baseline and follow-up</w:t>
            </w:r>
            <w:r w:rsidR="00F24987">
              <w:rPr>
                <w:webHidden/>
              </w:rPr>
              <w:tab/>
            </w:r>
            <w:r w:rsidR="00F24987">
              <w:rPr>
                <w:webHidden/>
              </w:rPr>
              <w:fldChar w:fldCharType="begin"/>
            </w:r>
            <w:r w:rsidR="00F24987">
              <w:rPr>
                <w:webHidden/>
              </w:rPr>
              <w:instrText xml:space="preserve"> PAGEREF _Toc531696245 \h </w:instrText>
            </w:r>
            <w:r w:rsidR="00F24987">
              <w:rPr>
                <w:webHidden/>
              </w:rPr>
            </w:r>
            <w:r w:rsidR="00F24987">
              <w:rPr>
                <w:webHidden/>
              </w:rPr>
              <w:fldChar w:fldCharType="separate"/>
            </w:r>
            <w:r w:rsidR="00F24987">
              <w:rPr>
                <w:webHidden/>
              </w:rPr>
              <w:t>39</w:t>
            </w:r>
            <w:r w:rsidR="00F24987">
              <w:rPr>
                <w:webHidden/>
              </w:rPr>
              <w:fldChar w:fldCharType="end"/>
            </w:r>
          </w:hyperlink>
        </w:p>
        <w:p w14:paraId="2770B5BB" w14:textId="77777777" w:rsidR="00F24987" w:rsidRDefault="009A63CC">
          <w:pPr>
            <w:pStyle w:val="TOC2"/>
            <w:tabs>
              <w:tab w:val="left" w:pos="880"/>
            </w:tabs>
            <w:rPr>
              <w:rFonts w:asciiTheme="minorHAnsi" w:eastAsiaTheme="minorEastAsia" w:hAnsiTheme="minorHAnsi"/>
              <w:noProof/>
              <w:sz w:val="22"/>
              <w:lang w:eastAsia="en-AU"/>
            </w:rPr>
          </w:pPr>
          <w:hyperlink w:anchor="_Toc531696246" w:history="1">
            <w:r w:rsidR="00F24987" w:rsidRPr="00BC2A8A">
              <w:rPr>
                <w:rStyle w:val="Hyperlink"/>
                <w:noProof/>
                <w14:scene3d>
                  <w14:camera w14:prst="orthographicFront"/>
                  <w14:lightRig w14:rig="threePt" w14:dir="t">
                    <w14:rot w14:lat="0" w14:lon="0" w14:rev="0"/>
                  </w14:lightRig>
                </w14:scene3d>
              </w:rPr>
              <w:t>3.1</w:t>
            </w:r>
            <w:r w:rsidR="00F24987">
              <w:rPr>
                <w:rFonts w:asciiTheme="minorHAnsi" w:eastAsiaTheme="minorEastAsia" w:hAnsiTheme="minorHAnsi"/>
                <w:noProof/>
                <w:sz w:val="22"/>
                <w:lang w:eastAsia="en-AU"/>
              </w:rPr>
              <w:tab/>
            </w:r>
            <w:r w:rsidR="00F24987" w:rsidRPr="00BC2A8A">
              <w:rPr>
                <w:rStyle w:val="Hyperlink"/>
                <w:noProof/>
              </w:rPr>
              <w:t>Methods</w:t>
            </w:r>
            <w:r w:rsidR="00F24987">
              <w:rPr>
                <w:noProof/>
                <w:webHidden/>
              </w:rPr>
              <w:tab/>
            </w:r>
            <w:r w:rsidR="00F24987">
              <w:rPr>
                <w:noProof/>
                <w:webHidden/>
              </w:rPr>
              <w:fldChar w:fldCharType="begin"/>
            </w:r>
            <w:r w:rsidR="00F24987">
              <w:rPr>
                <w:noProof/>
                <w:webHidden/>
              </w:rPr>
              <w:instrText xml:space="preserve"> PAGEREF _Toc531696246 \h </w:instrText>
            </w:r>
            <w:r w:rsidR="00F24987">
              <w:rPr>
                <w:noProof/>
                <w:webHidden/>
              </w:rPr>
            </w:r>
            <w:r w:rsidR="00F24987">
              <w:rPr>
                <w:noProof/>
                <w:webHidden/>
              </w:rPr>
              <w:fldChar w:fldCharType="separate"/>
            </w:r>
            <w:r w:rsidR="00F24987">
              <w:rPr>
                <w:noProof/>
                <w:webHidden/>
              </w:rPr>
              <w:t>39</w:t>
            </w:r>
            <w:r w:rsidR="00F24987">
              <w:rPr>
                <w:noProof/>
                <w:webHidden/>
              </w:rPr>
              <w:fldChar w:fldCharType="end"/>
            </w:r>
          </w:hyperlink>
        </w:p>
        <w:p w14:paraId="29F87E3B" w14:textId="77777777" w:rsidR="00F24987" w:rsidRDefault="009A63CC">
          <w:pPr>
            <w:pStyle w:val="TOC2"/>
            <w:tabs>
              <w:tab w:val="left" w:pos="880"/>
            </w:tabs>
            <w:rPr>
              <w:rFonts w:asciiTheme="minorHAnsi" w:eastAsiaTheme="minorEastAsia" w:hAnsiTheme="minorHAnsi"/>
              <w:noProof/>
              <w:sz w:val="22"/>
              <w:lang w:eastAsia="en-AU"/>
            </w:rPr>
          </w:pPr>
          <w:hyperlink w:anchor="_Toc531696247" w:history="1">
            <w:r w:rsidR="00F24987" w:rsidRPr="00BC2A8A">
              <w:rPr>
                <w:rStyle w:val="Hyperlink"/>
                <w:noProof/>
                <w14:scene3d>
                  <w14:camera w14:prst="orthographicFront"/>
                  <w14:lightRig w14:rig="threePt" w14:dir="t">
                    <w14:rot w14:lat="0" w14:lon="0" w14:rev="0"/>
                  </w14:lightRig>
                </w14:scene3d>
              </w:rPr>
              <w:t>3.2</w:t>
            </w:r>
            <w:r w:rsidR="00F24987">
              <w:rPr>
                <w:rFonts w:asciiTheme="minorHAnsi" w:eastAsiaTheme="minorEastAsia" w:hAnsiTheme="minorHAnsi"/>
                <w:noProof/>
                <w:sz w:val="22"/>
                <w:lang w:eastAsia="en-AU"/>
              </w:rPr>
              <w:tab/>
            </w:r>
            <w:r w:rsidR="00F24987" w:rsidRPr="00BC2A8A">
              <w:rPr>
                <w:rStyle w:val="Hyperlink"/>
                <w:noProof/>
              </w:rPr>
              <w:t>Baseline results</w:t>
            </w:r>
            <w:r w:rsidR="00F24987">
              <w:rPr>
                <w:noProof/>
                <w:webHidden/>
              </w:rPr>
              <w:tab/>
            </w:r>
            <w:r w:rsidR="00F24987">
              <w:rPr>
                <w:noProof/>
                <w:webHidden/>
              </w:rPr>
              <w:fldChar w:fldCharType="begin"/>
            </w:r>
            <w:r w:rsidR="00F24987">
              <w:rPr>
                <w:noProof/>
                <w:webHidden/>
              </w:rPr>
              <w:instrText xml:space="preserve"> PAGEREF _Toc531696247 \h </w:instrText>
            </w:r>
            <w:r w:rsidR="00F24987">
              <w:rPr>
                <w:noProof/>
                <w:webHidden/>
              </w:rPr>
            </w:r>
            <w:r w:rsidR="00F24987">
              <w:rPr>
                <w:noProof/>
                <w:webHidden/>
              </w:rPr>
              <w:fldChar w:fldCharType="separate"/>
            </w:r>
            <w:r w:rsidR="00F24987">
              <w:rPr>
                <w:noProof/>
                <w:webHidden/>
              </w:rPr>
              <w:t>46</w:t>
            </w:r>
            <w:r w:rsidR="00F24987">
              <w:rPr>
                <w:noProof/>
                <w:webHidden/>
              </w:rPr>
              <w:fldChar w:fldCharType="end"/>
            </w:r>
          </w:hyperlink>
        </w:p>
        <w:p w14:paraId="3D0F7939" w14:textId="77777777" w:rsidR="00F24987" w:rsidRDefault="009A63CC">
          <w:pPr>
            <w:pStyle w:val="TOC2"/>
            <w:tabs>
              <w:tab w:val="left" w:pos="880"/>
            </w:tabs>
            <w:rPr>
              <w:rFonts w:asciiTheme="minorHAnsi" w:eastAsiaTheme="minorEastAsia" w:hAnsiTheme="minorHAnsi"/>
              <w:noProof/>
              <w:sz w:val="22"/>
              <w:lang w:eastAsia="en-AU"/>
            </w:rPr>
          </w:pPr>
          <w:hyperlink w:anchor="_Toc531696248" w:history="1">
            <w:r w:rsidR="00F24987" w:rsidRPr="00BC2A8A">
              <w:rPr>
                <w:rStyle w:val="Hyperlink"/>
                <w:noProof/>
                <w14:scene3d>
                  <w14:camera w14:prst="orthographicFront"/>
                  <w14:lightRig w14:rig="threePt" w14:dir="t">
                    <w14:rot w14:lat="0" w14:lon="0" w14:rev="0"/>
                  </w14:lightRig>
                </w14:scene3d>
              </w:rPr>
              <w:t>3.3</w:t>
            </w:r>
            <w:r w:rsidR="00F24987">
              <w:rPr>
                <w:rFonts w:asciiTheme="minorHAnsi" w:eastAsiaTheme="minorEastAsia" w:hAnsiTheme="minorHAnsi"/>
                <w:noProof/>
                <w:sz w:val="22"/>
                <w:lang w:eastAsia="en-AU"/>
              </w:rPr>
              <w:tab/>
            </w:r>
            <w:r w:rsidR="00F24987" w:rsidRPr="00BC2A8A">
              <w:rPr>
                <w:rStyle w:val="Hyperlink"/>
                <w:noProof/>
              </w:rPr>
              <w:t>Follow-up</w:t>
            </w:r>
            <w:r w:rsidR="00F24987">
              <w:rPr>
                <w:noProof/>
                <w:webHidden/>
              </w:rPr>
              <w:tab/>
            </w:r>
            <w:r w:rsidR="00F24987">
              <w:rPr>
                <w:noProof/>
                <w:webHidden/>
              </w:rPr>
              <w:fldChar w:fldCharType="begin"/>
            </w:r>
            <w:r w:rsidR="00F24987">
              <w:rPr>
                <w:noProof/>
                <w:webHidden/>
              </w:rPr>
              <w:instrText xml:space="preserve"> PAGEREF _Toc531696248 \h </w:instrText>
            </w:r>
            <w:r w:rsidR="00F24987">
              <w:rPr>
                <w:noProof/>
                <w:webHidden/>
              </w:rPr>
            </w:r>
            <w:r w:rsidR="00F24987">
              <w:rPr>
                <w:noProof/>
                <w:webHidden/>
              </w:rPr>
              <w:fldChar w:fldCharType="separate"/>
            </w:r>
            <w:r w:rsidR="00F24987">
              <w:rPr>
                <w:noProof/>
                <w:webHidden/>
              </w:rPr>
              <w:t>54</w:t>
            </w:r>
            <w:r w:rsidR="00F24987">
              <w:rPr>
                <w:noProof/>
                <w:webHidden/>
              </w:rPr>
              <w:fldChar w:fldCharType="end"/>
            </w:r>
          </w:hyperlink>
        </w:p>
        <w:p w14:paraId="15AA46BE" w14:textId="77777777" w:rsidR="00F24987" w:rsidRDefault="009A63CC">
          <w:pPr>
            <w:pStyle w:val="TOC2"/>
            <w:tabs>
              <w:tab w:val="left" w:pos="880"/>
            </w:tabs>
            <w:rPr>
              <w:rFonts w:asciiTheme="minorHAnsi" w:eastAsiaTheme="minorEastAsia" w:hAnsiTheme="minorHAnsi"/>
              <w:noProof/>
              <w:sz w:val="22"/>
              <w:lang w:eastAsia="en-AU"/>
            </w:rPr>
          </w:pPr>
          <w:hyperlink w:anchor="_Toc531696249" w:history="1">
            <w:r w:rsidR="00F24987" w:rsidRPr="00BC2A8A">
              <w:rPr>
                <w:rStyle w:val="Hyperlink"/>
                <w:noProof/>
                <w14:scene3d>
                  <w14:camera w14:prst="orthographicFront"/>
                  <w14:lightRig w14:rig="threePt" w14:dir="t">
                    <w14:rot w14:lat="0" w14:lon="0" w14:rev="0"/>
                  </w14:lightRig>
                </w14:scene3d>
              </w:rPr>
              <w:t>3.4</w:t>
            </w:r>
            <w:r w:rsidR="00F24987">
              <w:rPr>
                <w:rFonts w:asciiTheme="minorHAnsi" w:eastAsiaTheme="minorEastAsia" w:hAnsiTheme="minorHAnsi"/>
                <w:noProof/>
                <w:sz w:val="22"/>
                <w:lang w:eastAsia="en-AU"/>
              </w:rPr>
              <w:tab/>
            </w:r>
            <w:r w:rsidR="00F24987" w:rsidRPr="00BC2A8A">
              <w:rPr>
                <w:rStyle w:val="Hyperlink"/>
                <w:noProof/>
              </w:rPr>
              <w:t>Qualitative findings</w:t>
            </w:r>
            <w:r w:rsidR="00F24987">
              <w:rPr>
                <w:noProof/>
                <w:webHidden/>
              </w:rPr>
              <w:tab/>
            </w:r>
            <w:r w:rsidR="00F24987">
              <w:rPr>
                <w:noProof/>
                <w:webHidden/>
              </w:rPr>
              <w:fldChar w:fldCharType="begin"/>
            </w:r>
            <w:r w:rsidR="00F24987">
              <w:rPr>
                <w:noProof/>
                <w:webHidden/>
              </w:rPr>
              <w:instrText xml:space="preserve"> PAGEREF _Toc531696249 \h </w:instrText>
            </w:r>
            <w:r w:rsidR="00F24987">
              <w:rPr>
                <w:noProof/>
                <w:webHidden/>
              </w:rPr>
            </w:r>
            <w:r w:rsidR="00F24987">
              <w:rPr>
                <w:noProof/>
                <w:webHidden/>
              </w:rPr>
              <w:fldChar w:fldCharType="separate"/>
            </w:r>
            <w:r w:rsidR="00F24987">
              <w:rPr>
                <w:noProof/>
                <w:webHidden/>
              </w:rPr>
              <w:t>73</w:t>
            </w:r>
            <w:r w:rsidR="00F24987">
              <w:rPr>
                <w:noProof/>
                <w:webHidden/>
              </w:rPr>
              <w:fldChar w:fldCharType="end"/>
            </w:r>
          </w:hyperlink>
        </w:p>
        <w:p w14:paraId="4068A1FE" w14:textId="77777777" w:rsidR="00F24987" w:rsidRDefault="009A63CC">
          <w:pPr>
            <w:pStyle w:val="TOC2"/>
            <w:tabs>
              <w:tab w:val="left" w:pos="880"/>
            </w:tabs>
            <w:rPr>
              <w:rFonts w:asciiTheme="minorHAnsi" w:eastAsiaTheme="minorEastAsia" w:hAnsiTheme="minorHAnsi"/>
              <w:noProof/>
              <w:sz w:val="22"/>
              <w:lang w:eastAsia="en-AU"/>
            </w:rPr>
          </w:pPr>
          <w:hyperlink w:anchor="_Toc531696250" w:history="1">
            <w:r w:rsidR="00F24987" w:rsidRPr="00BC2A8A">
              <w:rPr>
                <w:rStyle w:val="Hyperlink"/>
                <w:noProof/>
                <w14:scene3d>
                  <w14:camera w14:prst="orthographicFront"/>
                  <w14:lightRig w14:rig="threePt" w14:dir="t">
                    <w14:rot w14:lat="0" w14:lon="0" w14:rev="0"/>
                  </w14:lightRig>
                </w14:scene3d>
              </w:rPr>
              <w:t>3.5</w:t>
            </w:r>
            <w:r w:rsidR="00F24987">
              <w:rPr>
                <w:rFonts w:asciiTheme="minorHAnsi" w:eastAsiaTheme="minorEastAsia" w:hAnsiTheme="minorHAnsi"/>
                <w:noProof/>
                <w:sz w:val="22"/>
                <w:lang w:eastAsia="en-AU"/>
              </w:rPr>
              <w:tab/>
            </w:r>
            <w:r w:rsidR="00F24987" w:rsidRPr="00BC2A8A">
              <w:rPr>
                <w:rStyle w:val="Hyperlink"/>
                <w:noProof/>
              </w:rPr>
              <w:t>Entry into PIT and the experience of treatment</w:t>
            </w:r>
            <w:r w:rsidR="00F24987">
              <w:rPr>
                <w:noProof/>
                <w:webHidden/>
              </w:rPr>
              <w:tab/>
            </w:r>
            <w:r w:rsidR="00F24987">
              <w:rPr>
                <w:noProof/>
                <w:webHidden/>
              </w:rPr>
              <w:fldChar w:fldCharType="begin"/>
            </w:r>
            <w:r w:rsidR="00F24987">
              <w:rPr>
                <w:noProof/>
                <w:webHidden/>
              </w:rPr>
              <w:instrText xml:space="preserve"> PAGEREF _Toc531696250 \h </w:instrText>
            </w:r>
            <w:r w:rsidR="00F24987">
              <w:rPr>
                <w:noProof/>
                <w:webHidden/>
              </w:rPr>
            </w:r>
            <w:r w:rsidR="00F24987">
              <w:rPr>
                <w:noProof/>
                <w:webHidden/>
              </w:rPr>
              <w:fldChar w:fldCharType="separate"/>
            </w:r>
            <w:r w:rsidR="00F24987">
              <w:rPr>
                <w:noProof/>
                <w:webHidden/>
              </w:rPr>
              <w:t>75</w:t>
            </w:r>
            <w:r w:rsidR="00F24987">
              <w:rPr>
                <w:noProof/>
                <w:webHidden/>
              </w:rPr>
              <w:fldChar w:fldCharType="end"/>
            </w:r>
          </w:hyperlink>
        </w:p>
        <w:p w14:paraId="091B653E" w14:textId="77777777" w:rsidR="00F24987" w:rsidRDefault="009A63CC">
          <w:pPr>
            <w:pStyle w:val="TOC1"/>
            <w:tabs>
              <w:tab w:val="left" w:pos="440"/>
            </w:tabs>
            <w:rPr>
              <w:rFonts w:asciiTheme="minorHAnsi" w:eastAsiaTheme="minorEastAsia" w:hAnsiTheme="minorHAnsi"/>
              <w:b w:val="0"/>
              <w:sz w:val="22"/>
              <w:lang w:eastAsia="en-AU"/>
            </w:rPr>
          </w:pPr>
          <w:hyperlink w:anchor="_Toc531696251" w:history="1">
            <w:r w:rsidR="00F24987" w:rsidRPr="00BC2A8A">
              <w:rPr>
                <w:rStyle w:val="Hyperlink"/>
              </w:rPr>
              <w:t>4</w:t>
            </w:r>
            <w:r w:rsidR="00F24987">
              <w:rPr>
                <w:rFonts w:asciiTheme="minorHAnsi" w:eastAsiaTheme="minorEastAsia" w:hAnsiTheme="minorHAnsi"/>
                <w:b w:val="0"/>
                <w:sz w:val="22"/>
                <w:lang w:eastAsia="en-AU"/>
              </w:rPr>
              <w:tab/>
            </w:r>
            <w:r w:rsidR="00F24987" w:rsidRPr="00BC2A8A">
              <w:rPr>
                <w:rStyle w:val="Hyperlink"/>
              </w:rPr>
              <w:t>Patient Pathways Priority 2a: Data linkage</w:t>
            </w:r>
            <w:r w:rsidR="00F24987">
              <w:rPr>
                <w:webHidden/>
              </w:rPr>
              <w:tab/>
            </w:r>
            <w:r w:rsidR="00F24987">
              <w:rPr>
                <w:webHidden/>
              </w:rPr>
              <w:fldChar w:fldCharType="begin"/>
            </w:r>
            <w:r w:rsidR="00F24987">
              <w:rPr>
                <w:webHidden/>
              </w:rPr>
              <w:instrText xml:space="preserve"> PAGEREF _Toc531696251 \h </w:instrText>
            </w:r>
            <w:r w:rsidR="00F24987">
              <w:rPr>
                <w:webHidden/>
              </w:rPr>
            </w:r>
            <w:r w:rsidR="00F24987">
              <w:rPr>
                <w:webHidden/>
              </w:rPr>
              <w:fldChar w:fldCharType="separate"/>
            </w:r>
            <w:r w:rsidR="00F24987">
              <w:rPr>
                <w:webHidden/>
              </w:rPr>
              <w:t>90</w:t>
            </w:r>
            <w:r w:rsidR="00F24987">
              <w:rPr>
                <w:webHidden/>
              </w:rPr>
              <w:fldChar w:fldCharType="end"/>
            </w:r>
          </w:hyperlink>
        </w:p>
        <w:p w14:paraId="7B07B870" w14:textId="77777777" w:rsidR="00F24987" w:rsidRDefault="009A63CC">
          <w:pPr>
            <w:pStyle w:val="TOC2"/>
            <w:tabs>
              <w:tab w:val="left" w:pos="880"/>
            </w:tabs>
            <w:rPr>
              <w:rFonts w:asciiTheme="minorHAnsi" w:eastAsiaTheme="minorEastAsia" w:hAnsiTheme="minorHAnsi"/>
              <w:noProof/>
              <w:sz w:val="22"/>
              <w:lang w:eastAsia="en-AU"/>
            </w:rPr>
          </w:pPr>
          <w:hyperlink w:anchor="_Toc531696252" w:history="1">
            <w:r w:rsidR="00F24987" w:rsidRPr="00BC2A8A">
              <w:rPr>
                <w:rStyle w:val="Hyperlink"/>
                <w:noProof/>
                <w14:scene3d>
                  <w14:camera w14:prst="orthographicFront"/>
                  <w14:lightRig w14:rig="threePt" w14:dir="t">
                    <w14:rot w14:lat="0" w14:lon="0" w14:rev="0"/>
                  </w14:lightRig>
                </w14:scene3d>
              </w:rPr>
              <w:t>4.1</w:t>
            </w:r>
            <w:r w:rsidR="00F24987">
              <w:rPr>
                <w:rFonts w:asciiTheme="minorHAnsi" w:eastAsiaTheme="minorEastAsia" w:hAnsiTheme="minorHAnsi"/>
                <w:noProof/>
                <w:sz w:val="22"/>
                <w:lang w:eastAsia="en-AU"/>
              </w:rPr>
              <w:tab/>
            </w:r>
            <w:r w:rsidR="00F24987" w:rsidRPr="00BC2A8A">
              <w:rPr>
                <w:rStyle w:val="Hyperlink"/>
                <w:noProof/>
              </w:rPr>
              <w:t>Introduction</w:t>
            </w:r>
            <w:r w:rsidR="00F24987">
              <w:rPr>
                <w:noProof/>
                <w:webHidden/>
              </w:rPr>
              <w:tab/>
            </w:r>
            <w:r w:rsidR="00F24987">
              <w:rPr>
                <w:noProof/>
                <w:webHidden/>
              </w:rPr>
              <w:fldChar w:fldCharType="begin"/>
            </w:r>
            <w:r w:rsidR="00F24987">
              <w:rPr>
                <w:noProof/>
                <w:webHidden/>
              </w:rPr>
              <w:instrText xml:space="preserve"> PAGEREF _Toc531696252 \h </w:instrText>
            </w:r>
            <w:r w:rsidR="00F24987">
              <w:rPr>
                <w:noProof/>
                <w:webHidden/>
              </w:rPr>
            </w:r>
            <w:r w:rsidR="00F24987">
              <w:rPr>
                <w:noProof/>
                <w:webHidden/>
              </w:rPr>
              <w:fldChar w:fldCharType="separate"/>
            </w:r>
            <w:r w:rsidR="00F24987">
              <w:rPr>
                <w:noProof/>
                <w:webHidden/>
              </w:rPr>
              <w:t>90</w:t>
            </w:r>
            <w:r w:rsidR="00F24987">
              <w:rPr>
                <w:noProof/>
                <w:webHidden/>
              </w:rPr>
              <w:fldChar w:fldCharType="end"/>
            </w:r>
          </w:hyperlink>
        </w:p>
        <w:p w14:paraId="723B9460" w14:textId="77777777" w:rsidR="00F24987" w:rsidRDefault="009A63CC">
          <w:pPr>
            <w:pStyle w:val="TOC2"/>
            <w:tabs>
              <w:tab w:val="left" w:pos="880"/>
            </w:tabs>
            <w:rPr>
              <w:rFonts w:asciiTheme="minorHAnsi" w:eastAsiaTheme="minorEastAsia" w:hAnsiTheme="minorHAnsi"/>
              <w:noProof/>
              <w:sz w:val="22"/>
              <w:lang w:eastAsia="en-AU"/>
            </w:rPr>
          </w:pPr>
          <w:hyperlink w:anchor="_Toc531696253" w:history="1">
            <w:r w:rsidR="00F24987" w:rsidRPr="00BC2A8A">
              <w:rPr>
                <w:rStyle w:val="Hyperlink"/>
                <w:noProof/>
                <w14:scene3d>
                  <w14:camera w14:prst="orthographicFront"/>
                  <w14:lightRig w14:rig="threePt" w14:dir="t">
                    <w14:rot w14:lat="0" w14:lon="0" w14:rev="0"/>
                  </w14:lightRig>
                </w14:scene3d>
              </w:rPr>
              <w:t>4.2</w:t>
            </w:r>
            <w:r w:rsidR="00F24987">
              <w:rPr>
                <w:rFonts w:asciiTheme="minorHAnsi" w:eastAsiaTheme="minorEastAsia" w:hAnsiTheme="minorHAnsi"/>
                <w:noProof/>
                <w:sz w:val="22"/>
                <w:lang w:eastAsia="en-AU"/>
              </w:rPr>
              <w:tab/>
            </w:r>
            <w:r w:rsidR="00F24987" w:rsidRPr="00BC2A8A">
              <w:rPr>
                <w:rStyle w:val="Hyperlink"/>
                <w:noProof/>
              </w:rPr>
              <w:t>Method</w:t>
            </w:r>
            <w:r w:rsidR="00F24987">
              <w:rPr>
                <w:noProof/>
                <w:webHidden/>
              </w:rPr>
              <w:tab/>
            </w:r>
            <w:r w:rsidR="00F24987">
              <w:rPr>
                <w:noProof/>
                <w:webHidden/>
              </w:rPr>
              <w:fldChar w:fldCharType="begin"/>
            </w:r>
            <w:r w:rsidR="00F24987">
              <w:rPr>
                <w:noProof/>
                <w:webHidden/>
              </w:rPr>
              <w:instrText xml:space="preserve"> PAGEREF _Toc531696253 \h </w:instrText>
            </w:r>
            <w:r w:rsidR="00F24987">
              <w:rPr>
                <w:noProof/>
                <w:webHidden/>
              </w:rPr>
            </w:r>
            <w:r w:rsidR="00F24987">
              <w:rPr>
                <w:noProof/>
                <w:webHidden/>
              </w:rPr>
              <w:fldChar w:fldCharType="separate"/>
            </w:r>
            <w:r w:rsidR="00F24987">
              <w:rPr>
                <w:noProof/>
                <w:webHidden/>
              </w:rPr>
              <w:t>90</w:t>
            </w:r>
            <w:r w:rsidR="00F24987">
              <w:rPr>
                <w:noProof/>
                <w:webHidden/>
              </w:rPr>
              <w:fldChar w:fldCharType="end"/>
            </w:r>
          </w:hyperlink>
        </w:p>
        <w:p w14:paraId="72B81218" w14:textId="77777777" w:rsidR="00F24987" w:rsidRDefault="009A63CC">
          <w:pPr>
            <w:pStyle w:val="TOC2"/>
            <w:tabs>
              <w:tab w:val="left" w:pos="880"/>
            </w:tabs>
            <w:rPr>
              <w:rFonts w:asciiTheme="minorHAnsi" w:eastAsiaTheme="minorEastAsia" w:hAnsiTheme="minorHAnsi"/>
              <w:noProof/>
              <w:sz w:val="22"/>
              <w:lang w:eastAsia="en-AU"/>
            </w:rPr>
          </w:pPr>
          <w:hyperlink w:anchor="_Toc531696254" w:history="1">
            <w:r w:rsidR="00F24987" w:rsidRPr="00BC2A8A">
              <w:rPr>
                <w:rStyle w:val="Hyperlink"/>
                <w:noProof/>
                <w14:scene3d>
                  <w14:camera w14:prst="orthographicFront"/>
                  <w14:lightRig w14:rig="threePt" w14:dir="t">
                    <w14:rot w14:lat="0" w14:lon="0" w14:rev="0"/>
                  </w14:lightRig>
                </w14:scene3d>
              </w:rPr>
              <w:t>4.3</w:t>
            </w:r>
            <w:r w:rsidR="00F24987">
              <w:rPr>
                <w:rFonts w:asciiTheme="minorHAnsi" w:eastAsiaTheme="minorEastAsia" w:hAnsiTheme="minorHAnsi"/>
                <w:noProof/>
                <w:sz w:val="22"/>
                <w:lang w:eastAsia="en-AU"/>
              </w:rPr>
              <w:tab/>
            </w:r>
            <w:r w:rsidR="00F24987" w:rsidRPr="00BC2A8A">
              <w:rPr>
                <w:rStyle w:val="Hyperlink"/>
                <w:noProof/>
              </w:rPr>
              <w:t>Results</w:t>
            </w:r>
            <w:r w:rsidR="00F24987">
              <w:rPr>
                <w:noProof/>
                <w:webHidden/>
              </w:rPr>
              <w:tab/>
            </w:r>
            <w:r w:rsidR="00F24987">
              <w:rPr>
                <w:noProof/>
                <w:webHidden/>
              </w:rPr>
              <w:fldChar w:fldCharType="begin"/>
            </w:r>
            <w:r w:rsidR="00F24987">
              <w:rPr>
                <w:noProof/>
                <w:webHidden/>
              </w:rPr>
              <w:instrText xml:space="preserve"> PAGEREF _Toc531696254 \h </w:instrText>
            </w:r>
            <w:r w:rsidR="00F24987">
              <w:rPr>
                <w:noProof/>
                <w:webHidden/>
              </w:rPr>
            </w:r>
            <w:r w:rsidR="00F24987">
              <w:rPr>
                <w:noProof/>
                <w:webHidden/>
              </w:rPr>
              <w:fldChar w:fldCharType="separate"/>
            </w:r>
            <w:r w:rsidR="00F24987">
              <w:rPr>
                <w:noProof/>
                <w:webHidden/>
              </w:rPr>
              <w:t>93</w:t>
            </w:r>
            <w:r w:rsidR="00F24987">
              <w:rPr>
                <w:noProof/>
                <w:webHidden/>
              </w:rPr>
              <w:fldChar w:fldCharType="end"/>
            </w:r>
          </w:hyperlink>
        </w:p>
        <w:p w14:paraId="1A9B203A" w14:textId="77777777" w:rsidR="00F24987" w:rsidRDefault="009A63CC">
          <w:pPr>
            <w:pStyle w:val="TOC1"/>
            <w:tabs>
              <w:tab w:val="left" w:pos="440"/>
            </w:tabs>
            <w:rPr>
              <w:rFonts w:asciiTheme="minorHAnsi" w:eastAsiaTheme="minorEastAsia" w:hAnsiTheme="minorHAnsi"/>
              <w:b w:val="0"/>
              <w:sz w:val="22"/>
              <w:lang w:eastAsia="en-AU"/>
            </w:rPr>
          </w:pPr>
          <w:hyperlink w:anchor="_Toc531696255" w:history="1">
            <w:r w:rsidR="00F24987" w:rsidRPr="00BC2A8A">
              <w:rPr>
                <w:rStyle w:val="Hyperlink"/>
              </w:rPr>
              <w:t>5</w:t>
            </w:r>
            <w:r w:rsidR="00F24987">
              <w:rPr>
                <w:rFonts w:asciiTheme="minorHAnsi" w:eastAsiaTheme="minorEastAsia" w:hAnsiTheme="minorHAnsi"/>
                <w:b w:val="0"/>
                <w:sz w:val="22"/>
                <w:lang w:eastAsia="en-AU"/>
              </w:rPr>
              <w:tab/>
            </w:r>
            <w:r w:rsidR="00F24987" w:rsidRPr="00BC2A8A">
              <w:rPr>
                <w:rStyle w:val="Hyperlink"/>
              </w:rPr>
              <w:t>Discussion and recommendations</w:t>
            </w:r>
            <w:r w:rsidR="00F24987">
              <w:rPr>
                <w:webHidden/>
              </w:rPr>
              <w:tab/>
            </w:r>
            <w:r w:rsidR="00F24987">
              <w:rPr>
                <w:webHidden/>
              </w:rPr>
              <w:fldChar w:fldCharType="begin"/>
            </w:r>
            <w:r w:rsidR="00F24987">
              <w:rPr>
                <w:webHidden/>
              </w:rPr>
              <w:instrText xml:space="preserve"> PAGEREF _Toc531696255 \h </w:instrText>
            </w:r>
            <w:r w:rsidR="00F24987">
              <w:rPr>
                <w:webHidden/>
              </w:rPr>
            </w:r>
            <w:r w:rsidR="00F24987">
              <w:rPr>
                <w:webHidden/>
              </w:rPr>
              <w:fldChar w:fldCharType="separate"/>
            </w:r>
            <w:r w:rsidR="00F24987">
              <w:rPr>
                <w:webHidden/>
              </w:rPr>
              <w:t>125</w:t>
            </w:r>
            <w:r w:rsidR="00F24987">
              <w:rPr>
                <w:webHidden/>
              </w:rPr>
              <w:fldChar w:fldCharType="end"/>
            </w:r>
          </w:hyperlink>
        </w:p>
        <w:p w14:paraId="4C300E23" w14:textId="77777777" w:rsidR="00F24987" w:rsidRDefault="009A63CC">
          <w:pPr>
            <w:pStyle w:val="TOC2"/>
            <w:tabs>
              <w:tab w:val="left" w:pos="880"/>
            </w:tabs>
            <w:rPr>
              <w:rFonts w:asciiTheme="minorHAnsi" w:eastAsiaTheme="minorEastAsia" w:hAnsiTheme="minorHAnsi"/>
              <w:noProof/>
              <w:sz w:val="22"/>
              <w:lang w:eastAsia="en-AU"/>
            </w:rPr>
          </w:pPr>
          <w:hyperlink w:anchor="_Toc531696256" w:history="1">
            <w:r w:rsidR="00F24987" w:rsidRPr="00BC2A8A">
              <w:rPr>
                <w:rStyle w:val="Hyperlink"/>
                <w:noProof/>
                <w14:scene3d>
                  <w14:camera w14:prst="orthographicFront"/>
                  <w14:lightRig w14:rig="threePt" w14:dir="t">
                    <w14:rot w14:lat="0" w14:lon="0" w14:rev="0"/>
                  </w14:lightRig>
                </w14:scene3d>
              </w:rPr>
              <w:t>5.1</w:t>
            </w:r>
            <w:r w:rsidR="00F24987">
              <w:rPr>
                <w:rFonts w:asciiTheme="minorHAnsi" w:eastAsiaTheme="minorEastAsia" w:hAnsiTheme="minorHAnsi"/>
                <w:noProof/>
                <w:sz w:val="22"/>
                <w:lang w:eastAsia="en-AU"/>
              </w:rPr>
              <w:tab/>
            </w:r>
            <w:r w:rsidR="00F24987" w:rsidRPr="00BC2A8A">
              <w:rPr>
                <w:rStyle w:val="Hyperlink"/>
                <w:noProof/>
              </w:rPr>
              <w:t>Recommendations</w:t>
            </w:r>
            <w:r w:rsidR="00F24987">
              <w:rPr>
                <w:noProof/>
                <w:webHidden/>
              </w:rPr>
              <w:tab/>
            </w:r>
            <w:r w:rsidR="00F24987">
              <w:rPr>
                <w:noProof/>
                <w:webHidden/>
              </w:rPr>
              <w:fldChar w:fldCharType="begin"/>
            </w:r>
            <w:r w:rsidR="00F24987">
              <w:rPr>
                <w:noProof/>
                <w:webHidden/>
              </w:rPr>
              <w:instrText xml:space="preserve"> PAGEREF _Toc531696256 \h </w:instrText>
            </w:r>
            <w:r w:rsidR="00F24987">
              <w:rPr>
                <w:noProof/>
                <w:webHidden/>
              </w:rPr>
            </w:r>
            <w:r w:rsidR="00F24987">
              <w:rPr>
                <w:noProof/>
                <w:webHidden/>
              </w:rPr>
              <w:fldChar w:fldCharType="separate"/>
            </w:r>
            <w:r w:rsidR="00F24987">
              <w:rPr>
                <w:noProof/>
                <w:webHidden/>
              </w:rPr>
              <w:t>131</w:t>
            </w:r>
            <w:r w:rsidR="00F24987">
              <w:rPr>
                <w:noProof/>
                <w:webHidden/>
              </w:rPr>
              <w:fldChar w:fldCharType="end"/>
            </w:r>
          </w:hyperlink>
        </w:p>
        <w:p w14:paraId="6A9B2FFA" w14:textId="77777777" w:rsidR="00F24987" w:rsidRDefault="009A63CC">
          <w:pPr>
            <w:pStyle w:val="TOC1"/>
            <w:rPr>
              <w:rFonts w:asciiTheme="minorHAnsi" w:eastAsiaTheme="minorEastAsia" w:hAnsiTheme="minorHAnsi"/>
              <w:b w:val="0"/>
              <w:sz w:val="22"/>
              <w:lang w:eastAsia="en-AU"/>
            </w:rPr>
          </w:pPr>
          <w:hyperlink w:anchor="_Toc531696257" w:history="1">
            <w:r w:rsidR="00F24987" w:rsidRPr="00BC2A8A">
              <w:rPr>
                <w:rStyle w:val="Hyperlink"/>
              </w:rPr>
              <w:t>References</w:t>
            </w:r>
            <w:r w:rsidR="00F24987">
              <w:rPr>
                <w:webHidden/>
              </w:rPr>
              <w:tab/>
            </w:r>
            <w:r w:rsidR="00F24987">
              <w:rPr>
                <w:webHidden/>
              </w:rPr>
              <w:fldChar w:fldCharType="begin"/>
            </w:r>
            <w:r w:rsidR="00F24987">
              <w:rPr>
                <w:webHidden/>
              </w:rPr>
              <w:instrText xml:space="preserve"> PAGEREF _Toc531696257 \h </w:instrText>
            </w:r>
            <w:r w:rsidR="00F24987">
              <w:rPr>
                <w:webHidden/>
              </w:rPr>
            </w:r>
            <w:r w:rsidR="00F24987">
              <w:rPr>
                <w:webHidden/>
              </w:rPr>
              <w:fldChar w:fldCharType="separate"/>
            </w:r>
            <w:r w:rsidR="00F24987">
              <w:rPr>
                <w:webHidden/>
              </w:rPr>
              <w:t>135</w:t>
            </w:r>
            <w:r w:rsidR="00F24987">
              <w:rPr>
                <w:webHidden/>
              </w:rPr>
              <w:fldChar w:fldCharType="end"/>
            </w:r>
          </w:hyperlink>
        </w:p>
        <w:p w14:paraId="7919BF0A" w14:textId="39B55339" w:rsidR="001B3CBD" w:rsidRDefault="001B3CBD">
          <w:r>
            <w:rPr>
              <w:rFonts w:eastAsia="Calibri"/>
            </w:rPr>
            <w:fldChar w:fldCharType="end"/>
          </w:r>
        </w:p>
      </w:sdtContent>
    </w:sdt>
    <w:p w14:paraId="38A45BEB" w14:textId="1C188C29" w:rsidR="008A3649" w:rsidRPr="00FB60E5" w:rsidRDefault="00537095" w:rsidP="001B3CBD">
      <w:pPr>
        <w:pStyle w:val="Header"/>
      </w:pPr>
      <w:bookmarkStart w:id="18" w:name="_Toc350884491"/>
      <w:bookmarkStart w:id="19" w:name="_Toc351536577"/>
      <w:bookmarkStart w:id="20" w:name="_Toc351622814"/>
      <w:bookmarkStart w:id="21" w:name="_Toc351622885"/>
      <w:bookmarkStart w:id="22" w:name="_Toc352002269"/>
      <w:bookmarkStart w:id="23" w:name="_Toc352168067"/>
      <w:bookmarkStart w:id="24" w:name="_Toc352844012"/>
      <w:bookmarkStart w:id="25" w:name="_Toc354593033"/>
      <w:bookmarkStart w:id="26" w:name="_Toc354732284"/>
      <w:bookmarkStart w:id="27" w:name="_Toc354734006"/>
      <w:bookmarkStart w:id="28" w:name="_Toc354734172"/>
      <w:bookmarkStart w:id="29" w:name="_Toc354734782"/>
      <w:bookmarkStart w:id="30" w:name="_Toc398105033"/>
      <w:r w:rsidRPr="00FB60E5">
        <w:lastRenderedPageBreak/>
        <w:t xml:space="preserve">List </w:t>
      </w:r>
      <w:r w:rsidR="00045FA3" w:rsidRPr="00FB60E5">
        <w:t>of tables</w:t>
      </w:r>
      <w:bookmarkEnd w:id="18"/>
      <w:bookmarkEnd w:id="19"/>
      <w:bookmarkEnd w:id="20"/>
      <w:bookmarkEnd w:id="21"/>
      <w:bookmarkEnd w:id="22"/>
      <w:bookmarkEnd w:id="23"/>
      <w:bookmarkEnd w:id="24"/>
      <w:bookmarkEnd w:id="25"/>
      <w:bookmarkEnd w:id="26"/>
      <w:bookmarkEnd w:id="27"/>
      <w:bookmarkEnd w:id="28"/>
      <w:bookmarkEnd w:id="29"/>
      <w:bookmarkEnd w:id="30"/>
    </w:p>
    <w:p w14:paraId="7298FAC1" w14:textId="77777777" w:rsidR="001B3CBD" w:rsidRDefault="00BE3D19">
      <w:pPr>
        <w:pStyle w:val="TableofFigures"/>
        <w:tabs>
          <w:tab w:val="right" w:leader="dot" w:pos="9016"/>
        </w:tabs>
        <w:rPr>
          <w:rFonts w:asciiTheme="minorHAnsi" w:eastAsiaTheme="minorEastAsia" w:hAnsiTheme="minorHAnsi"/>
          <w:noProof/>
          <w:sz w:val="22"/>
          <w:lang w:eastAsia="en-AU"/>
        </w:rPr>
      </w:pPr>
      <w:r w:rsidRPr="00FB60E5">
        <w:fldChar w:fldCharType="begin"/>
      </w:r>
      <w:r w:rsidR="00045FA3" w:rsidRPr="00FB60E5">
        <w:instrText xml:space="preserve"> TOC \h \z \c "Table" </w:instrText>
      </w:r>
      <w:r w:rsidRPr="00FB60E5">
        <w:fldChar w:fldCharType="separate"/>
      </w:r>
      <w:hyperlink w:anchor="_Toc531625773" w:history="1">
        <w:r w:rsidR="001B3CBD" w:rsidRPr="00E60453">
          <w:rPr>
            <w:rStyle w:val="Hyperlink"/>
            <w:noProof/>
          </w:rPr>
          <w:t>Table 1.1 Summary of the major international AOD treatment system outcome studies to date</w:t>
        </w:r>
        <w:r w:rsidR="001B3CBD">
          <w:rPr>
            <w:noProof/>
            <w:webHidden/>
          </w:rPr>
          <w:tab/>
        </w:r>
        <w:r w:rsidR="001B3CBD">
          <w:rPr>
            <w:noProof/>
            <w:webHidden/>
          </w:rPr>
          <w:fldChar w:fldCharType="begin"/>
        </w:r>
        <w:r w:rsidR="001B3CBD">
          <w:rPr>
            <w:noProof/>
            <w:webHidden/>
          </w:rPr>
          <w:instrText xml:space="preserve"> PAGEREF _Toc531625773 \h </w:instrText>
        </w:r>
        <w:r w:rsidR="001B3CBD">
          <w:rPr>
            <w:noProof/>
            <w:webHidden/>
          </w:rPr>
        </w:r>
        <w:r w:rsidR="001B3CBD">
          <w:rPr>
            <w:noProof/>
            <w:webHidden/>
          </w:rPr>
          <w:fldChar w:fldCharType="separate"/>
        </w:r>
        <w:r w:rsidR="001B3CBD">
          <w:rPr>
            <w:noProof/>
            <w:webHidden/>
          </w:rPr>
          <w:t>25</w:t>
        </w:r>
        <w:r w:rsidR="001B3CBD">
          <w:rPr>
            <w:noProof/>
            <w:webHidden/>
          </w:rPr>
          <w:fldChar w:fldCharType="end"/>
        </w:r>
      </w:hyperlink>
    </w:p>
    <w:p w14:paraId="71D8ADFA"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74" w:history="1">
        <w:r w:rsidR="001B3CBD" w:rsidRPr="00E60453">
          <w:rPr>
            <w:rStyle w:val="Hyperlink"/>
            <w:noProof/>
          </w:rPr>
          <w:t>Table 2.1 Proportion of treatment episodes by treatment type and jurisdiction</w:t>
        </w:r>
        <w:r w:rsidR="001B3CBD">
          <w:rPr>
            <w:noProof/>
            <w:webHidden/>
          </w:rPr>
          <w:tab/>
        </w:r>
        <w:r w:rsidR="001B3CBD">
          <w:rPr>
            <w:noProof/>
            <w:webHidden/>
          </w:rPr>
          <w:fldChar w:fldCharType="begin"/>
        </w:r>
        <w:r w:rsidR="001B3CBD">
          <w:rPr>
            <w:noProof/>
            <w:webHidden/>
          </w:rPr>
          <w:instrText xml:space="preserve"> PAGEREF _Toc531625774 \h </w:instrText>
        </w:r>
        <w:r w:rsidR="001B3CBD">
          <w:rPr>
            <w:noProof/>
            <w:webHidden/>
          </w:rPr>
        </w:r>
        <w:r w:rsidR="001B3CBD">
          <w:rPr>
            <w:noProof/>
            <w:webHidden/>
          </w:rPr>
          <w:fldChar w:fldCharType="separate"/>
        </w:r>
        <w:r w:rsidR="001B3CBD">
          <w:rPr>
            <w:noProof/>
            <w:webHidden/>
          </w:rPr>
          <w:t>31</w:t>
        </w:r>
        <w:r w:rsidR="001B3CBD">
          <w:rPr>
            <w:noProof/>
            <w:webHidden/>
          </w:rPr>
          <w:fldChar w:fldCharType="end"/>
        </w:r>
      </w:hyperlink>
    </w:p>
    <w:p w14:paraId="2097575E"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75" w:history="1">
        <w:r w:rsidR="001B3CBD" w:rsidRPr="00E60453">
          <w:rPr>
            <w:rStyle w:val="Hyperlink"/>
            <w:noProof/>
          </w:rPr>
          <w:t>Table 2.2 AOD treatment service setting by jurisdiction</w:t>
        </w:r>
        <w:r w:rsidR="001B3CBD">
          <w:rPr>
            <w:noProof/>
            <w:webHidden/>
          </w:rPr>
          <w:tab/>
        </w:r>
        <w:r w:rsidR="001B3CBD">
          <w:rPr>
            <w:noProof/>
            <w:webHidden/>
          </w:rPr>
          <w:fldChar w:fldCharType="begin"/>
        </w:r>
        <w:r w:rsidR="001B3CBD">
          <w:rPr>
            <w:noProof/>
            <w:webHidden/>
          </w:rPr>
          <w:instrText xml:space="preserve"> PAGEREF _Toc531625775 \h </w:instrText>
        </w:r>
        <w:r w:rsidR="001B3CBD">
          <w:rPr>
            <w:noProof/>
            <w:webHidden/>
          </w:rPr>
        </w:r>
        <w:r w:rsidR="001B3CBD">
          <w:rPr>
            <w:noProof/>
            <w:webHidden/>
          </w:rPr>
          <w:fldChar w:fldCharType="separate"/>
        </w:r>
        <w:r w:rsidR="001B3CBD">
          <w:rPr>
            <w:noProof/>
            <w:webHidden/>
          </w:rPr>
          <w:t>33</w:t>
        </w:r>
        <w:r w:rsidR="001B3CBD">
          <w:rPr>
            <w:noProof/>
            <w:webHidden/>
          </w:rPr>
          <w:fldChar w:fldCharType="end"/>
        </w:r>
      </w:hyperlink>
    </w:p>
    <w:p w14:paraId="68FF7B40"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76" w:history="1">
        <w:r w:rsidR="001B3CBD" w:rsidRPr="00E60453">
          <w:rPr>
            <w:rStyle w:val="Hyperlink"/>
            <w:noProof/>
          </w:rPr>
          <w:t>Table 2.3 Summary of performance and accountability approaches by jurisdiction, as reported in 2012</w:t>
        </w:r>
        <w:r w:rsidR="001B3CBD">
          <w:rPr>
            <w:noProof/>
            <w:webHidden/>
          </w:rPr>
          <w:tab/>
        </w:r>
        <w:r w:rsidR="001B3CBD">
          <w:rPr>
            <w:noProof/>
            <w:webHidden/>
          </w:rPr>
          <w:fldChar w:fldCharType="begin"/>
        </w:r>
        <w:r w:rsidR="001B3CBD">
          <w:rPr>
            <w:noProof/>
            <w:webHidden/>
          </w:rPr>
          <w:instrText xml:space="preserve"> PAGEREF _Toc531625776 \h </w:instrText>
        </w:r>
        <w:r w:rsidR="001B3CBD">
          <w:rPr>
            <w:noProof/>
            <w:webHidden/>
          </w:rPr>
        </w:r>
        <w:r w:rsidR="001B3CBD">
          <w:rPr>
            <w:noProof/>
            <w:webHidden/>
          </w:rPr>
          <w:fldChar w:fldCharType="separate"/>
        </w:r>
        <w:r w:rsidR="001B3CBD">
          <w:rPr>
            <w:noProof/>
            <w:webHidden/>
          </w:rPr>
          <w:t>34</w:t>
        </w:r>
        <w:r w:rsidR="001B3CBD">
          <w:rPr>
            <w:noProof/>
            <w:webHidden/>
          </w:rPr>
          <w:fldChar w:fldCharType="end"/>
        </w:r>
      </w:hyperlink>
    </w:p>
    <w:p w14:paraId="2C2838BE"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77" w:history="1">
        <w:r w:rsidR="001B3CBD" w:rsidRPr="00E60453">
          <w:rPr>
            <w:rStyle w:val="Hyperlink"/>
            <w:noProof/>
          </w:rPr>
          <w:t>Table 3.1 Items included in structured interview with clients ‘new’ to AOD treatment</w:t>
        </w:r>
        <w:r w:rsidR="001B3CBD">
          <w:rPr>
            <w:noProof/>
            <w:webHidden/>
          </w:rPr>
          <w:tab/>
        </w:r>
        <w:r w:rsidR="001B3CBD">
          <w:rPr>
            <w:noProof/>
            <w:webHidden/>
          </w:rPr>
          <w:fldChar w:fldCharType="begin"/>
        </w:r>
        <w:r w:rsidR="001B3CBD">
          <w:rPr>
            <w:noProof/>
            <w:webHidden/>
          </w:rPr>
          <w:instrText xml:space="preserve"> PAGEREF _Toc531625777 \h </w:instrText>
        </w:r>
        <w:r w:rsidR="001B3CBD">
          <w:rPr>
            <w:noProof/>
            <w:webHidden/>
          </w:rPr>
        </w:r>
        <w:r w:rsidR="001B3CBD">
          <w:rPr>
            <w:noProof/>
            <w:webHidden/>
          </w:rPr>
          <w:fldChar w:fldCharType="separate"/>
        </w:r>
        <w:r w:rsidR="001B3CBD">
          <w:rPr>
            <w:noProof/>
            <w:webHidden/>
          </w:rPr>
          <w:t>39</w:t>
        </w:r>
        <w:r w:rsidR="001B3CBD">
          <w:rPr>
            <w:noProof/>
            <w:webHidden/>
          </w:rPr>
          <w:fldChar w:fldCharType="end"/>
        </w:r>
      </w:hyperlink>
    </w:p>
    <w:p w14:paraId="1E15997B"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78" w:history="1">
        <w:r w:rsidR="001B3CBD" w:rsidRPr="00E60453">
          <w:rPr>
            <w:rStyle w:val="Hyperlink"/>
            <w:noProof/>
          </w:rPr>
          <w:t>Table 3.2 Participant characteristics at baseline</w:t>
        </w:r>
        <w:r w:rsidR="001B3CBD">
          <w:rPr>
            <w:noProof/>
            <w:webHidden/>
          </w:rPr>
          <w:tab/>
        </w:r>
        <w:r w:rsidR="001B3CBD">
          <w:rPr>
            <w:noProof/>
            <w:webHidden/>
          </w:rPr>
          <w:fldChar w:fldCharType="begin"/>
        </w:r>
        <w:r w:rsidR="001B3CBD">
          <w:rPr>
            <w:noProof/>
            <w:webHidden/>
          </w:rPr>
          <w:instrText xml:space="preserve"> PAGEREF _Toc531625778 \h </w:instrText>
        </w:r>
        <w:r w:rsidR="001B3CBD">
          <w:rPr>
            <w:noProof/>
            <w:webHidden/>
          </w:rPr>
        </w:r>
        <w:r w:rsidR="001B3CBD">
          <w:rPr>
            <w:noProof/>
            <w:webHidden/>
          </w:rPr>
          <w:fldChar w:fldCharType="separate"/>
        </w:r>
        <w:r w:rsidR="001B3CBD">
          <w:rPr>
            <w:noProof/>
            <w:webHidden/>
          </w:rPr>
          <w:t>45</w:t>
        </w:r>
        <w:r w:rsidR="001B3CBD">
          <w:rPr>
            <w:noProof/>
            <w:webHidden/>
          </w:rPr>
          <w:fldChar w:fldCharType="end"/>
        </w:r>
      </w:hyperlink>
    </w:p>
    <w:p w14:paraId="3DADCFF6"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79" w:history="1">
        <w:r w:rsidR="001B3CBD" w:rsidRPr="00E60453">
          <w:rPr>
            <w:rStyle w:val="Hyperlink"/>
            <w:noProof/>
          </w:rPr>
          <w:t>Table 3.3 Drugs of concern by index treatment type at baseline</w:t>
        </w:r>
        <w:r w:rsidR="001B3CBD">
          <w:rPr>
            <w:noProof/>
            <w:webHidden/>
          </w:rPr>
          <w:tab/>
        </w:r>
        <w:r w:rsidR="001B3CBD">
          <w:rPr>
            <w:noProof/>
            <w:webHidden/>
          </w:rPr>
          <w:fldChar w:fldCharType="begin"/>
        </w:r>
        <w:r w:rsidR="001B3CBD">
          <w:rPr>
            <w:noProof/>
            <w:webHidden/>
          </w:rPr>
          <w:instrText xml:space="preserve"> PAGEREF _Toc531625779 \h </w:instrText>
        </w:r>
        <w:r w:rsidR="001B3CBD">
          <w:rPr>
            <w:noProof/>
            <w:webHidden/>
          </w:rPr>
        </w:r>
        <w:r w:rsidR="001B3CBD">
          <w:rPr>
            <w:noProof/>
            <w:webHidden/>
          </w:rPr>
          <w:fldChar w:fldCharType="separate"/>
        </w:r>
        <w:r w:rsidR="001B3CBD">
          <w:rPr>
            <w:noProof/>
            <w:webHidden/>
          </w:rPr>
          <w:t>47</w:t>
        </w:r>
        <w:r w:rsidR="001B3CBD">
          <w:rPr>
            <w:noProof/>
            <w:webHidden/>
          </w:rPr>
          <w:fldChar w:fldCharType="end"/>
        </w:r>
      </w:hyperlink>
    </w:p>
    <w:p w14:paraId="500FE6C2"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0" w:history="1">
        <w:r w:rsidR="001B3CBD" w:rsidRPr="00E60453">
          <w:rPr>
            <w:rStyle w:val="Hyperlink"/>
            <w:noProof/>
          </w:rPr>
          <w:t>Table 3.4 Age comparison of Pathways sample and Victorian new-to-treatment population</w:t>
        </w:r>
        <w:r w:rsidR="001B3CBD">
          <w:rPr>
            <w:noProof/>
            <w:webHidden/>
          </w:rPr>
          <w:tab/>
        </w:r>
        <w:r w:rsidR="001B3CBD">
          <w:rPr>
            <w:noProof/>
            <w:webHidden/>
          </w:rPr>
          <w:fldChar w:fldCharType="begin"/>
        </w:r>
        <w:r w:rsidR="001B3CBD">
          <w:rPr>
            <w:noProof/>
            <w:webHidden/>
          </w:rPr>
          <w:instrText xml:space="preserve"> PAGEREF _Toc531625780 \h </w:instrText>
        </w:r>
        <w:r w:rsidR="001B3CBD">
          <w:rPr>
            <w:noProof/>
            <w:webHidden/>
          </w:rPr>
        </w:r>
        <w:r w:rsidR="001B3CBD">
          <w:rPr>
            <w:noProof/>
            <w:webHidden/>
          </w:rPr>
          <w:fldChar w:fldCharType="separate"/>
        </w:r>
        <w:r w:rsidR="001B3CBD">
          <w:rPr>
            <w:noProof/>
            <w:webHidden/>
          </w:rPr>
          <w:t>48</w:t>
        </w:r>
        <w:r w:rsidR="001B3CBD">
          <w:rPr>
            <w:noProof/>
            <w:webHidden/>
          </w:rPr>
          <w:fldChar w:fldCharType="end"/>
        </w:r>
      </w:hyperlink>
    </w:p>
    <w:p w14:paraId="0D148AE1"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1" w:history="1">
        <w:r w:rsidR="001B3CBD" w:rsidRPr="00E60453">
          <w:rPr>
            <w:rStyle w:val="Hyperlink"/>
            <w:noProof/>
          </w:rPr>
          <w:t>Table 3.5 Level of quality of life by index treatment type at baseline</w:t>
        </w:r>
        <w:r w:rsidR="001B3CBD">
          <w:rPr>
            <w:noProof/>
            <w:webHidden/>
          </w:rPr>
          <w:tab/>
        </w:r>
        <w:r w:rsidR="001B3CBD">
          <w:rPr>
            <w:noProof/>
            <w:webHidden/>
          </w:rPr>
          <w:fldChar w:fldCharType="begin"/>
        </w:r>
        <w:r w:rsidR="001B3CBD">
          <w:rPr>
            <w:noProof/>
            <w:webHidden/>
          </w:rPr>
          <w:instrText xml:space="preserve"> PAGEREF _Toc531625781 \h </w:instrText>
        </w:r>
        <w:r w:rsidR="001B3CBD">
          <w:rPr>
            <w:noProof/>
            <w:webHidden/>
          </w:rPr>
        </w:r>
        <w:r w:rsidR="001B3CBD">
          <w:rPr>
            <w:noProof/>
            <w:webHidden/>
          </w:rPr>
          <w:fldChar w:fldCharType="separate"/>
        </w:r>
        <w:r w:rsidR="001B3CBD">
          <w:rPr>
            <w:noProof/>
            <w:webHidden/>
          </w:rPr>
          <w:t>50</w:t>
        </w:r>
        <w:r w:rsidR="001B3CBD">
          <w:rPr>
            <w:noProof/>
            <w:webHidden/>
          </w:rPr>
          <w:fldChar w:fldCharType="end"/>
        </w:r>
      </w:hyperlink>
    </w:p>
    <w:p w14:paraId="68208A84"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2" w:history="1">
        <w:r w:rsidR="001B3CBD" w:rsidRPr="00E60453">
          <w:rPr>
            <w:rStyle w:val="Hyperlink"/>
            <w:noProof/>
          </w:rPr>
          <w:t>Table 3.6 Level of service use in past 12 months by index treatment type at baseline</w:t>
        </w:r>
        <w:r w:rsidR="001B3CBD">
          <w:rPr>
            <w:noProof/>
            <w:webHidden/>
          </w:rPr>
          <w:tab/>
        </w:r>
        <w:r w:rsidR="001B3CBD">
          <w:rPr>
            <w:noProof/>
            <w:webHidden/>
          </w:rPr>
          <w:fldChar w:fldCharType="begin"/>
        </w:r>
        <w:r w:rsidR="001B3CBD">
          <w:rPr>
            <w:noProof/>
            <w:webHidden/>
          </w:rPr>
          <w:instrText xml:space="preserve"> PAGEREF _Toc531625782 \h </w:instrText>
        </w:r>
        <w:r w:rsidR="001B3CBD">
          <w:rPr>
            <w:noProof/>
            <w:webHidden/>
          </w:rPr>
        </w:r>
        <w:r w:rsidR="001B3CBD">
          <w:rPr>
            <w:noProof/>
            <w:webHidden/>
          </w:rPr>
          <w:fldChar w:fldCharType="separate"/>
        </w:r>
        <w:r w:rsidR="001B3CBD">
          <w:rPr>
            <w:noProof/>
            <w:webHidden/>
          </w:rPr>
          <w:t>51</w:t>
        </w:r>
        <w:r w:rsidR="001B3CBD">
          <w:rPr>
            <w:noProof/>
            <w:webHidden/>
          </w:rPr>
          <w:fldChar w:fldCharType="end"/>
        </w:r>
      </w:hyperlink>
    </w:p>
    <w:p w14:paraId="436ECD4F"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3" w:history="1">
        <w:r w:rsidR="001B3CBD" w:rsidRPr="00E60453">
          <w:rPr>
            <w:rStyle w:val="Hyperlink"/>
            <w:noProof/>
          </w:rPr>
          <w:t>Table 3.7 Contact with the justice system by index treatment type at baseline</w:t>
        </w:r>
        <w:r w:rsidR="001B3CBD">
          <w:rPr>
            <w:noProof/>
            <w:webHidden/>
          </w:rPr>
          <w:tab/>
        </w:r>
        <w:r w:rsidR="001B3CBD">
          <w:rPr>
            <w:noProof/>
            <w:webHidden/>
          </w:rPr>
          <w:fldChar w:fldCharType="begin"/>
        </w:r>
        <w:r w:rsidR="001B3CBD">
          <w:rPr>
            <w:noProof/>
            <w:webHidden/>
          </w:rPr>
          <w:instrText xml:space="preserve"> PAGEREF _Toc531625783 \h </w:instrText>
        </w:r>
        <w:r w:rsidR="001B3CBD">
          <w:rPr>
            <w:noProof/>
            <w:webHidden/>
          </w:rPr>
        </w:r>
        <w:r w:rsidR="001B3CBD">
          <w:rPr>
            <w:noProof/>
            <w:webHidden/>
          </w:rPr>
          <w:fldChar w:fldCharType="separate"/>
        </w:r>
        <w:r w:rsidR="001B3CBD">
          <w:rPr>
            <w:noProof/>
            <w:webHidden/>
          </w:rPr>
          <w:t>52</w:t>
        </w:r>
        <w:r w:rsidR="001B3CBD">
          <w:rPr>
            <w:noProof/>
            <w:webHidden/>
          </w:rPr>
          <w:fldChar w:fldCharType="end"/>
        </w:r>
      </w:hyperlink>
    </w:p>
    <w:p w14:paraId="0CC723FF"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4" w:history="1">
        <w:r w:rsidR="001B3CBD" w:rsidRPr="00E60453">
          <w:rPr>
            <w:rStyle w:val="Hyperlink"/>
            <w:noProof/>
          </w:rPr>
          <w:t>Table 3.8 Changes in personal circumstances at baseline and follow-up (post-PIT) (ns =549-554)</w:t>
        </w:r>
        <w:r w:rsidR="001B3CBD">
          <w:rPr>
            <w:noProof/>
            <w:webHidden/>
          </w:rPr>
          <w:tab/>
        </w:r>
        <w:r w:rsidR="001B3CBD">
          <w:rPr>
            <w:noProof/>
            <w:webHidden/>
          </w:rPr>
          <w:fldChar w:fldCharType="begin"/>
        </w:r>
        <w:r w:rsidR="001B3CBD">
          <w:rPr>
            <w:noProof/>
            <w:webHidden/>
          </w:rPr>
          <w:instrText xml:space="preserve"> PAGEREF _Toc531625784 \h </w:instrText>
        </w:r>
        <w:r w:rsidR="001B3CBD">
          <w:rPr>
            <w:noProof/>
            <w:webHidden/>
          </w:rPr>
        </w:r>
        <w:r w:rsidR="001B3CBD">
          <w:rPr>
            <w:noProof/>
            <w:webHidden/>
          </w:rPr>
          <w:fldChar w:fldCharType="separate"/>
        </w:r>
        <w:r w:rsidR="001B3CBD">
          <w:rPr>
            <w:noProof/>
            <w:webHidden/>
          </w:rPr>
          <w:t>55</w:t>
        </w:r>
        <w:r w:rsidR="001B3CBD">
          <w:rPr>
            <w:noProof/>
            <w:webHidden/>
          </w:rPr>
          <w:fldChar w:fldCharType="end"/>
        </w:r>
      </w:hyperlink>
    </w:p>
    <w:p w14:paraId="4EBCAE60"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5" w:history="1">
        <w:r w:rsidR="001B3CBD" w:rsidRPr="00E60453">
          <w:rPr>
            <w:rStyle w:val="Hyperlink"/>
            <w:noProof/>
          </w:rPr>
          <w:t>Table 3.9 Use in the years before and after PIT of AOD specialist, community and acute medical service</w:t>
        </w:r>
        <w:r w:rsidR="001B3CBD">
          <w:rPr>
            <w:noProof/>
            <w:webHidden/>
          </w:rPr>
          <w:tab/>
        </w:r>
        <w:r w:rsidR="001B3CBD">
          <w:rPr>
            <w:noProof/>
            <w:webHidden/>
          </w:rPr>
          <w:fldChar w:fldCharType="begin"/>
        </w:r>
        <w:r w:rsidR="001B3CBD">
          <w:rPr>
            <w:noProof/>
            <w:webHidden/>
          </w:rPr>
          <w:instrText xml:space="preserve"> PAGEREF _Toc531625785 \h </w:instrText>
        </w:r>
        <w:r w:rsidR="001B3CBD">
          <w:rPr>
            <w:noProof/>
            <w:webHidden/>
          </w:rPr>
        </w:r>
        <w:r w:rsidR="001B3CBD">
          <w:rPr>
            <w:noProof/>
            <w:webHidden/>
          </w:rPr>
          <w:fldChar w:fldCharType="separate"/>
        </w:r>
        <w:r w:rsidR="001B3CBD">
          <w:rPr>
            <w:noProof/>
            <w:webHidden/>
          </w:rPr>
          <w:t>55</w:t>
        </w:r>
        <w:r w:rsidR="001B3CBD">
          <w:rPr>
            <w:noProof/>
            <w:webHidden/>
          </w:rPr>
          <w:fldChar w:fldCharType="end"/>
        </w:r>
      </w:hyperlink>
    </w:p>
    <w:p w14:paraId="377A7051"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6" w:history="1">
        <w:r w:rsidR="001B3CBD" w:rsidRPr="00E60453">
          <w:rPr>
            <w:rStyle w:val="Hyperlink"/>
            <w:noProof/>
          </w:rPr>
          <w:t>Table 3.10 Use in the years before and after PIT of AOD specialist, community and acute medical service among outpatient participants</w:t>
        </w:r>
        <w:r w:rsidR="001B3CBD">
          <w:rPr>
            <w:noProof/>
            <w:webHidden/>
          </w:rPr>
          <w:tab/>
        </w:r>
        <w:r w:rsidR="001B3CBD">
          <w:rPr>
            <w:noProof/>
            <w:webHidden/>
          </w:rPr>
          <w:fldChar w:fldCharType="begin"/>
        </w:r>
        <w:r w:rsidR="001B3CBD">
          <w:rPr>
            <w:noProof/>
            <w:webHidden/>
          </w:rPr>
          <w:instrText xml:space="preserve"> PAGEREF _Toc531625786 \h </w:instrText>
        </w:r>
        <w:r w:rsidR="001B3CBD">
          <w:rPr>
            <w:noProof/>
            <w:webHidden/>
          </w:rPr>
        </w:r>
        <w:r w:rsidR="001B3CBD">
          <w:rPr>
            <w:noProof/>
            <w:webHidden/>
          </w:rPr>
          <w:fldChar w:fldCharType="separate"/>
        </w:r>
        <w:r w:rsidR="001B3CBD">
          <w:rPr>
            <w:noProof/>
            <w:webHidden/>
          </w:rPr>
          <w:t>56</w:t>
        </w:r>
        <w:r w:rsidR="001B3CBD">
          <w:rPr>
            <w:noProof/>
            <w:webHidden/>
          </w:rPr>
          <w:fldChar w:fldCharType="end"/>
        </w:r>
      </w:hyperlink>
    </w:p>
    <w:p w14:paraId="6F33AC4A"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7" w:history="1">
        <w:r w:rsidR="001B3CBD" w:rsidRPr="00E60453">
          <w:rPr>
            <w:rStyle w:val="Hyperlink"/>
            <w:noProof/>
          </w:rPr>
          <w:t>Table 3.11 Use in the years before and after PIT of AOD specialist, community and acute medical service among acute withdrawal participants</w:t>
        </w:r>
        <w:r w:rsidR="001B3CBD">
          <w:rPr>
            <w:noProof/>
            <w:webHidden/>
          </w:rPr>
          <w:tab/>
        </w:r>
        <w:r w:rsidR="001B3CBD">
          <w:rPr>
            <w:noProof/>
            <w:webHidden/>
          </w:rPr>
          <w:fldChar w:fldCharType="begin"/>
        </w:r>
        <w:r w:rsidR="001B3CBD">
          <w:rPr>
            <w:noProof/>
            <w:webHidden/>
          </w:rPr>
          <w:instrText xml:space="preserve"> PAGEREF _Toc531625787 \h </w:instrText>
        </w:r>
        <w:r w:rsidR="001B3CBD">
          <w:rPr>
            <w:noProof/>
            <w:webHidden/>
          </w:rPr>
        </w:r>
        <w:r w:rsidR="001B3CBD">
          <w:rPr>
            <w:noProof/>
            <w:webHidden/>
          </w:rPr>
          <w:fldChar w:fldCharType="separate"/>
        </w:r>
        <w:r w:rsidR="001B3CBD">
          <w:rPr>
            <w:noProof/>
            <w:webHidden/>
          </w:rPr>
          <w:t>57</w:t>
        </w:r>
        <w:r w:rsidR="001B3CBD">
          <w:rPr>
            <w:noProof/>
            <w:webHidden/>
          </w:rPr>
          <w:fldChar w:fldCharType="end"/>
        </w:r>
      </w:hyperlink>
    </w:p>
    <w:p w14:paraId="2C657D0F"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8" w:history="1">
        <w:r w:rsidR="001B3CBD" w:rsidRPr="00E60453">
          <w:rPr>
            <w:rStyle w:val="Hyperlink"/>
            <w:noProof/>
          </w:rPr>
          <w:t>Table 3.12 Use in the years before and after PIT of AOD specialist, community and acute medical service among residential rehabilitation participants</w:t>
        </w:r>
        <w:r w:rsidR="001B3CBD">
          <w:rPr>
            <w:noProof/>
            <w:webHidden/>
          </w:rPr>
          <w:tab/>
        </w:r>
        <w:r w:rsidR="001B3CBD">
          <w:rPr>
            <w:noProof/>
            <w:webHidden/>
          </w:rPr>
          <w:fldChar w:fldCharType="begin"/>
        </w:r>
        <w:r w:rsidR="001B3CBD">
          <w:rPr>
            <w:noProof/>
            <w:webHidden/>
          </w:rPr>
          <w:instrText xml:space="preserve"> PAGEREF _Toc531625788 \h </w:instrText>
        </w:r>
        <w:r w:rsidR="001B3CBD">
          <w:rPr>
            <w:noProof/>
            <w:webHidden/>
          </w:rPr>
        </w:r>
        <w:r w:rsidR="001B3CBD">
          <w:rPr>
            <w:noProof/>
            <w:webHidden/>
          </w:rPr>
          <w:fldChar w:fldCharType="separate"/>
        </w:r>
        <w:r w:rsidR="001B3CBD">
          <w:rPr>
            <w:noProof/>
            <w:webHidden/>
          </w:rPr>
          <w:t>57</w:t>
        </w:r>
        <w:r w:rsidR="001B3CBD">
          <w:rPr>
            <w:noProof/>
            <w:webHidden/>
          </w:rPr>
          <w:fldChar w:fldCharType="end"/>
        </w:r>
      </w:hyperlink>
    </w:p>
    <w:p w14:paraId="4C7B6AC3"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89" w:history="1">
        <w:r w:rsidR="001B3CBD" w:rsidRPr="00E60453">
          <w:rPr>
            <w:rStyle w:val="Hyperlink"/>
            <w:noProof/>
          </w:rPr>
          <w:t>Table 3.13 Post PIT AOD specialist, community and acute medical service use by PDOC</w:t>
        </w:r>
        <w:r w:rsidR="001B3CBD">
          <w:rPr>
            <w:noProof/>
            <w:webHidden/>
          </w:rPr>
          <w:tab/>
        </w:r>
        <w:r w:rsidR="001B3CBD">
          <w:rPr>
            <w:noProof/>
            <w:webHidden/>
          </w:rPr>
          <w:fldChar w:fldCharType="begin"/>
        </w:r>
        <w:r w:rsidR="001B3CBD">
          <w:rPr>
            <w:noProof/>
            <w:webHidden/>
          </w:rPr>
          <w:instrText xml:space="preserve"> PAGEREF _Toc531625789 \h </w:instrText>
        </w:r>
        <w:r w:rsidR="001B3CBD">
          <w:rPr>
            <w:noProof/>
            <w:webHidden/>
          </w:rPr>
        </w:r>
        <w:r w:rsidR="001B3CBD">
          <w:rPr>
            <w:noProof/>
            <w:webHidden/>
          </w:rPr>
          <w:fldChar w:fldCharType="separate"/>
        </w:r>
        <w:r w:rsidR="001B3CBD">
          <w:rPr>
            <w:noProof/>
            <w:webHidden/>
          </w:rPr>
          <w:t>58</w:t>
        </w:r>
        <w:r w:rsidR="001B3CBD">
          <w:rPr>
            <w:noProof/>
            <w:webHidden/>
          </w:rPr>
          <w:fldChar w:fldCharType="end"/>
        </w:r>
      </w:hyperlink>
    </w:p>
    <w:p w14:paraId="35BB8B2A"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0" w:history="1">
        <w:r w:rsidR="001B3CBD" w:rsidRPr="00E60453">
          <w:rPr>
            <w:rStyle w:val="Hyperlink"/>
            <w:noProof/>
          </w:rPr>
          <w:t>Table 3.14 Abstinence rates by service use post-PIT</w:t>
        </w:r>
        <w:r w:rsidR="001B3CBD">
          <w:rPr>
            <w:noProof/>
            <w:webHidden/>
          </w:rPr>
          <w:tab/>
        </w:r>
        <w:r w:rsidR="001B3CBD">
          <w:rPr>
            <w:noProof/>
            <w:webHidden/>
          </w:rPr>
          <w:fldChar w:fldCharType="begin"/>
        </w:r>
        <w:r w:rsidR="001B3CBD">
          <w:rPr>
            <w:noProof/>
            <w:webHidden/>
          </w:rPr>
          <w:instrText xml:space="preserve"> PAGEREF _Toc531625790 \h </w:instrText>
        </w:r>
        <w:r w:rsidR="001B3CBD">
          <w:rPr>
            <w:noProof/>
            <w:webHidden/>
          </w:rPr>
        </w:r>
        <w:r w:rsidR="001B3CBD">
          <w:rPr>
            <w:noProof/>
            <w:webHidden/>
          </w:rPr>
          <w:fldChar w:fldCharType="separate"/>
        </w:r>
        <w:r w:rsidR="001B3CBD">
          <w:rPr>
            <w:noProof/>
            <w:webHidden/>
          </w:rPr>
          <w:t>60</w:t>
        </w:r>
        <w:r w:rsidR="001B3CBD">
          <w:rPr>
            <w:noProof/>
            <w:webHidden/>
          </w:rPr>
          <w:fldChar w:fldCharType="end"/>
        </w:r>
      </w:hyperlink>
    </w:p>
    <w:p w14:paraId="76D6994E"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1" w:history="1">
        <w:r w:rsidR="001B3CBD" w:rsidRPr="00E60453">
          <w:rPr>
            <w:rStyle w:val="Hyperlink"/>
            <w:noProof/>
          </w:rPr>
          <w:t>Table 3.15 Changes in severity of dependence on PDOC by PIT type</w:t>
        </w:r>
        <w:r w:rsidR="001B3CBD">
          <w:rPr>
            <w:noProof/>
            <w:webHidden/>
          </w:rPr>
          <w:tab/>
        </w:r>
        <w:r w:rsidR="001B3CBD">
          <w:rPr>
            <w:noProof/>
            <w:webHidden/>
          </w:rPr>
          <w:fldChar w:fldCharType="begin"/>
        </w:r>
        <w:r w:rsidR="001B3CBD">
          <w:rPr>
            <w:noProof/>
            <w:webHidden/>
          </w:rPr>
          <w:instrText xml:space="preserve"> PAGEREF _Toc531625791 \h </w:instrText>
        </w:r>
        <w:r w:rsidR="001B3CBD">
          <w:rPr>
            <w:noProof/>
            <w:webHidden/>
          </w:rPr>
        </w:r>
        <w:r w:rsidR="001B3CBD">
          <w:rPr>
            <w:noProof/>
            <w:webHidden/>
          </w:rPr>
          <w:fldChar w:fldCharType="separate"/>
        </w:r>
        <w:r w:rsidR="001B3CBD">
          <w:rPr>
            <w:noProof/>
            <w:webHidden/>
          </w:rPr>
          <w:t>61</w:t>
        </w:r>
        <w:r w:rsidR="001B3CBD">
          <w:rPr>
            <w:noProof/>
            <w:webHidden/>
          </w:rPr>
          <w:fldChar w:fldCharType="end"/>
        </w:r>
      </w:hyperlink>
    </w:p>
    <w:p w14:paraId="21C43761"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2" w:history="1">
        <w:r w:rsidR="001B3CBD" w:rsidRPr="00E60453">
          <w:rPr>
            <w:rStyle w:val="Hyperlink"/>
            <w:noProof/>
          </w:rPr>
          <w:t>Table 3.16 Changes in median score on each WHOQOL domain between baseline and follow-up for each PIT type</w:t>
        </w:r>
        <w:r w:rsidR="001B3CBD">
          <w:rPr>
            <w:noProof/>
            <w:webHidden/>
          </w:rPr>
          <w:tab/>
        </w:r>
        <w:r w:rsidR="001B3CBD">
          <w:rPr>
            <w:noProof/>
            <w:webHidden/>
          </w:rPr>
          <w:fldChar w:fldCharType="begin"/>
        </w:r>
        <w:r w:rsidR="001B3CBD">
          <w:rPr>
            <w:noProof/>
            <w:webHidden/>
          </w:rPr>
          <w:instrText xml:space="preserve"> PAGEREF _Toc531625792 \h </w:instrText>
        </w:r>
        <w:r w:rsidR="001B3CBD">
          <w:rPr>
            <w:noProof/>
            <w:webHidden/>
          </w:rPr>
        </w:r>
        <w:r w:rsidR="001B3CBD">
          <w:rPr>
            <w:noProof/>
            <w:webHidden/>
          </w:rPr>
          <w:fldChar w:fldCharType="separate"/>
        </w:r>
        <w:r w:rsidR="001B3CBD">
          <w:rPr>
            <w:noProof/>
            <w:webHidden/>
          </w:rPr>
          <w:t>62</w:t>
        </w:r>
        <w:r w:rsidR="001B3CBD">
          <w:rPr>
            <w:noProof/>
            <w:webHidden/>
          </w:rPr>
          <w:fldChar w:fldCharType="end"/>
        </w:r>
      </w:hyperlink>
    </w:p>
    <w:p w14:paraId="7F8D493E"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3" w:history="1">
        <w:r w:rsidR="001B3CBD" w:rsidRPr="00E60453">
          <w:rPr>
            <w:rStyle w:val="Hyperlink"/>
            <w:noProof/>
          </w:rPr>
          <w:t>Table 3.17 Proportion of treatment episodes by treatment type and jurisdiction</w:t>
        </w:r>
        <w:r w:rsidR="001B3CBD">
          <w:rPr>
            <w:noProof/>
            <w:webHidden/>
          </w:rPr>
          <w:tab/>
        </w:r>
        <w:r w:rsidR="001B3CBD">
          <w:rPr>
            <w:noProof/>
            <w:webHidden/>
          </w:rPr>
          <w:fldChar w:fldCharType="begin"/>
        </w:r>
        <w:r w:rsidR="001B3CBD">
          <w:rPr>
            <w:noProof/>
            <w:webHidden/>
          </w:rPr>
          <w:instrText xml:space="preserve"> PAGEREF _Toc531625793 \h </w:instrText>
        </w:r>
        <w:r w:rsidR="001B3CBD">
          <w:rPr>
            <w:noProof/>
            <w:webHidden/>
          </w:rPr>
        </w:r>
        <w:r w:rsidR="001B3CBD">
          <w:rPr>
            <w:noProof/>
            <w:webHidden/>
          </w:rPr>
          <w:fldChar w:fldCharType="separate"/>
        </w:r>
        <w:r w:rsidR="001B3CBD">
          <w:rPr>
            <w:noProof/>
            <w:webHidden/>
          </w:rPr>
          <w:t>68</w:t>
        </w:r>
        <w:r w:rsidR="001B3CBD">
          <w:rPr>
            <w:noProof/>
            <w:webHidden/>
          </w:rPr>
          <w:fldChar w:fldCharType="end"/>
        </w:r>
      </w:hyperlink>
    </w:p>
    <w:p w14:paraId="6A3FDAE3"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4" w:history="1">
        <w:r w:rsidR="001B3CBD" w:rsidRPr="00E60453">
          <w:rPr>
            <w:rStyle w:val="Hyperlink"/>
            <w:noProof/>
          </w:rPr>
          <w:t>Table 3.18 Abstinence and Success rates by PIT using weighted and unweighted data</w:t>
        </w:r>
        <w:r w:rsidR="001B3CBD">
          <w:rPr>
            <w:noProof/>
            <w:webHidden/>
          </w:rPr>
          <w:tab/>
        </w:r>
        <w:r w:rsidR="001B3CBD">
          <w:rPr>
            <w:noProof/>
            <w:webHidden/>
          </w:rPr>
          <w:fldChar w:fldCharType="begin"/>
        </w:r>
        <w:r w:rsidR="001B3CBD">
          <w:rPr>
            <w:noProof/>
            <w:webHidden/>
          </w:rPr>
          <w:instrText xml:space="preserve"> PAGEREF _Toc531625794 \h </w:instrText>
        </w:r>
        <w:r w:rsidR="001B3CBD">
          <w:rPr>
            <w:noProof/>
            <w:webHidden/>
          </w:rPr>
        </w:r>
        <w:r w:rsidR="001B3CBD">
          <w:rPr>
            <w:noProof/>
            <w:webHidden/>
          </w:rPr>
          <w:fldChar w:fldCharType="separate"/>
        </w:r>
        <w:r w:rsidR="001B3CBD">
          <w:rPr>
            <w:noProof/>
            <w:webHidden/>
          </w:rPr>
          <w:t>69</w:t>
        </w:r>
        <w:r w:rsidR="001B3CBD">
          <w:rPr>
            <w:noProof/>
            <w:webHidden/>
          </w:rPr>
          <w:fldChar w:fldCharType="end"/>
        </w:r>
      </w:hyperlink>
    </w:p>
    <w:p w14:paraId="2EBD30F9"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5" w:history="1">
        <w:r w:rsidR="001B3CBD" w:rsidRPr="00E60453">
          <w:rPr>
            <w:rStyle w:val="Hyperlink"/>
            <w:noProof/>
          </w:rPr>
          <w:t>Table 3.19 Abstinence and Success rates by PDOC using weighted and unweighted data</w:t>
        </w:r>
        <w:r w:rsidR="001B3CBD">
          <w:rPr>
            <w:noProof/>
            <w:webHidden/>
          </w:rPr>
          <w:tab/>
        </w:r>
        <w:r w:rsidR="001B3CBD">
          <w:rPr>
            <w:noProof/>
            <w:webHidden/>
          </w:rPr>
          <w:fldChar w:fldCharType="begin"/>
        </w:r>
        <w:r w:rsidR="001B3CBD">
          <w:rPr>
            <w:noProof/>
            <w:webHidden/>
          </w:rPr>
          <w:instrText xml:space="preserve"> PAGEREF _Toc531625795 \h </w:instrText>
        </w:r>
        <w:r w:rsidR="001B3CBD">
          <w:rPr>
            <w:noProof/>
            <w:webHidden/>
          </w:rPr>
        </w:r>
        <w:r w:rsidR="001B3CBD">
          <w:rPr>
            <w:noProof/>
            <w:webHidden/>
          </w:rPr>
          <w:fldChar w:fldCharType="separate"/>
        </w:r>
        <w:r w:rsidR="001B3CBD">
          <w:rPr>
            <w:noProof/>
            <w:webHidden/>
          </w:rPr>
          <w:t>69</w:t>
        </w:r>
        <w:r w:rsidR="001B3CBD">
          <w:rPr>
            <w:noProof/>
            <w:webHidden/>
          </w:rPr>
          <w:fldChar w:fldCharType="end"/>
        </w:r>
      </w:hyperlink>
    </w:p>
    <w:p w14:paraId="2B0C99A0"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6" w:history="1">
        <w:r w:rsidR="001B3CBD" w:rsidRPr="00E60453">
          <w:rPr>
            <w:rStyle w:val="Hyperlink"/>
            <w:noProof/>
          </w:rPr>
          <w:t>Table 3.20 Key outcome by PIT using weighted data</w:t>
        </w:r>
        <w:r w:rsidR="001B3CBD">
          <w:rPr>
            <w:noProof/>
            <w:webHidden/>
          </w:rPr>
          <w:tab/>
        </w:r>
        <w:r w:rsidR="001B3CBD">
          <w:rPr>
            <w:noProof/>
            <w:webHidden/>
          </w:rPr>
          <w:fldChar w:fldCharType="begin"/>
        </w:r>
        <w:r w:rsidR="001B3CBD">
          <w:rPr>
            <w:noProof/>
            <w:webHidden/>
          </w:rPr>
          <w:instrText xml:space="preserve"> PAGEREF _Toc531625796 \h </w:instrText>
        </w:r>
        <w:r w:rsidR="001B3CBD">
          <w:rPr>
            <w:noProof/>
            <w:webHidden/>
          </w:rPr>
        </w:r>
        <w:r w:rsidR="001B3CBD">
          <w:rPr>
            <w:noProof/>
            <w:webHidden/>
          </w:rPr>
          <w:fldChar w:fldCharType="separate"/>
        </w:r>
        <w:r w:rsidR="001B3CBD">
          <w:rPr>
            <w:noProof/>
            <w:webHidden/>
          </w:rPr>
          <w:t>70</w:t>
        </w:r>
        <w:r w:rsidR="001B3CBD">
          <w:rPr>
            <w:noProof/>
            <w:webHidden/>
          </w:rPr>
          <w:fldChar w:fldCharType="end"/>
        </w:r>
      </w:hyperlink>
    </w:p>
    <w:p w14:paraId="1D6E4873"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7" w:history="1">
        <w:r w:rsidR="001B3CBD" w:rsidRPr="00E60453">
          <w:rPr>
            <w:rStyle w:val="Hyperlink"/>
            <w:noProof/>
          </w:rPr>
          <w:t>Table 3.21 Key outcome by PDOC using weighted data</w:t>
        </w:r>
        <w:r w:rsidR="001B3CBD">
          <w:rPr>
            <w:noProof/>
            <w:webHidden/>
          </w:rPr>
          <w:tab/>
        </w:r>
        <w:r w:rsidR="001B3CBD">
          <w:rPr>
            <w:noProof/>
            <w:webHidden/>
          </w:rPr>
          <w:fldChar w:fldCharType="begin"/>
        </w:r>
        <w:r w:rsidR="001B3CBD">
          <w:rPr>
            <w:noProof/>
            <w:webHidden/>
          </w:rPr>
          <w:instrText xml:space="preserve"> PAGEREF _Toc531625797 \h </w:instrText>
        </w:r>
        <w:r w:rsidR="001B3CBD">
          <w:rPr>
            <w:noProof/>
            <w:webHidden/>
          </w:rPr>
        </w:r>
        <w:r w:rsidR="001B3CBD">
          <w:rPr>
            <w:noProof/>
            <w:webHidden/>
          </w:rPr>
          <w:fldChar w:fldCharType="separate"/>
        </w:r>
        <w:r w:rsidR="001B3CBD">
          <w:rPr>
            <w:noProof/>
            <w:webHidden/>
          </w:rPr>
          <w:t>70</w:t>
        </w:r>
        <w:r w:rsidR="001B3CBD">
          <w:rPr>
            <w:noProof/>
            <w:webHidden/>
          </w:rPr>
          <w:fldChar w:fldCharType="end"/>
        </w:r>
      </w:hyperlink>
    </w:p>
    <w:p w14:paraId="2ADE1588"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8" w:history="1">
        <w:r w:rsidR="001B3CBD" w:rsidRPr="00E60453">
          <w:rPr>
            <w:rStyle w:val="Hyperlink"/>
            <w:noProof/>
          </w:rPr>
          <w:t>Table 4.1 Definition of disease categories for emergency department and hospital diagnoses</w:t>
        </w:r>
        <w:r w:rsidR="001B3CBD">
          <w:rPr>
            <w:noProof/>
            <w:webHidden/>
          </w:rPr>
          <w:tab/>
        </w:r>
        <w:r w:rsidR="001B3CBD">
          <w:rPr>
            <w:noProof/>
            <w:webHidden/>
          </w:rPr>
          <w:fldChar w:fldCharType="begin"/>
        </w:r>
        <w:r w:rsidR="001B3CBD">
          <w:rPr>
            <w:noProof/>
            <w:webHidden/>
          </w:rPr>
          <w:instrText xml:space="preserve"> PAGEREF _Toc531625798 \h </w:instrText>
        </w:r>
        <w:r w:rsidR="001B3CBD">
          <w:rPr>
            <w:noProof/>
            <w:webHidden/>
          </w:rPr>
        </w:r>
        <w:r w:rsidR="001B3CBD">
          <w:rPr>
            <w:noProof/>
            <w:webHidden/>
          </w:rPr>
          <w:fldChar w:fldCharType="separate"/>
        </w:r>
        <w:r w:rsidR="001B3CBD">
          <w:rPr>
            <w:noProof/>
            <w:webHidden/>
          </w:rPr>
          <w:t>91</w:t>
        </w:r>
        <w:r w:rsidR="001B3CBD">
          <w:rPr>
            <w:noProof/>
            <w:webHidden/>
          </w:rPr>
          <w:fldChar w:fldCharType="end"/>
        </w:r>
      </w:hyperlink>
    </w:p>
    <w:p w14:paraId="24ECCD43"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799" w:history="1">
        <w:r w:rsidR="001B3CBD" w:rsidRPr="00E60453">
          <w:rPr>
            <w:rStyle w:val="Hyperlink"/>
            <w:noProof/>
          </w:rPr>
          <w:t>Table 4.2 Sociodemographic characteristics by ED presentations, 2009/10 to 2011/12, among those who were AOD clients in 2010/11</w:t>
        </w:r>
        <w:r w:rsidR="001B3CBD">
          <w:rPr>
            <w:noProof/>
            <w:webHidden/>
          </w:rPr>
          <w:tab/>
        </w:r>
        <w:r w:rsidR="001B3CBD">
          <w:rPr>
            <w:noProof/>
            <w:webHidden/>
          </w:rPr>
          <w:fldChar w:fldCharType="begin"/>
        </w:r>
        <w:r w:rsidR="001B3CBD">
          <w:rPr>
            <w:noProof/>
            <w:webHidden/>
          </w:rPr>
          <w:instrText xml:space="preserve"> PAGEREF _Toc531625799 \h </w:instrText>
        </w:r>
        <w:r w:rsidR="001B3CBD">
          <w:rPr>
            <w:noProof/>
            <w:webHidden/>
          </w:rPr>
        </w:r>
        <w:r w:rsidR="001B3CBD">
          <w:rPr>
            <w:noProof/>
            <w:webHidden/>
          </w:rPr>
          <w:fldChar w:fldCharType="separate"/>
        </w:r>
        <w:r w:rsidR="001B3CBD">
          <w:rPr>
            <w:noProof/>
            <w:webHidden/>
          </w:rPr>
          <w:t>93</w:t>
        </w:r>
        <w:r w:rsidR="001B3CBD">
          <w:rPr>
            <w:noProof/>
            <w:webHidden/>
          </w:rPr>
          <w:fldChar w:fldCharType="end"/>
        </w:r>
      </w:hyperlink>
    </w:p>
    <w:p w14:paraId="2B8B486D"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0" w:history="1">
        <w:r w:rsidR="001B3CBD" w:rsidRPr="00E60453">
          <w:rPr>
            <w:rStyle w:val="Hyperlink"/>
            <w:noProof/>
          </w:rPr>
          <w:t>Table 4.3 Sociodemographic characteristics by ED presentations in 2009/10, 2010/11 and 2011/12</w:t>
        </w:r>
        <w:r w:rsidR="001B3CBD">
          <w:rPr>
            <w:noProof/>
            <w:webHidden/>
          </w:rPr>
          <w:tab/>
        </w:r>
        <w:r w:rsidR="001B3CBD">
          <w:rPr>
            <w:noProof/>
            <w:webHidden/>
          </w:rPr>
          <w:fldChar w:fldCharType="begin"/>
        </w:r>
        <w:r w:rsidR="001B3CBD">
          <w:rPr>
            <w:noProof/>
            <w:webHidden/>
          </w:rPr>
          <w:instrText xml:space="preserve"> PAGEREF _Toc531625800 \h </w:instrText>
        </w:r>
        <w:r w:rsidR="001B3CBD">
          <w:rPr>
            <w:noProof/>
            <w:webHidden/>
          </w:rPr>
        </w:r>
        <w:r w:rsidR="001B3CBD">
          <w:rPr>
            <w:noProof/>
            <w:webHidden/>
          </w:rPr>
          <w:fldChar w:fldCharType="separate"/>
        </w:r>
        <w:r w:rsidR="001B3CBD">
          <w:rPr>
            <w:noProof/>
            <w:webHidden/>
          </w:rPr>
          <w:t>97</w:t>
        </w:r>
        <w:r w:rsidR="001B3CBD">
          <w:rPr>
            <w:noProof/>
            <w:webHidden/>
          </w:rPr>
          <w:fldChar w:fldCharType="end"/>
        </w:r>
      </w:hyperlink>
    </w:p>
    <w:p w14:paraId="19664335"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1" w:history="1">
        <w:r w:rsidR="001B3CBD" w:rsidRPr="00E60453">
          <w:rPr>
            <w:rStyle w:val="Hyperlink"/>
            <w:noProof/>
          </w:rPr>
          <w:t>Table 4.4 Treatment type and treatment characteristics by ED presentation, 2009/10 to 2011/12</w:t>
        </w:r>
        <w:r w:rsidR="001B3CBD">
          <w:rPr>
            <w:noProof/>
            <w:webHidden/>
          </w:rPr>
          <w:tab/>
        </w:r>
        <w:r w:rsidR="001B3CBD">
          <w:rPr>
            <w:noProof/>
            <w:webHidden/>
          </w:rPr>
          <w:fldChar w:fldCharType="begin"/>
        </w:r>
        <w:r w:rsidR="001B3CBD">
          <w:rPr>
            <w:noProof/>
            <w:webHidden/>
          </w:rPr>
          <w:instrText xml:space="preserve"> PAGEREF _Toc531625801 \h </w:instrText>
        </w:r>
        <w:r w:rsidR="001B3CBD">
          <w:rPr>
            <w:noProof/>
            <w:webHidden/>
          </w:rPr>
        </w:r>
        <w:r w:rsidR="001B3CBD">
          <w:rPr>
            <w:noProof/>
            <w:webHidden/>
          </w:rPr>
          <w:fldChar w:fldCharType="separate"/>
        </w:r>
        <w:r w:rsidR="001B3CBD">
          <w:rPr>
            <w:noProof/>
            <w:webHidden/>
          </w:rPr>
          <w:t>100</w:t>
        </w:r>
        <w:r w:rsidR="001B3CBD">
          <w:rPr>
            <w:noProof/>
            <w:webHidden/>
          </w:rPr>
          <w:fldChar w:fldCharType="end"/>
        </w:r>
      </w:hyperlink>
    </w:p>
    <w:p w14:paraId="032D1848"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2" w:history="1">
        <w:r w:rsidR="001B3CBD" w:rsidRPr="00E60453">
          <w:rPr>
            <w:rStyle w:val="Hyperlink"/>
            <w:noProof/>
          </w:rPr>
          <w:t>Table 4.5 Treatment type and treatment characteristics by ED presentations in 2009/10, 2010/11 and 2011/12</w:t>
        </w:r>
        <w:r w:rsidR="001B3CBD">
          <w:rPr>
            <w:noProof/>
            <w:webHidden/>
          </w:rPr>
          <w:tab/>
        </w:r>
        <w:r w:rsidR="001B3CBD">
          <w:rPr>
            <w:noProof/>
            <w:webHidden/>
          </w:rPr>
          <w:fldChar w:fldCharType="begin"/>
        </w:r>
        <w:r w:rsidR="001B3CBD">
          <w:rPr>
            <w:noProof/>
            <w:webHidden/>
          </w:rPr>
          <w:instrText xml:space="preserve"> PAGEREF _Toc531625802 \h </w:instrText>
        </w:r>
        <w:r w:rsidR="001B3CBD">
          <w:rPr>
            <w:noProof/>
            <w:webHidden/>
          </w:rPr>
        </w:r>
        <w:r w:rsidR="001B3CBD">
          <w:rPr>
            <w:noProof/>
            <w:webHidden/>
          </w:rPr>
          <w:fldChar w:fldCharType="separate"/>
        </w:r>
        <w:r w:rsidR="001B3CBD">
          <w:rPr>
            <w:noProof/>
            <w:webHidden/>
          </w:rPr>
          <w:t>102</w:t>
        </w:r>
        <w:r w:rsidR="001B3CBD">
          <w:rPr>
            <w:noProof/>
            <w:webHidden/>
          </w:rPr>
          <w:fldChar w:fldCharType="end"/>
        </w:r>
      </w:hyperlink>
    </w:p>
    <w:p w14:paraId="74093554"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3" w:history="1">
        <w:r w:rsidR="001B3CBD" w:rsidRPr="00E60453">
          <w:rPr>
            <w:rStyle w:val="Hyperlink"/>
            <w:noProof/>
          </w:rPr>
          <w:t>Table 4.6 Drug use characteristics by ED presentations, 2009/10 to 2011/12</w:t>
        </w:r>
        <w:r w:rsidR="001B3CBD">
          <w:rPr>
            <w:noProof/>
            <w:webHidden/>
          </w:rPr>
          <w:tab/>
        </w:r>
        <w:r w:rsidR="001B3CBD">
          <w:rPr>
            <w:noProof/>
            <w:webHidden/>
          </w:rPr>
          <w:fldChar w:fldCharType="begin"/>
        </w:r>
        <w:r w:rsidR="001B3CBD">
          <w:rPr>
            <w:noProof/>
            <w:webHidden/>
          </w:rPr>
          <w:instrText xml:space="preserve"> PAGEREF _Toc531625803 \h </w:instrText>
        </w:r>
        <w:r w:rsidR="001B3CBD">
          <w:rPr>
            <w:noProof/>
            <w:webHidden/>
          </w:rPr>
        </w:r>
        <w:r w:rsidR="001B3CBD">
          <w:rPr>
            <w:noProof/>
            <w:webHidden/>
          </w:rPr>
          <w:fldChar w:fldCharType="separate"/>
        </w:r>
        <w:r w:rsidR="001B3CBD">
          <w:rPr>
            <w:noProof/>
            <w:webHidden/>
          </w:rPr>
          <w:t>104</w:t>
        </w:r>
        <w:r w:rsidR="001B3CBD">
          <w:rPr>
            <w:noProof/>
            <w:webHidden/>
          </w:rPr>
          <w:fldChar w:fldCharType="end"/>
        </w:r>
      </w:hyperlink>
    </w:p>
    <w:p w14:paraId="204FDA0C"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4" w:history="1">
        <w:r w:rsidR="001B3CBD" w:rsidRPr="00E60453">
          <w:rPr>
            <w:rStyle w:val="Hyperlink"/>
            <w:noProof/>
          </w:rPr>
          <w:t>Table 4.7 Drug use characteristics by ED presentations in 2009/10, 2010/11 and 2011/12</w:t>
        </w:r>
        <w:r w:rsidR="001B3CBD">
          <w:rPr>
            <w:noProof/>
            <w:webHidden/>
          </w:rPr>
          <w:tab/>
        </w:r>
        <w:r w:rsidR="001B3CBD">
          <w:rPr>
            <w:noProof/>
            <w:webHidden/>
          </w:rPr>
          <w:fldChar w:fldCharType="begin"/>
        </w:r>
        <w:r w:rsidR="001B3CBD">
          <w:rPr>
            <w:noProof/>
            <w:webHidden/>
          </w:rPr>
          <w:instrText xml:space="preserve"> PAGEREF _Toc531625804 \h </w:instrText>
        </w:r>
        <w:r w:rsidR="001B3CBD">
          <w:rPr>
            <w:noProof/>
            <w:webHidden/>
          </w:rPr>
        </w:r>
        <w:r w:rsidR="001B3CBD">
          <w:rPr>
            <w:noProof/>
            <w:webHidden/>
          </w:rPr>
          <w:fldChar w:fldCharType="separate"/>
        </w:r>
        <w:r w:rsidR="001B3CBD">
          <w:rPr>
            <w:noProof/>
            <w:webHidden/>
          </w:rPr>
          <w:t>106</w:t>
        </w:r>
        <w:r w:rsidR="001B3CBD">
          <w:rPr>
            <w:noProof/>
            <w:webHidden/>
          </w:rPr>
          <w:fldChar w:fldCharType="end"/>
        </w:r>
      </w:hyperlink>
    </w:p>
    <w:p w14:paraId="326CB270"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5" w:history="1">
        <w:r w:rsidR="001B3CBD" w:rsidRPr="00E60453">
          <w:rPr>
            <w:rStyle w:val="Hyperlink"/>
            <w:noProof/>
          </w:rPr>
          <w:t>Table 4.8 Median number of ED presentations and median hours of ED stay for 2010/11 AOD clients, 2009/10 to 2011/12</w:t>
        </w:r>
        <w:r w:rsidR="001B3CBD">
          <w:rPr>
            <w:noProof/>
            <w:webHidden/>
          </w:rPr>
          <w:tab/>
        </w:r>
        <w:r w:rsidR="001B3CBD">
          <w:rPr>
            <w:noProof/>
            <w:webHidden/>
          </w:rPr>
          <w:fldChar w:fldCharType="begin"/>
        </w:r>
        <w:r w:rsidR="001B3CBD">
          <w:rPr>
            <w:noProof/>
            <w:webHidden/>
          </w:rPr>
          <w:instrText xml:space="preserve"> PAGEREF _Toc531625805 \h </w:instrText>
        </w:r>
        <w:r w:rsidR="001B3CBD">
          <w:rPr>
            <w:noProof/>
            <w:webHidden/>
          </w:rPr>
        </w:r>
        <w:r w:rsidR="001B3CBD">
          <w:rPr>
            <w:noProof/>
            <w:webHidden/>
          </w:rPr>
          <w:fldChar w:fldCharType="separate"/>
        </w:r>
        <w:r w:rsidR="001B3CBD">
          <w:rPr>
            <w:noProof/>
            <w:webHidden/>
          </w:rPr>
          <w:t>107</w:t>
        </w:r>
        <w:r w:rsidR="001B3CBD">
          <w:rPr>
            <w:noProof/>
            <w:webHidden/>
          </w:rPr>
          <w:fldChar w:fldCharType="end"/>
        </w:r>
      </w:hyperlink>
    </w:p>
    <w:p w14:paraId="0F062F62"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6" w:history="1">
        <w:r w:rsidR="001B3CBD" w:rsidRPr="00E60453">
          <w:rPr>
            <w:rStyle w:val="Hyperlink"/>
            <w:noProof/>
          </w:rPr>
          <w:t>Table 4.9 ED presentations for alcohol-related acute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_Toc531625806 \h </w:instrText>
        </w:r>
        <w:r w:rsidR="001B3CBD">
          <w:rPr>
            <w:noProof/>
            <w:webHidden/>
          </w:rPr>
        </w:r>
        <w:r w:rsidR="001B3CBD">
          <w:rPr>
            <w:noProof/>
            <w:webHidden/>
          </w:rPr>
          <w:fldChar w:fldCharType="separate"/>
        </w:r>
        <w:r w:rsidR="001B3CBD">
          <w:rPr>
            <w:noProof/>
            <w:webHidden/>
          </w:rPr>
          <w:t>108</w:t>
        </w:r>
        <w:r w:rsidR="001B3CBD">
          <w:rPr>
            <w:noProof/>
            <w:webHidden/>
          </w:rPr>
          <w:fldChar w:fldCharType="end"/>
        </w:r>
      </w:hyperlink>
    </w:p>
    <w:p w14:paraId="7B547B05"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7" w:history="1">
        <w:r w:rsidR="001B3CBD" w:rsidRPr="00E60453">
          <w:rPr>
            <w:rStyle w:val="Hyperlink"/>
            <w:noProof/>
          </w:rPr>
          <w:t>Table 4.10 ED presentations for other drug-related acute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_Toc531625807 \h </w:instrText>
        </w:r>
        <w:r w:rsidR="001B3CBD">
          <w:rPr>
            <w:noProof/>
            <w:webHidden/>
          </w:rPr>
        </w:r>
        <w:r w:rsidR="001B3CBD">
          <w:rPr>
            <w:noProof/>
            <w:webHidden/>
          </w:rPr>
          <w:fldChar w:fldCharType="separate"/>
        </w:r>
        <w:r w:rsidR="001B3CBD">
          <w:rPr>
            <w:noProof/>
            <w:webHidden/>
          </w:rPr>
          <w:t>109</w:t>
        </w:r>
        <w:r w:rsidR="001B3CBD">
          <w:rPr>
            <w:noProof/>
            <w:webHidden/>
          </w:rPr>
          <w:fldChar w:fldCharType="end"/>
        </w:r>
      </w:hyperlink>
    </w:p>
    <w:p w14:paraId="73006666"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8" w:history="1">
        <w:r w:rsidR="001B3CBD" w:rsidRPr="00E60453">
          <w:rPr>
            <w:rStyle w:val="Hyperlink"/>
            <w:noProof/>
          </w:rPr>
          <w:t>Table 4.11 ED presentations for alcohol-related chronic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_Toc531625808 \h </w:instrText>
        </w:r>
        <w:r w:rsidR="001B3CBD">
          <w:rPr>
            <w:noProof/>
            <w:webHidden/>
          </w:rPr>
        </w:r>
        <w:r w:rsidR="001B3CBD">
          <w:rPr>
            <w:noProof/>
            <w:webHidden/>
          </w:rPr>
          <w:fldChar w:fldCharType="separate"/>
        </w:r>
        <w:r w:rsidR="001B3CBD">
          <w:rPr>
            <w:noProof/>
            <w:webHidden/>
          </w:rPr>
          <w:t>111</w:t>
        </w:r>
        <w:r w:rsidR="001B3CBD">
          <w:rPr>
            <w:noProof/>
            <w:webHidden/>
          </w:rPr>
          <w:fldChar w:fldCharType="end"/>
        </w:r>
      </w:hyperlink>
    </w:p>
    <w:p w14:paraId="7165535C"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09" w:history="1">
        <w:r w:rsidR="001B3CBD" w:rsidRPr="00E60453">
          <w:rPr>
            <w:rStyle w:val="Hyperlink"/>
            <w:noProof/>
          </w:rPr>
          <w:t>Table 4.12 ED presentations for injuries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_Toc531625809 \h </w:instrText>
        </w:r>
        <w:r w:rsidR="001B3CBD">
          <w:rPr>
            <w:noProof/>
            <w:webHidden/>
          </w:rPr>
        </w:r>
        <w:r w:rsidR="001B3CBD">
          <w:rPr>
            <w:noProof/>
            <w:webHidden/>
          </w:rPr>
          <w:fldChar w:fldCharType="separate"/>
        </w:r>
        <w:r w:rsidR="001B3CBD">
          <w:rPr>
            <w:noProof/>
            <w:webHidden/>
          </w:rPr>
          <w:t>112</w:t>
        </w:r>
        <w:r w:rsidR="001B3CBD">
          <w:rPr>
            <w:noProof/>
            <w:webHidden/>
          </w:rPr>
          <w:fldChar w:fldCharType="end"/>
        </w:r>
      </w:hyperlink>
    </w:p>
    <w:p w14:paraId="573BD772"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0" w:history="1">
        <w:r w:rsidR="001B3CBD" w:rsidRPr="00E60453">
          <w:rPr>
            <w:rStyle w:val="Hyperlink"/>
            <w:noProof/>
          </w:rPr>
          <w:t>Table 4.13 ED presentations for non-AOD-related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_Toc531625810 \h </w:instrText>
        </w:r>
        <w:r w:rsidR="001B3CBD">
          <w:rPr>
            <w:noProof/>
            <w:webHidden/>
          </w:rPr>
        </w:r>
        <w:r w:rsidR="001B3CBD">
          <w:rPr>
            <w:noProof/>
            <w:webHidden/>
          </w:rPr>
          <w:fldChar w:fldCharType="separate"/>
        </w:r>
        <w:r w:rsidR="001B3CBD">
          <w:rPr>
            <w:noProof/>
            <w:webHidden/>
          </w:rPr>
          <w:t>114</w:t>
        </w:r>
        <w:r w:rsidR="001B3CBD">
          <w:rPr>
            <w:noProof/>
            <w:webHidden/>
          </w:rPr>
          <w:fldChar w:fldCharType="end"/>
        </w:r>
      </w:hyperlink>
    </w:p>
    <w:p w14:paraId="2DC52754"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1" w:history="1">
        <w:r w:rsidR="001B3CBD" w:rsidRPr="00E60453">
          <w:rPr>
            <w:rStyle w:val="Hyperlink"/>
            <w:noProof/>
          </w:rPr>
          <w:t>Table 4.14 Sociodemographic characteristics by hospital admission, 2009/10 to 2011/12</w:t>
        </w:r>
        <w:r w:rsidR="001B3CBD">
          <w:rPr>
            <w:noProof/>
            <w:webHidden/>
          </w:rPr>
          <w:tab/>
        </w:r>
        <w:r w:rsidR="001B3CBD">
          <w:rPr>
            <w:noProof/>
            <w:webHidden/>
          </w:rPr>
          <w:fldChar w:fldCharType="begin"/>
        </w:r>
        <w:r w:rsidR="001B3CBD">
          <w:rPr>
            <w:noProof/>
            <w:webHidden/>
          </w:rPr>
          <w:instrText xml:space="preserve"> PAGEREF _Toc531625811 \h </w:instrText>
        </w:r>
        <w:r w:rsidR="001B3CBD">
          <w:rPr>
            <w:noProof/>
            <w:webHidden/>
          </w:rPr>
        </w:r>
        <w:r w:rsidR="001B3CBD">
          <w:rPr>
            <w:noProof/>
            <w:webHidden/>
          </w:rPr>
          <w:fldChar w:fldCharType="separate"/>
        </w:r>
        <w:r w:rsidR="001B3CBD">
          <w:rPr>
            <w:noProof/>
            <w:webHidden/>
          </w:rPr>
          <w:t>116</w:t>
        </w:r>
        <w:r w:rsidR="001B3CBD">
          <w:rPr>
            <w:noProof/>
            <w:webHidden/>
          </w:rPr>
          <w:fldChar w:fldCharType="end"/>
        </w:r>
      </w:hyperlink>
    </w:p>
    <w:p w14:paraId="7F827F1A"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2" w:history="1">
        <w:r w:rsidR="001B3CBD" w:rsidRPr="00E60453">
          <w:rPr>
            <w:rStyle w:val="Hyperlink"/>
            <w:noProof/>
          </w:rPr>
          <w:t>Table 4.15 Sociodemographic characteristics by hospital admission in 2009/10, 2010/11 and 2011/12</w:t>
        </w:r>
        <w:r w:rsidR="001B3CBD">
          <w:rPr>
            <w:noProof/>
            <w:webHidden/>
          </w:rPr>
          <w:tab/>
        </w:r>
        <w:r w:rsidR="001B3CBD">
          <w:rPr>
            <w:noProof/>
            <w:webHidden/>
          </w:rPr>
          <w:fldChar w:fldCharType="begin"/>
        </w:r>
        <w:r w:rsidR="001B3CBD">
          <w:rPr>
            <w:noProof/>
            <w:webHidden/>
          </w:rPr>
          <w:instrText xml:space="preserve"> PAGEREF _Toc531625812 \h </w:instrText>
        </w:r>
        <w:r w:rsidR="001B3CBD">
          <w:rPr>
            <w:noProof/>
            <w:webHidden/>
          </w:rPr>
        </w:r>
        <w:r w:rsidR="001B3CBD">
          <w:rPr>
            <w:noProof/>
            <w:webHidden/>
          </w:rPr>
          <w:fldChar w:fldCharType="separate"/>
        </w:r>
        <w:r w:rsidR="001B3CBD">
          <w:rPr>
            <w:noProof/>
            <w:webHidden/>
          </w:rPr>
          <w:t>120</w:t>
        </w:r>
        <w:r w:rsidR="001B3CBD">
          <w:rPr>
            <w:noProof/>
            <w:webHidden/>
          </w:rPr>
          <w:fldChar w:fldCharType="end"/>
        </w:r>
      </w:hyperlink>
    </w:p>
    <w:p w14:paraId="4C53147C"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3" w:history="1">
        <w:r w:rsidR="001B3CBD" w:rsidRPr="00E60453">
          <w:rPr>
            <w:rStyle w:val="Hyperlink"/>
            <w:noProof/>
          </w:rPr>
          <w:t>Table 4.16 Treatment type and treatment characteristics by admissions, 2009/10 to 2011/12</w:t>
        </w:r>
        <w:r w:rsidR="001B3CBD">
          <w:rPr>
            <w:noProof/>
            <w:webHidden/>
          </w:rPr>
          <w:tab/>
        </w:r>
        <w:r w:rsidR="001B3CBD">
          <w:rPr>
            <w:noProof/>
            <w:webHidden/>
          </w:rPr>
          <w:fldChar w:fldCharType="begin"/>
        </w:r>
        <w:r w:rsidR="001B3CBD">
          <w:rPr>
            <w:noProof/>
            <w:webHidden/>
          </w:rPr>
          <w:instrText xml:space="preserve"> PAGEREF _Toc531625813 \h </w:instrText>
        </w:r>
        <w:r w:rsidR="001B3CBD">
          <w:rPr>
            <w:noProof/>
            <w:webHidden/>
          </w:rPr>
        </w:r>
        <w:r w:rsidR="001B3CBD">
          <w:rPr>
            <w:noProof/>
            <w:webHidden/>
          </w:rPr>
          <w:fldChar w:fldCharType="separate"/>
        </w:r>
        <w:r w:rsidR="001B3CBD">
          <w:rPr>
            <w:noProof/>
            <w:webHidden/>
          </w:rPr>
          <w:t>123</w:t>
        </w:r>
        <w:r w:rsidR="001B3CBD">
          <w:rPr>
            <w:noProof/>
            <w:webHidden/>
          </w:rPr>
          <w:fldChar w:fldCharType="end"/>
        </w:r>
      </w:hyperlink>
    </w:p>
    <w:p w14:paraId="2A45C59F"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4" w:history="1">
        <w:r w:rsidR="001B3CBD" w:rsidRPr="00E60453">
          <w:rPr>
            <w:rStyle w:val="Hyperlink"/>
            <w:noProof/>
          </w:rPr>
          <w:t>Table 4.17 Treatment type and treatment characteristics by admissions in 2009/10, 2010/11 and 2011/12</w:t>
        </w:r>
        <w:r w:rsidR="001B3CBD">
          <w:rPr>
            <w:noProof/>
            <w:webHidden/>
          </w:rPr>
          <w:tab/>
        </w:r>
        <w:r w:rsidR="001B3CBD">
          <w:rPr>
            <w:noProof/>
            <w:webHidden/>
          </w:rPr>
          <w:fldChar w:fldCharType="begin"/>
        </w:r>
        <w:r w:rsidR="001B3CBD">
          <w:rPr>
            <w:noProof/>
            <w:webHidden/>
          </w:rPr>
          <w:instrText xml:space="preserve"> PAGEREF _Toc531625814 \h </w:instrText>
        </w:r>
        <w:r w:rsidR="001B3CBD">
          <w:rPr>
            <w:noProof/>
            <w:webHidden/>
          </w:rPr>
        </w:r>
        <w:r w:rsidR="001B3CBD">
          <w:rPr>
            <w:noProof/>
            <w:webHidden/>
          </w:rPr>
          <w:fldChar w:fldCharType="separate"/>
        </w:r>
        <w:r w:rsidR="001B3CBD">
          <w:rPr>
            <w:noProof/>
            <w:webHidden/>
          </w:rPr>
          <w:t>125</w:t>
        </w:r>
        <w:r w:rsidR="001B3CBD">
          <w:rPr>
            <w:noProof/>
            <w:webHidden/>
          </w:rPr>
          <w:fldChar w:fldCharType="end"/>
        </w:r>
      </w:hyperlink>
    </w:p>
    <w:p w14:paraId="51BB1FCE"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5" w:history="1">
        <w:r w:rsidR="001B3CBD" w:rsidRPr="00E60453">
          <w:rPr>
            <w:rStyle w:val="Hyperlink"/>
            <w:noProof/>
          </w:rPr>
          <w:t>Table 4.18 Drug use characteristics by hospital admission, 2009/10 to 2011/12</w:t>
        </w:r>
        <w:r w:rsidR="001B3CBD">
          <w:rPr>
            <w:noProof/>
            <w:webHidden/>
          </w:rPr>
          <w:tab/>
        </w:r>
        <w:r w:rsidR="001B3CBD">
          <w:rPr>
            <w:noProof/>
            <w:webHidden/>
          </w:rPr>
          <w:fldChar w:fldCharType="begin"/>
        </w:r>
        <w:r w:rsidR="001B3CBD">
          <w:rPr>
            <w:noProof/>
            <w:webHidden/>
          </w:rPr>
          <w:instrText xml:space="preserve"> PAGEREF _Toc531625815 \h </w:instrText>
        </w:r>
        <w:r w:rsidR="001B3CBD">
          <w:rPr>
            <w:noProof/>
            <w:webHidden/>
          </w:rPr>
        </w:r>
        <w:r w:rsidR="001B3CBD">
          <w:rPr>
            <w:noProof/>
            <w:webHidden/>
          </w:rPr>
          <w:fldChar w:fldCharType="separate"/>
        </w:r>
        <w:r w:rsidR="001B3CBD">
          <w:rPr>
            <w:noProof/>
            <w:webHidden/>
          </w:rPr>
          <w:t>127</w:t>
        </w:r>
        <w:r w:rsidR="001B3CBD">
          <w:rPr>
            <w:noProof/>
            <w:webHidden/>
          </w:rPr>
          <w:fldChar w:fldCharType="end"/>
        </w:r>
      </w:hyperlink>
    </w:p>
    <w:p w14:paraId="12C000C6"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6" w:history="1">
        <w:r w:rsidR="001B3CBD" w:rsidRPr="00E60453">
          <w:rPr>
            <w:rStyle w:val="Hyperlink"/>
            <w:noProof/>
          </w:rPr>
          <w:t>Table 4.19 Drug use characteristics by hospital admission, 2009/10, 2010/11 and 2011/12</w:t>
        </w:r>
        <w:r w:rsidR="001B3CBD">
          <w:rPr>
            <w:noProof/>
            <w:webHidden/>
          </w:rPr>
          <w:tab/>
        </w:r>
        <w:r w:rsidR="001B3CBD">
          <w:rPr>
            <w:noProof/>
            <w:webHidden/>
          </w:rPr>
          <w:fldChar w:fldCharType="begin"/>
        </w:r>
        <w:r w:rsidR="001B3CBD">
          <w:rPr>
            <w:noProof/>
            <w:webHidden/>
          </w:rPr>
          <w:instrText xml:space="preserve"> PAGEREF _Toc531625816 \h </w:instrText>
        </w:r>
        <w:r w:rsidR="001B3CBD">
          <w:rPr>
            <w:noProof/>
            <w:webHidden/>
          </w:rPr>
        </w:r>
        <w:r w:rsidR="001B3CBD">
          <w:rPr>
            <w:noProof/>
            <w:webHidden/>
          </w:rPr>
          <w:fldChar w:fldCharType="separate"/>
        </w:r>
        <w:r w:rsidR="001B3CBD">
          <w:rPr>
            <w:noProof/>
            <w:webHidden/>
          </w:rPr>
          <w:t>129</w:t>
        </w:r>
        <w:r w:rsidR="001B3CBD">
          <w:rPr>
            <w:noProof/>
            <w:webHidden/>
          </w:rPr>
          <w:fldChar w:fldCharType="end"/>
        </w:r>
      </w:hyperlink>
    </w:p>
    <w:p w14:paraId="6AEA64B9"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7" w:history="1">
        <w:r w:rsidR="001B3CBD" w:rsidRPr="00E60453">
          <w:rPr>
            <w:rStyle w:val="Hyperlink"/>
            <w:noProof/>
          </w:rPr>
          <w:t>Table 4.20 Median number of hospital admissions and length of stay</w:t>
        </w:r>
        <w:r w:rsidR="001B3CBD">
          <w:rPr>
            <w:noProof/>
            <w:webHidden/>
          </w:rPr>
          <w:tab/>
        </w:r>
        <w:r w:rsidR="001B3CBD">
          <w:rPr>
            <w:noProof/>
            <w:webHidden/>
          </w:rPr>
          <w:fldChar w:fldCharType="begin"/>
        </w:r>
        <w:r w:rsidR="001B3CBD">
          <w:rPr>
            <w:noProof/>
            <w:webHidden/>
          </w:rPr>
          <w:instrText xml:space="preserve"> PAGEREF _Toc531625817 \h </w:instrText>
        </w:r>
        <w:r w:rsidR="001B3CBD">
          <w:rPr>
            <w:noProof/>
            <w:webHidden/>
          </w:rPr>
        </w:r>
        <w:r w:rsidR="001B3CBD">
          <w:rPr>
            <w:noProof/>
            <w:webHidden/>
          </w:rPr>
          <w:fldChar w:fldCharType="separate"/>
        </w:r>
        <w:r w:rsidR="001B3CBD">
          <w:rPr>
            <w:noProof/>
            <w:webHidden/>
          </w:rPr>
          <w:t>130</w:t>
        </w:r>
        <w:r w:rsidR="001B3CBD">
          <w:rPr>
            <w:noProof/>
            <w:webHidden/>
          </w:rPr>
          <w:fldChar w:fldCharType="end"/>
        </w:r>
      </w:hyperlink>
    </w:p>
    <w:p w14:paraId="3D270145"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8" w:history="1">
        <w:r w:rsidR="001B3CBD" w:rsidRPr="00E60453">
          <w:rPr>
            <w:rStyle w:val="Hyperlink"/>
            <w:noProof/>
          </w:rPr>
          <w:t>Table 4.21 Admissions for alcohol-related acute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_Toc531625818 \h </w:instrText>
        </w:r>
        <w:r w:rsidR="001B3CBD">
          <w:rPr>
            <w:noProof/>
            <w:webHidden/>
          </w:rPr>
        </w:r>
        <w:r w:rsidR="001B3CBD">
          <w:rPr>
            <w:noProof/>
            <w:webHidden/>
          </w:rPr>
          <w:fldChar w:fldCharType="separate"/>
        </w:r>
        <w:r w:rsidR="001B3CBD">
          <w:rPr>
            <w:noProof/>
            <w:webHidden/>
          </w:rPr>
          <w:t>131</w:t>
        </w:r>
        <w:r w:rsidR="001B3CBD">
          <w:rPr>
            <w:noProof/>
            <w:webHidden/>
          </w:rPr>
          <w:fldChar w:fldCharType="end"/>
        </w:r>
      </w:hyperlink>
    </w:p>
    <w:p w14:paraId="1C689BD8"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19" w:history="1">
        <w:r w:rsidR="001B3CBD" w:rsidRPr="00E60453">
          <w:rPr>
            <w:rStyle w:val="Hyperlink"/>
            <w:noProof/>
          </w:rPr>
          <w:t>Table 4.22 Admissions for other drug-related acute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_Toc531625819 \h </w:instrText>
        </w:r>
        <w:r w:rsidR="001B3CBD">
          <w:rPr>
            <w:noProof/>
            <w:webHidden/>
          </w:rPr>
        </w:r>
        <w:r w:rsidR="001B3CBD">
          <w:rPr>
            <w:noProof/>
            <w:webHidden/>
          </w:rPr>
          <w:fldChar w:fldCharType="separate"/>
        </w:r>
        <w:r w:rsidR="001B3CBD">
          <w:rPr>
            <w:noProof/>
            <w:webHidden/>
          </w:rPr>
          <w:t>132</w:t>
        </w:r>
        <w:r w:rsidR="001B3CBD">
          <w:rPr>
            <w:noProof/>
            <w:webHidden/>
          </w:rPr>
          <w:fldChar w:fldCharType="end"/>
        </w:r>
      </w:hyperlink>
    </w:p>
    <w:p w14:paraId="742F76E5"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20" w:history="1">
        <w:r w:rsidR="001B3CBD" w:rsidRPr="00E60453">
          <w:rPr>
            <w:rStyle w:val="Hyperlink"/>
            <w:noProof/>
          </w:rPr>
          <w:t>Table 4.23 Admissions for alcohol-related chronic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_Toc531625820 \h </w:instrText>
        </w:r>
        <w:r w:rsidR="001B3CBD">
          <w:rPr>
            <w:noProof/>
            <w:webHidden/>
          </w:rPr>
        </w:r>
        <w:r w:rsidR="001B3CBD">
          <w:rPr>
            <w:noProof/>
            <w:webHidden/>
          </w:rPr>
          <w:fldChar w:fldCharType="separate"/>
        </w:r>
        <w:r w:rsidR="001B3CBD">
          <w:rPr>
            <w:noProof/>
            <w:webHidden/>
          </w:rPr>
          <w:t>133</w:t>
        </w:r>
        <w:r w:rsidR="001B3CBD">
          <w:rPr>
            <w:noProof/>
            <w:webHidden/>
          </w:rPr>
          <w:fldChar w:fldCharType="end"/>
        </w:r>
      </w:hyperlink>
    </w:p>
    <w:p w14:paraId="5BF12FB1"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21" w:history="1">
        <w:r w:rsidR="001B3CBD" w:rsidRPr="00E60453">
          <w:rPr>
            <w:rStyle w:val="Hyperlink"/>
            <w:noProof/>
          </w:rPr>
          <w:t>Table 4.24 Admissions for injuries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_Toc531625821 \h </w:instrText>
        </w:r>
        <w:r w:rsidR="001B3CBD">
          <w:rPr>
            <w:noProof/>
            <w:webHidden/>
          </w:rPr>
        </w:r>
        <w:r w:rsidR="001B3CBD">
          <w:rPr>
            <w:noProof/>
            <w:webHidden/>
          </w:rPr>
          <w:fldChar w:fldCharType="separate"/>
        </w:r>
        <w:r w:rsidR="001B3CBD">
          <w:rPr>
            <w:noProof/>
            <w:webHidden/>
          </w:rPr>
          <w:t>135</w:t>
        </w:r>
        <w:r w:rsidR="001B3CBD">
          <w:rPr>
            <w:noProof/>
            <w:webHidden/>
          </w:rPr>
          <w:fldChar w:fldCharType="end"/>
        </w:r>
      </w:hyperlink>
    </w:p>
    <w:p w14:paraId="4EBF86EC" w14:textId="77777777" w:rsidR="001B3CBD" w:rsidRDefault="009A63CC">
      <w:pPr>
        <w:pStyle w:val="TableofFigures"/>
        <w:tabs>
          <w:tab w:val="right" w:leader="dot" w:pos="9016"/>
        </w:tabs>
        <w:rPr>
          <w:rFonts w:asciiTheme="minorHAnsi" w:eastAsiaTheme="minorEastAsia" w:hAnsiTheme="minorHAnsi"/>
          <w:noProof/>
          <w:sz w:val="22"/>
          <w:lang w:eastAsia="en-AU"/>
        </w:rPr>
      </w:pPr>
      <w:hyperlink w:anchor="_Toc531625822" w:history="1">
        <w:r w:rsidR="001B3CBD" w:rsidRPr="00E60453">
          <w:rPr>
            <w:rStyle w:val="Hyperlink"/>
            <w:noProof/>
          </w:rPr>
          <w:t>Table 4.25 Admissions for non-AOD-related conditions by AOD treatment type, primary drug of concern and treatment termination status, 2009/10, 2010/11 and 2011/12</w:t>
        </w:r>
        <w:r w:rsidR="001B3CBD">
          <w:rPr>
            <w:noProof/>
            <w:webHidden/>
          </w:rPr>
          <w:tab/>
        </w:r>
        <w:r w:rsidR="001B3CBD">
          <w:rPr>
            <w:noProof/>
            <w:webHidden/>
          </w:rPr>
          <w:fldChar w:fldCharType="begin"/>
        </w:r>
        <w:r w:rsidR="001B3CBD">
          <w:rPr>
            <w:noProof/>
            <w:webHidden/>
          </w:rPr>
          <w:instrText xml:space="preserve"> PAGEREF _Toc531625822 \h </w:instrText>
        </w:r>
        <w:r w:rsidR="001B3CBD">
          <w:rPr>
            <w:noProof/>
            <w:webHidden/>
          </w:rPr>
        </w:r>
        <w:r w:rsidR="001B3CBD">
          <w:rPr>
            <w:noProof/>
            <w:webHidden/>
          </w:rPr>
          <w:fldChar w:fldCharType="separate"/>
        </w:r>
        <w:r w:rsidR="001B3CBD">
          <w:rPr>
            <w:noProof/>
            <w:webHidden/>
          </w:rPr>
          <w:t>136</w:t>
        </w:r>
        <w:r w:rsidR="001B3CBD">
          <w:rPr>
            <w:noProof/>
            <w:webHidden/>
          </w:rPr>
          <w:fldChar w:fldCharType="end"/>
        </w:r>
      </w:hyperlink>
    </w:p>
    <w:p w14:paraId="38A45C20" w14:textId="0AE6DCDF" w:rsidR="00635397" w:rsidRPr="00FB60E5" w:rsidRDefault="00BE3D19" w:rsidP="001B3CBD">
      <w:pPr>
        <w:pStyle w:val="Header"/>
      </w:pPr>
      <w:r w:rsidRPr="00FB60E5">
        <w:lastRenderedPageBreak/>
        <w:fldChar w:fldCharType="end"/>
      </w:r>
      <w:bookmarkStart w:id="31" w:name="_Toc398105034"/>
      <w:r w:rsidR="00635397" w:rsidRPr="00FB60E5">
        <w:t>List of figures</w:t>
      </w:r>
      <w:bookmarkEnd w:id="31"/>
    </w:p>
    <w:p w14:paraId="11249B29" w14:textId="77777777" w:rsidR="00BD7BD8" w:rsidRDefault="00BE3D19">
      <w:pPr>
        <w:pStyle w:val="TableofFigures"/>
        <w:tabs>
          <w:tab w:val="right" w:pos="9016"/>
        </w:tabs>
        <w:rPr>
          <w:rFonts w:asciiTheme="minorHAnsi" w:eastAsiaTheme="minorEastAsia" w:hAnsiTheme="minorHAnsi"/>
          <w:noProof/>
          <w:sz w:val="22"/>
          <w:lang w:eastAsia="en-AU"/>
        </w:rPr>
      </w:pPr>
      <w:r w:rsidRPr="00FB60E5">
        <w:fldChar w:fldCharType="begin"/>
      </w:r>
      <w:r w:rsidR="00635397" w:rsidRPr="00FB60E5">
        <w:instrText xml:space="preserve"> TOC \h \z \c "Figure" </w:instrText>
      </w:r>
      <w:r w:rsidRPr="00FB60E5">
        <w:fldChar w:fldCharType="separate"/>
      </w:r>
      <w:hyperlink w:anchor="_Toc531625763" w:history="1">
        <w:r w:rsidR="00BD7BD8" w:rsidRPr="00BA0972">
          <w:rPr>
            <w:rStyle w:val="Hyperlink"/>
            <w:noProof/>
          </w:rPr>
          <w:t>Figure 1.1 Conceptual model of AOD treatment system and its connections with other sectors examined as part of the patient pathway in the current study (adapted from Babor et al., 2008)</w:t>
        </w:r>
        <w:r w:rsidR="00BD7BD8">
          <w:rPr>
            <w:noProof/>
            <w:webHidden/>
          </w:rPr>
          <w:tab/>
        </w:r>
        <w:r w:rsidR="00BD7BD8">
          <w:rPr>
            <w:noProof/>
            <w:webHidden/>
          </w:rPr>
          <w:fldChar w:fldCharType="begin"/>
        </w:r>
        <w:r w:rsidR="00BD7BD8">
          <w:rPr>
            <w:noProof/>
            <w:webHidden/>
          </w:rPr>
          <w:instrText xml:space="preserve"> PAGEREF _Toc531625763 \h </w:instrText>
        </w:r>
        <w:r w:rsidR="00BD7BD8">
          <w:rPr>
            <w:noProof/>
            <w:webHidden/>
          </w:rPr>
        </w:r>
        <w:r w:rsidR="00BD7BD8">
          <w:rPr>
            <w:noProof/>
            <w:webHidden/>
          </w:rPr>
          <w:fldChar w:fldCharType="separate"/>
        </w:r>
        <w:r w:rsidR="00BD7BD8">
          <w:rPr>
            <w:noProof/>
            <w:webHidden/>
          </w:rPr>
          <w:t>26</w:t>
        </w:r>
        <w:r w:rsidR="00BD7BD8">
          <w:rPr>
            <w:noProof/>
            <w:webHidden/>
          </w:rPr>
          <w:fldChar w:fldCharType="end"/>
        </w:r>
      </w:hyperlink>
    </w:p>
    <w:p w14:paraId="44613ED3"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64" w:history="1">
        <w:r w:rsidR="00BD7BD8" w:rsidRPr="00BA0972">
          <w:rPr>
            <w:rStyle w:val="Hyperlink"/>
            <w:noProof/>
          </w:rPr>
          <w:t>Figure 3.1 Primary drug of concern</w:t>
        </w:r>
        <w:r w:rsidR="00BD7BD8">
          <w:rPr>
            <w:noProof/>
            <w:webHidden/>
          </w:rPr>
          <w:tab/>
        </w:r>
        <w:r w:rsidR="00BD7BD8">
          <w:rPr>
            <w:noProof/>
            <w:webHidden/>
          </w:rPr>
          <w:fldChar w:fldCharType="begin"/>
        </w:r>
        <w:r w:rsidR="00BD7BD8">
          <w:rPr>
            <w:noProof/>
            <w:webHidden/>
          </w:rPr>
          <w:instrText xml:space="preserve"> PAGEREF _Toc531625764 \h </w:instrText>
        </w:r>
        <w:r w:rsidR="00BD7BD8">
          <w:rPr>
            <w:noProof/>
            <w:webHidden/>
          </w:rPr>
        </w:r>
        <w:r w:rsidR="00BD7BD8">
          <w:rPr>
            <w:noProof/>
            <w:webHidden/>
          </w:rPr>
          <w:fldChar w:fldCharType="separate"/>
        </w:r>
        <w:r w:rsidR="00BD7BD8">
          <w:rPr>
            <w:noProof/>
            <w:webHidden/>
          </w:rPr>
          <w:t>48</w:t>
        </w:r>
        <w:r w:rsidR="00BD7BD8">
          <w:rPr>
            <w:noProof/>
            <w:webHidden/>
          </w:rPr>
          <w:fldChar w:fldCharType="end"/>
        </w:r>
      </w:hyperlink>
    </w:p>
    <w:p w14:paraId="61B3F0B4"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65" w:history="1">
        <w:r w:rsidR="00BD7BD8" w:rsidRPr="00BA0972">
          <w:rPr>
            <w:rStyle w:val="Hyperlink"/>
            <w:noProof/>
          </w:rPr>
          <w:t>Figure 3.2 Proportion of participants who nominated alcohol as a drug of concern endorsing each alcohol-related treatment goal</w:t>
        </w:r>
        <w:r w:rsidR="00BD7BD8">
          <w:rPr>
            <w:noProof/>
            <w:webHidden/>
          </w:rPr>
          <w:tab/>
        </w:r>
        <w:r w:rsidR="00BD7BD8">
          <w:rPr>
            <w:noProof/>
            <w:webHidden/>
          </w:rPr>
          <w:fldChar w:fldCharType="begin"/>
        </w:r>
        <w:r w:rsidR="00BD7BD8">
          <w:rPr>
            <w:noProof/>
            <w:webHidden/>
          </w:rPr>
          <w:instrText xml:space="preserve"> PAGEREF _Toc531625765 \h </w:instrText>
        </w:r>
        <w:r w:rsidR="00BD7BD8">
          <w:rPr>
            <w:noProof/>
            <w:webHidden/>
          </w:rPr>
        </w:r>
        <w:r w:rsidR="00BD7BD8">
          <w:rPr>
            <w:noProof/>
            <w:webHidden/>
          </w:rPr>
          <w:fldChar w:fldCharType="separate"/>
        </w:r>
        <w:r w:rsidR="00BD7BD8">
          <w:rPr>
            <w:noProof/>
            <w:webHidden/>
          </w:rPr>
          <w:t>50</w:t>
        </w:r>
        <w:r w:rsidR="00BD7BD8">
          <w:rPr>
            <w:noProof/>
            <w:webHidden/>
          </w:rPr>
          <w:fldChar w:fldCharType="end"/>
        </w:r>
      </w:hyperlink>
    </w:p>
    <w:p w14:paraId="4F26113E"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66" w:history="1">
        <w:r w:rsidR="00BD7BD8" w:rsidRPr="00BA0972">
          <w:rPr>
            <w:rStyle w:val="Hyperlink"/>
            <w:noProof/>
          </w:rPr>
          <w:t>Figure 3.3 Proportion of participants who nominated any substance other than alcohol or tobacco as a drug of concern endorsing each drug-related treatment goal</w:t>
        </w:r>
        <w:r w:rsidR="00BD7BD8">
          <w:rPr>
            <w:noProof/>
            <w:webHidden/>
          </w:rPr>
          <w:tab/>
        </w:r>
        <w:r w:rsidR="00BD7BD8">
          <w:rPr>
            <w:noProof/>
            <w:webHidden/>
          </w:rPr>
          <w:fldChar w:fldCharType="begin"/>
        </w:r>
        <w:r w:rsidR="00BD7BD8">
          <w:rPr>
            <w:noProof/>
            <w:webHidden/>
          </w:rPr>
          <w:instrText xml:space="preserve"> PAGEREF _Toc531625766 \h </w:instrText>
        </w:r>
        <w:r w:rsidR="00BD7BD8">
          <w:rPr>
            <w:noProof/>
            <w:webHidden/>
          </w:rPr>
        </w:r>
        <w:r w:rsidR="00BD7BD8">
          <w:rPr>
            <w:noProof/>
            <w:webHidden/>
          </w:rPr>
          <w:fldChar w:fldCharType="separate"/>
        </w:r>
        <w:r w:rsidR="00BD7BD8">
          <w:rPr>
            <w:noProof/>
            <w:webHidden/>
          </w:rPr>
          <w:t>50</w:t>
        </w:r>
        <w:r w:rsidR="00BD7BD8">
          <w:rPr>
            <w:noProof/>
            <w:webHidden/>
          </w:rPr>
          <w:fldChar w:fldCharType="end"/>
        </w:r>
      </w:hyperlink>
    </w:p>
    <w:p w14:paraId="027047ED"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67" w:history="1">
        <w:r w:rsidR="00BD7BD8" w:rsidRPr="00BA0972">
          <w:rPr>
            <w:rStyle w:val="Hyperlink"/>
            <w:noProof/>
          </w:rPr>
          <w:t>Figure 3.4 Overview of cohort recruitment, participation and outcome rates</w:t>
        </w:r>
        <w:r w:rsidR="00BD7BD8">
          <w:rPr>
            <w:noProof/>
            <w:webHidden/>
          </w:rPr>
          <w:tab/>
        </w:r>
        <w:r w:rsidR="00BD7BD8">
          <w:rPr>
            <w:noProof/>
            <w:webHidden/>
          </w:rPr>
          <w:fldChar w:fldCharType="begin"/>
        </w:r>
        <w:r w:rsidR="00BD7BD8">
          <w:rPr>
            <w:noProof/>
            <w:webHidden/>
          </w:rPr>
          <w:instrText xml:space="preserve"> PAGEREF _Toc531625767 \h </w:instrText>
        </w:r>
        <w:r w:rsidR="00BD7BD8">
          <w:rPr>
            <w:noProof/>
            <w:webHidden/>
          </w:rPr>
        </w:r>
        <w:r w:rsidR="00BD7BD8">
          <w:rPr>
            <w:noProof/>
            <w:webHidden/>
          </w:rPr>
          <w:fldChar w:fldCharType="separate"/>
        </w:r>
        <w:r w:rsidR="00BD7BD8">
          <w:rPr>
            <w:noProof/>
            <w:webHidden/>
          </w:rPr>
          <w:t>55</w:t>
        </w:r>
        <w:r w:rsidR="00BD7BD8">
          <w:rPr>
            <w:noProof/>
            <w:webHidden/>
          </w:rPr>
          <w:fldChar w:fldCharType="end"/>
        </w:r>
      </w:hyperlink>
    </w:p>
    <w:p w14:paraId="2883FEC1"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68" w:history="1">
        <w:r w:rsidR="00BD7BD8" w:rsidRPr="00BA0972">
          <w:rPr>
            <w:rStyle w:val="Hyperlink"/>
            <w:noProof/>
          </w:rPr>
          <w:t>Figure 3.5 Differences in rates of abstinence for PDOC and all DOCs when the PDOC is the indicated substance</w:t>
        </w:r>
        <w:r w:rsidR="00BD7BD8">
          <w:rPr>
            <w:noProof/>
            <w:webHidden/>
          </w:rPr>
          <w:tab/>
        </w:r>
        <w:r w:rsidR="00BD7BD8">
          <w:rPr>
            <w:noProof/>
            <w:webHidden/>
          </w:rPr>
          <w:fldChar w:fldCharType="begin"/>
        </w:r>
        <w:r w:rsidR="00BD7BD8">
          <w:rPr>
            <w:noProof/>
            <w:webHidden/>
          </w:rPr>
          <w:instrText xml:space="preserve"> PAGEREF _Toc531625768 \h </w:instrText>
        </w:r>
        <w:r w:rsidR="00BD7BD8">
          <w:rPr>
            <w:noProof/>
            <w:webHidden/>
          </w:rPr>
        </w:r>
        <w:r w:rsidR="00BD7BD8">
          <w:rPr>
            <w:noProof/>
            <w:webHidden/>
          </w:rPr>
          <w:fldChar w:fldCharType="separate"/>
        </w:r>
        <w:r w:rsidR="00BD7BD8">
          <w:rPr>
            <w:noProof/>
            <w:webHidden/>
          </w:rPr>
          <w:t>60</w:t>
        </w:r>
        <w:r w:rsidR="00BD7BD8">
          <w:rPr>
            <w:noProof/>
            <w:webHidden/>
          </w:rPr>
          <w:fldChar w:fldCharType="end"/>
        </w:r>
      </w:hyperlink>
    </w:p>
    <w:p w14:paraId="6AD0F9AB"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69" w:history="1">
        <w:r w:rsidR="00BD7BD8" w:rsidRPr="00BA0972">
          <w:rPr>
            <w:rStyle w:val="Hyperlink"/>
            <w:noProof/>
          </w:rPr>
          <w:t>Figure 3.6 Abstinence rates from PDOC and all DOCs by PIT type</w:t>
        </w:r>
        <w:r w:rsidR="00BD7BD8">
          <w:rPr>
            <w:noProof/>
            <w:webHidden/>
          </w:rPr>
          <w:tab/>
        </w:r>
        <w:r w:rsidR="00BD7BD8">
          <w:rPr>
            <w:noProof/>
            <w:webHidden/>
          </w:rPr>
          <w:fldChar w:fldCharType="begin"/>
        </w:r>
        <w:r w:rsidR="00BD7BD8">
          <w:rPr>
            <w:noProof/>
            <w:webHidden/>
          </w:rPr>
          <w:instrText xml:space="preserve"> PAGEREF _Toc531625769 \h </w:instrText>
        </w:r>
        <w:r w:rsidR="00BD7BD8">
          <w:rPr>
            <w:noProof/>
            <w:webHidden/>
          </w:rPr>
        </w:r>
        <w:r w:rsidR="00BD7BD8">
          <w:rPr>
            <w:noProof/>
            <w:webHidden/>
          </w:rPr>
          <w:fldChar w:fldCharType="separate"/>
        </w:r>
        <w:r w:rsidR="00BD7BD8">
          <w:rPr>
            <w:noProof/>
            <w:webHidden/>
          </w:rPr>
          <w:t>61</w:t>
        </w:r>
        <w:r w:rsidR="00BD7BD8">
          <w:rPr>
            <w:noProof/>
            <w:webHidden/>
          </w:rPr>
          <w:fldChar w:fldCharType="end"/>
        </w:r>
      </w:hyperlink>
    </w:p>
    <w:p w14:paraId="6E0717DE"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70" w:history="1">
        <w:r w:rsidR="00BD7BD8" w:rsidRPr="00BA0972">
          <w:rPr>
            <w:rStyle w:val="Hyperlink"/>
            <w:noProof/>
          </w:rPr>
          <w:t>Figure 3.7 Proportion of participants (total sample) achieving different degrees of treatment success (frequency of use)</w:t>
        </w:r>
        <w:r w:rsidR="00BD7BD8">
          <w:rPr>
            <w:noProof/>
            <w:webHidden/>
          </w:rPr>
          <w:tab/>
        </w:r>
        <w:r w:rsidR="00BD7BD8">
          <w:rPr>
            <w:noProof/>
            <w:webHidden/>
          </w:rPr>
          <w:fldChar w:fldCharType="begin"/>
        </w:r>
        <w:r w:rsidR="00BD7BD8">
          <w:rPr>
            <w:noProof/>
            <w:webHidden/>
          </w:rPr>
          <w:instrText xml:space="preserve"> PAGEREF _Toc531625770 \h </w:instrText>
        </w:r>
        <w:r w:rsidR="00BD7BD8">
          <w:rPr>
            <w:noProof/>
            <w:webHidden/>
          </w:rPr>
        </w:r>
        <w:r w:rsidR="00BD7BD8">
          <w:rPr>
            <w:noProof/>
            <w:webHidden/>
          </w:rPr>
          <w:fldChar w:fldCharType="separate"/>
        </w:r>
        <w:r w:rsidR="00BD7BD8">
          <w:rPr>
            <w:noProof/>
            <w:webHidden/>
          </w:rPr>
          <w:t>62</w:t>
        </w:r>
        <w:r w:rsidR="00BD7BD8">
          <w:rPr>
            <w:noProof/>
            <w:webHidden/>
          </w:rPr>
          <w:fldChar w:fldCharType="end"/>
        </w:r>
      </w:hyperlink>
    </w:p>
    <w:p w14:paraId="212B9E81"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71" w:history="1">
        <w:r w:rsidR="00BD7BD8" w:rsidRPr="00BA0972">
          <w:rPr>
            <w:rStyle w:val="Hyperlink"/>
            <w:noProof/>
          </w:rPr>
          <w:t>Figure 3.8 Direction of change in each WHO-QOL domain between baseline and follow-up</w:t>
        </w:r>
        <w:r w:rsidR="00BD7BD8">
          <w:rPr>
            <w:noProof/>
            <w:webHidden/>
          </w:rPr>
          <w:tab/>
        </w:r>
        <w:r w:rsidR="00BD7BD8">
          <w:rPr>
            <w:noProof/>
            <w:webHidden/>
          </w:rPr>
          <w:fldChar w:fldCharType="begin"/>
        </w:r>
        <w:r w:rsidR="00BD7BD8">
          <w:rPr>
            <w:noProof/>
            <w:webHidden/>
          </w:rPr>
          <w:instrText xml:space="preserve"> PAGEREF _Toc531625771 \h </w:instrText>
        </w:r>
        <w:r w:rsidR="00BD7BD8">
          <w:rPr>
            <w:noProof/>
            <w:webHidden/>
          </w:rPr>
        </w:r>
        <w:r w:rsidR="00BD7BD8">
          <w:rPr>
            <w:noProof/>
            <w:webHidden/>
          </w:rPr>
          <w:fldChar w:fldCharType="separate"/>
        </w:r>
        <w:r w:rsidR="00BD7BD8">
          <w:rPr>
            <w:noProof/>
            <w:webHidden/>
          </w:rPr>
          <w:t>64</w:t>
        </w:r>
        <w:r w:rsidR="00BD7BD8">
          <w:rPr>
            <w:noProof/>
            <w:webHidden/>
          </w:rPr>
          <w:fldChar w:fldCharType="end"/>
        </w:r>
      </w:hyperlink>
    </w:p>
    <w:p w14:paraId="216C8246" w14:textId="77777777" w:rsidR="00BD7BD8" w:rsidRDefault="009A63CC">
      <w:pPr>
        <w:pStyle w:val="TableofFigures"/>
        <w:tabs>
          <w:tab w:val="right" w:pos="9016"/>
        </w:tabs>
        <w:rPr>
          <w:rFonts w:asciiTheme="minorHAnsi" w:eastAsiaTheme="minorEastAsia" w:hAnsiTheme="minorHAnsi"/>
          <w:noProof/>
          <w:sz w:val="22"/>
          <w:lang w:eastAsia="en-AU"/>
        </w:rPr>
      </w:pPr>
      <w:hyperlink w:anchor="_Toc531625772" w:history="1">
        <w:r w:rsidR="00BD7BD8" w:rsidRPr="00BA0972">
          <w:rPr>
            <w:rStyle w:val="Hyperlink"/>
            <w:noProof/>
          </w:rPr>
          <w:t>Figure 3.9 Proportion of participants receiving the various levels of optimal care pathways</w:t>
        </w:r>
        <w:r w:rsidR="00BD7BD8">
          <w:rPr>
            <w:noProof/>
            <w:webHidden/>
          </w:rPr>
          <w:tab/>
        </w:r>
        <w:r w:rsidR="00BD7BD8">
          <w:rPr>
            <w:noProof/>
            <w:webHidden/>
          </w:rPr>
          <w:fldChar w:fldCharType="begin"/>
        </w:r>
        <w:r w:rsidR="00BD7BD8">
          <w:rPr>
            <w:noProof/>
            <w:webHidden/>
          </w:rPr>
          <w:instrText xml:space="preserve"> PAGEREF _Toc531625772 \h </w:instrText>
        </w:r>
        <w:r w:rsidR="00BD7BD8">
          <w:rPr>
            <w:noProof/>
            <w:webHidden/>
          </w:rPr>
        </w:r>
        <w:r w:rsidR="00BD7BD8">
          <w:rPr>
            <w:noProof/>
            <w:webHidden/>
          </w:rPr>
          <w:fldChar w:fldCharType="separate"/>
        </w:r>
        <w:r w:rsidR="00BD7BD8">
          <w:rPr>
            <w:noProof/>
            <w:webHidden/>
          </w:rPr>
          <w:t>68</w:t>
        </w:r>
        <w:r w:rsidR="00BD7BD8">
          <w:rPr>
            <w:noProof/>
            <w:webHidden/>
          </w:rPr>
          <w:fldChar w:fldCharType="end"/>
        </w:r>
      </w:hyperlink>
    </w:p>
    <w:p w14:paraId="38A45C2D" w14:textId="56899F8F" w:rsidR="00A67E44" w:rsidRPr="00FB60E5" w:rsidRDefault="00BE3D19" w:rsidP="0071715D">
      <w:pPr>
        <w:pStyle w:val="Heading1"/>
        <w:ind w:left="432" w:hanging="432"/>
      </w:pPr>
      <w:r w:rsidRPr="00FB60E5">
        <w:lastRenderedPageBreak/>
        <w:fldChar w:fldCharType="end"/>
      </w:r>
      <w:bookmarkStart w:id="32" w:name="_Toc350884492"/>
      <w:bookmarkStart w:id="33" w:name="_Toc351536578"/>
      <w:bookmarkStart w:id="34" w:name="_Toc351622815"/>
      <w:bookmarkStart w:id="35" w:name="_Toc351622886"/>
      <w:bookmarkStart w:id="36" w:name="_Toc352002270"/>
      <w:bookmarkStart w:id="37" w:name="_Toc352168068"/>
      <w:bookmarkStart w:id="38" w:name="_Toc352844013"/>
      <w:bookmarkStart w:id="39" w:name="_Toc354593034"/>
      <w:bookmarkStart w:id="40" w:name="_Toc354732285"/>
      <w:bookmarkStart w:id="41" w:name="_Toc354734007"/>
      <w:bookmarkStart w:id="42" w:name="_Toc354734173"/>
      <w:bookmarkStart w:id="43" w:name="_Toc354734783"/>
      <w:bookmarkStart w:id="44" w:name="_Toc381981282"/>
      <w:bookmarkStart w:id="45" w:name="_Toc382501340"/>
      <w:bookmarkStart w:id="46" w:name="_Toc385505485"/>
      <w:bookmarkStart w:id="47" w:name="_Toc398105035"/>
      <w:bookmarkStart w:id="48" w:name="_Toc531696229"/>
      <w:r w:rsidR="00A67E44" w:rsidRPr="00FB60E5">
        <w:t>List of acronyms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Style w:val="LightList-Accent1"/>
        <w:tblW w:w="0" w:type="auto"/>
        <w:tblLook w:val="04A0" w:firstRow="1" w:lastRow="0" w:firstColumn="1" w:lastColumn="0" w:noHBand="0" w:noVBand="1"/>
        <w:tblDescription w:val="List of acronyms"/>
      </w:tblPr>
      <w:tblGrid>
        <w:gridCol w:w="1785"/>
        <w:gridCol w:w="7436"/>
      </w:tblGrid>
      <w:tr w:rsidR="009231ED" w:rsidRPr="009231ED" w14:paraId="601B9DC5" w14:textId="77777777" w:rsidTr="00822F39">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0" w:type="auto"/>
          </w:tcPr>
          <w:p w14:paraId="1AEB8888" w14:textId="632DE01A" w:rsidR="009231ED" w:rsidRPr="009231ED" w:rsidRDefault="009231ED" w:rsidP="009231ED">
            <w:pPr>
              <w:pStyle w:val="TableHeading"/>
            </w:pPr>
            <w:bookmarkStart w:id="49" w:name="_Toc350884494"/>
            <w:r w:rsidRPr="009231ED">
              <w:t>Acronyms</w:t>
            </w:r>
          </w:p>
        </w:tc>
        <w:tc>
          <w:tcPr>
            <w:tcW w:w="0" w:type="auto"/>
          </w:tcPr>
          <w:p w14:paraId="58E18E44" w14:textId="71FB3FA7" w:rsidR="009231ED" w:rsidRPr="009231ED" w:rsidRDefault="009231ED" w:rsidP="009231ED">
            <w:pPr>
              <w:pStyle w:val="TableHeading"/>
              <w:cnfStyle w:val="100000000000" w:firstRow="1" w:lastRow="0" w:firstColumn="0" w:lastColumn="0" w:oddVBand="0" w:evenVBand="0" w:oddHBand="0" w:evenHBand="0" w:firstRowFirstColumn="0" w:firstRowLastColumn="0" w:lastRowFirstColumn="0" w:lastRowLastColumn="0"/>
            </w:pPr>
            <w:r w:rsidRPr="009231ED">
              <w:t>Descriptions</w:t>
            </w:r>
          </w:p>
        </w:tc>
      </w:tr>
      <w:tr w:rsidR="005C7C60" w:rsidRPr="00FB60E5" w14:paraId="38A45C30"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2E" w14:textId="77777777" w:rsidR="005C7C60" w:rsidRPr="009231ED" w:rsidRDefault="005C7C60" w:rsidP="00AF6D9B">
            <w:pPr>
              <w:pStyle w:val="tabletext"/>
            </w:pPr>
            <w:r w:rsidRPr="009231ED">
              <w:t>ADIS</w:t>
            </w:r>
          </w:p>
        </w:tc>
        <w:tc>
          <w:tcPr>
            <w:tcW w:w="0" w:type="auto"/>
          </w:tcPr>
          <w:p w14:paraId="38A45C2F"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Alcohol and Drug Information System</w:t>
            </w:r>
          </w:p>
        </w:tc>
      </w:tr>
      <w:tr w:rsidR="005C7C60" w:rsidRPr="00FB60E5" w14:paraId="38A45C33"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31" w14:textId="77777777" w:rsidR="005C7C60" w:rsidRPr="009231ED" w:rsidRDefault="00640277" w:rsidP="00AF6D9B">
            <w:pPr>
              <w:pStyle w:val="tabletext"/>
            </w:pPr>
            <w:r w:rsidRPr="009231ED">
              <w:t>AOD</w:t>
            </w:r>
          </w:p>
        </w:tc>
        <w:tc>
          <w:tcPr>
            <w:tcW w:w="0" w:type="auto"/>
          </w:tcPr>
          <w:p w14:paraId="38A45C32"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Alcohol and Other Drug</w:t>
            </w:r>
          </w:p>
        </w:tc>
      </w:tr>
      <w:tr w:rsidR="00640277" w:rsidRPr="00FB60E5" w14:paraId="38A45C36"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34" w14:textId="77777777" w:rsidR="00640277" w:rsidRPr="009231ED" w:rsidRDefault="00640277" w:rsidP="00AF6D9B">
            <w:pPr>
              <w:pStyle w:val="tabletext"/>
            </w:pPr>
            <w:r w:rsidRPr="009231ED">
              <w:t>AODTS-NMDS</w:t>
            </w:r>
          </w:p>
        </w:tc>
        <w:tc>
          <w:tcPr>
            <w:tcW w:w="0" w:type="auto"/>
          </w:tcPr>
          <w:p w14:paraId="38A45C35" w14:textId="77777777" w:rsidR="00640277" w:rsidRPr="00FB60E5" w:rsidRDefault="00640277" w:rsidP="00AF6D9B">
            <w:pPr>
              <w:pStyle w:val="tabletext"/>
              <w:cnfStyle w:val="000000100000" w:firstRow="0" w:lastRow="0" w:firstColumn="0" w:lastColumn="0" w:oddVBand="0" w:evenVBand="0" w:oddHBand="1" w:evenHBand="0" w:firstRowFirstColumn="0" w:firstRowLastColumn="0" w:lastRowFirstColumn="0" w:lastRowLastColumn="0"/>
            </w:pPr>
            <w:r w:rsidRPr="00FB60E5">
              <w:t>Alcohol and Other Drug Treatment Services National Minimum Data Set</w:t>
            </w:r>
          </w:p>
        </w:tc>
      </w:tr>
      <w:tr w:rsidR="005C7C60" w:rsidRPr="00FB60E5" w14:paraId="38A45C39"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37" w14:textId="77777777" w:rsidR="005C7C60" w:rsidRPr="009231ED" w:rsidRDefault="005C7C60" w:rsidP="00AF6D9B">
            <w:pPr>
              <w:pStyle w:val="tabletext"/>
            </w:pPr>
            <w:r w:rsidRPr="009231ED">
              <w:t>AUDIT</w:t>
            </w:r>
          </w:p>
        </w:tc>
        <w:tc>
          <w:tcPr>
            <w:tcW w:w="0" w:type="auto"/>
          </w:tcPr>
          <w:p w14:paraId="38A45C38"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Alcohol Use Disorders Identification Test</w:t>
            </w:r>
          </w:p>
        </w:tc>
      </w:tr>
      <w:tr w:rsidR="005C7C60" w:rsidRPr="00FB60E5" w14:paraId="38A45C3C"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3A" w14:textId="77777777" w:rsidR="005C7C60" w:rsidRPr="009231ED" w:rsidRDefault="005C7C60" w:rsidP="00AF6D9B">
            <w:pPr>
              <w:pStyle w:val="tabletext"/>
            </w:pPr>
            <w:r w:rsidRPr="009231ED">
              <w:t>BTI</w:t>
            </w:r>
          </w:p>
        </w:tc>
        <w:tc>
          <w:tcPr>
            <w:tcW w:w="0" w:type="auto"/>
          </w:tcPr>
          <w:p w14:paraId="38A45C3B"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Barriers to Treatment Inventory</w:t>
            </w:r>
          </w:p>
        </w:tc>
      </w:tr>
      <w:tr w:rsidR="005C7C60" w:rsidRPr="00FB60E5" w14:paraId="38A45C3F"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3D" w14:textId="77777777" w:rsidR="005C7C60" w:rsidRPr="009231ED" w:rsidRDefault="005C7C60" w:rsidP="00AF6D9B">
            <w:pPr>
              <w:pStyle w:val="tabletext"/>
            </w:pPr>
            <w:r w:rsidRPr="009231ED">
              <w:t>CAI</w:t>
            </w:r>
          </w:p>
        </w:tc>
        <w:tc>
          <w:tcPr>
            <w:tcW w:w="0" w:type="auto"/>
          </w:tcPr>
          <w:p w14:paraId="38A45C3E"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Community Assessment Inventory</w:t>
            </w:r>
          </w:p>
        </w:tc>
      </w:tr>
      <w:tr w:rsidR="005C7C60" w:rsidRPr="00FB60E5" w14:paraId="38A45C42"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40" w14:textId="77777777" w:rsidR="005C7C60" w:rsidRPr="009231ED" w:rsidRDefault="005C7C60" w:rsidP="00AF6D9B">
            <w:pPr>
              <w:pStyle w:val="tabletext"/>
            </w:pPr>
            <w:r w:rsidRPr="009231ED">
              <w:t>DH</w:t>
            </w:r>
          </w:p>
        </w:tc>
        <w:tc>
          <w:tcPr>
            <w:tcW w:w="0" w:type="auto"/>
          </w:tcPr>
          <w:p w14:paraId="38A45C41"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Department of Health (Victoria)</w:t>
            </w:r>
          </w:p>
        </w:tc>
      </w:tr>
      <w:tr w:rsidR="005C7C60" w:rsidRPr="00FB60E5" w14:paraId="38A45C45"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43" w14:textId="77777777" w:rsidR="005C7C60" w:rsidRPr="009231ED" w:rsidRDefault="005C7C60" w:rsidP="00AF6D9B">
            <w:pPr>
              <w:pStyle w:val="tabletext"/>
            </w:pPr>
            <w:r w:rsidRPr="009231ED">
              <w:t>DISC-12</w:t>
            </w:r>
          </w:p>
        </w:tc>
        <w:tc>
          <w:tcPr>
            <w:tcW w:w="0" w:type="auto"/>
          </w:tcPr>
          <w:p w14:paraId="38A45C44"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Discrimination and Stigma Scale</w:t>
            </w:r>
          </w:p>
        </w:tc>
      </w:tr>
      <w:tr w:rsidR="008758D0" w:rsidRPr="00FB60E5" w14:paraId="38A45C48"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46" w14:textId="77777777" w:rsidR="008758D0" w:rsidRPr="009231ED" w:rsidRDefault="008758D0" w:rsidP="00AF6D9B">
            <w:pPr>
              <w:pStyle w:val="tabletext"/>
            </w:pPr>
            <w:r w:rsidRPr="009231ED">
              <w:t>DOC</w:t>
            </w:r>
          </w:p>
        </w:tc>
        <w:tc>
          <w:tcPr>
            <w:tcW w:w="0" w:type="auto"/>
          </w:tcPr>
          <w:p w14:paraId="38A45C47" w14:textId="77777777" w:rsidR="008758D0" w:rsidRPr="00FB60E5" w:rsidRDefault="008758D0" w:rsidP="00AF6D9B">
            <w:pPr>
              <w:pStyle w:val="tabletext"/>
              <w:cnfStyle w:val="000000100000" w:firstRow="0" w:lastRow="0" w:firstColumn="0" w:lastColumn="0" w:oddVBand="0" w:evenVBand="0" w:oddHBand="1" w:evenHBand="0" w:firstRowFirstColumn="0" w:firstRowLastColumn="0" w:lastRowFirstColumn="0" w:lastRowLastColumn="0"/>
            </w:pPr>
            <w:r w:rsidRPr="00FB60E5">
              <w:t>Drug of concern</w:t>
            </w:r>
          </w:p>
        </w:tc>
      </w:tr>
      <w:tr w:rsidR="005C7C60" w:rsidRPr="00FB60E5" w14:paraId="38A45C4B"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49" w14:textId="77777777" w:rsidR="005C7C60" w:rsidRPr="009231ED" w:rsidRDefault="005C7C60" w:rsidP="00AF6D9B">
            <w:pPr>
              <w:pStyle w:val="tabletext"/>
            </w:pPr>
            <w:r w:rsidRPr="009231ED">
              <w:t>ED</w:t>
            </w:r>
          </w:p>
        </w:tc>
        <w:tc>
          <w:tcPr>
            <w:tcW w:w="0" w:type="auto"/>
          </w:tcPr>
          <w:p w14:paraId="38A45C4A"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Emergency Department</w:t>
            </w:r>
          </w:p>
        </w:tc>
      </w:tr>
      <w:tr w:rsidR="005C7C60" w:rsidRPr="00FB60E5" w14:paraId="38A45C4E"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4C" w14:textId="77777777" w:rsidR="005C7C60" w:rsidRPr="009231ED" w:rsidRDefault="005C7C60" w:rsidP="00AF6D9B">
            <w:pPr>
              <w:pStyle w:val="tabletext"/>
            </w:pPr>
            <w:r w:rsidRPr="009231ED">
              <w:t>GP</w:t>
            </w:r>
          </w:p>
        </w:tc>
        <w:tc>
          <w:tcPr>
            <w:tcW w:w="0" w:type="auto"/>
          </w:tcPr>
          <w:p w14:paraId="38A45C4D"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General Practitioner</w:t>
            </w:r>
          </w:p>
        </w:tc>
      </w:tr>
      <w:tr w:rsidR="00640277" w:rsidRPr="00FB60E5" w14:paraId="38A45C51"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4F" w14:textId="77777777" w:rsidR="00640277" w:rsidRPr="009231ED" w:rsidRDefault="00640277" w:rsidP="00AF6D9B">
            <w:pPr>
              <w:pStyle w:val="tabletext"/>
            </w:pPr>
            <w:r w:rsidRPr="009231ED">
              <w:t>GO</w:t>
            </w:r>
          </w:p>
        </w:tc>
        <w:tc>
          <w:tcPr>
            <w:tcW w:w="0" w:type="auto"/>
          </w:tcPr>
          <w:p w14:paraId="38A45C50" w14:textId="77777777" w:rsidR="00640277" w:rsidRPr="00FB60E5" w:rsidRDefault="00640277" w:rsidP="00AF6D9B">
            <w:pPr>
              <w:pStyle w:val="tabletext"/>
              <w:cnfStyle w:val="000000000000" w:firstRow="0" w:lastRow="0" w:firstColumn="0" w:lastColumn="0" w:oddVBand="0" w:evenVBand="0" w:oddHBand="0" w:evenHBand="0" w:firstRowFirstColumn="0" w:firstRowLastColumn="0" w:lastRowFirstColumn="0" w:lastRowLastColumn="0"/>
            </w:pPr>
            <w:r w:rsidRPr="00FB60E5">
              <w:t xml:space="preserve">Government Organisation </w:t>
            </w:r>
          </w:p>
        </w:tc>
      </w:tr>
      <w:tr w:rsidR="0052746B" w:rsidRPr="00FB60E5" w14:paraId="38A45C54"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52" w14:textId="77777777" w:rsidR="0052746B" w:rsidRPr="009231ED" w:rsidRDefault="0052746B" w:rsidP="00AF6D9B">
            <w:pPr>
              <w:pStyle w:val="tabletext"/>
            </w:pPr>
            <w:r w:rsidRPr="009231ED">
              <w:t>IQR</w:t>
            </w:r>
          </w:p>
        </w:tc>
        <w:tc>
          <w:tcPr>
            <w:tcW w:w="0" w:type="auto"/>
          </w:tcPr>
          <w:p w14:paraId="38A45C53" w14:textId="77777777" w:rsidR="0052746B" w:rsidRPr="00FB60E5" w:rsidRDefault="0052746B"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Inter quartile range </w:t>
            </w:r>
          </w:p>
        </w:tc>
      </w:tr>
      <w:tr w:rsidR="008758D0" w:rsidRPr="00FB60E5" w14:paraId="38A45C57"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55" w14:textId="77777777" w:rsidR="008758D0" w:rsidRPr="009231ED" w:rsidRDefault="00EE7A8F" w:rsidP="00AF6D9B">
            <w:pPr>
              <w:pStyle w:val="tabletext"/>
            </w:pPr>
            <w:r w:rsidRPr="009231ED">
              <w:t>PDOC</w:t>
            </w:r>
          </w:p>
        </w:tc>
        <w:tc>
          <w:tcPr>
            <w:tcW w:w="0" w:type="auto"/>
          </w:tcPr>
          <w:p w14:paraId="38A45C56" w14:textId="77777777" w:rsidR="008758D0" w:rsidRPr="00FB60E5" w:rsidRDefault="008758D0" w:rsidP="00AF6D9B">
            <w:pPr>
              <w:pStyle w:val="tabletext"/>
              <w:cnfStyle w:val="000000000000" w:firstRow="0" w:lastRow="0" w:firstColumn="0" w:lastColumn="0" w:oddVBand="0" w:evenVBand="0" w:oddHBand="0" w:evenHBand="0" w:firstRowFirstColumn="0" w:firstRowLastColumn="0" w:lastRowFirstColumn="0" w:lastRowLastColumn="0"/>
            </w:pPr>
            <w:r w:rsidRPr="00FB60E5">
              <w:t xml:space="preserve">Primary drug of concern </w:t>
            </w:r>
          </w:p>
        </w:tc>
      </w:tr>
      <w:tr w:rsidR="008758D0" w:rsidRPr="00FB60E5" w14:paraId="38A45C5A"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58" w14:textId="77777777" w:rsidR="008758D0" w:rsidRPr="009231ED" w:rsidRDefault="008758D0" w:rsidP="00AF6D9B">
            <w:pPr>
              <w:pStyle w:val="tabletext"/>
            </w:pPr>
            <w:r w:rsidRPr="009231ED">
              <w:t>PIT</w:t>
            </w:r>
          </w:p>
        </w:tc>
        <w:tc>
          <w:tcPr>
            <w:tcW w:w="0" w:type="auto"/>
          </w:tcPr>
          <w:p w14:paraId="38A45C59" w14:textId="77777777" w:rsidR="008758D0" w:rsidRPr="00FB60E5" w:rsidRDefault="008758D0" w:rsidP="00AF6D9B">
            <w:pPr>
              <w:pStyle w:val="tabletext"/>
              <w:cnfStyle w:val="000000100000" w:firstRow="0" w:lastRow="0" w:firstColumn="0" w:lastColumn="0" w:oddVBand="0" w:evenVBand="0" w:oddHBand="1" w:evenHBand="0" w:firstRowFirstColumn="0" w:firstRowLastColumn="0" w:lastRowFirstColumn="0" w:lastRowLastColumn="0"/>
            </w:pPr>
            <w:r w:rsidRPr="00FB60E5">
              <w:t>Primary index treatment</w:t>
            </w:r>
          </w:p>
        </w:tc>
      </w:tr>
      <w:tr w:rsidR="005C7C60" w:rsidRPr="00FB60E5" w14:paraId="38A45C5D"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5B" w14:textId="77777777" w:rsidR="005C7C60" w:rsidRPr="009231ED" w:rsidRDefault="005C7C60" w:rsidP="00AF6D9B">
            <w:pPr>
              <w:pStyle w:val="tabletext"/>
            </w:pPr>
            <w:r w:rsidRPr="009231ED">
              <w:t>MSPSS</w:t>
            </w:r>
          </w:p>
        </w:tc>
        <w:tc>
          <w:tcPr>
            <w:tcW w:w="0" w:type="auto"/>
          </w:tcPr>
          <w:p w14:paraId="38A45C5C"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Multidimensional Scale of Perceived Social Support</w:t>
            </w:r>
          </w:p>
        </w:tc>
      </w:tr>
      <w:tr w:rsidR="005C7C60" w:rsidRPr="00FB60E5" w14:paraId="38A45C60"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5E" w14:textId="77777777" w:rsidR="005C7C60" w:rsidRPr="009231ED" w:rsidRDefault="005C7C60" w:rsidP="00AF6D9B">
            <w:pPr>
              <w:pStyle w:val="tabletext"/>
            </w:pPr>
            <w:r w:rsidRPr="009231ED">
              <w:t>NDRI</w:t>
            </w:r>
          </w:p>
        </w:tc>
        <w:tc>
          <w:tcPr>
            <w:tcW w:w="0" w:type="auto"/>
          </w:tcPr>
          <w:p w14:paraId="38A45C5F"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National Drug Research Institute</w:t>
            </w:r>
          </w:p>
        </w:tc>
      </w:tr>
      <w:tr w:rsidR="00640277" w:rsidRPr="00FB60E5" w14:paraId="38A45C63"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61" w14:textId="77777777" w:rsidR="00640277" w:rsidRPr="009231ED" w:rsidRDefault="00640277" w:rsidP="00AF6D9B">
            <w:pPr>
              <w:pStyle w:val="tabletext"/>
            </w:pPr>
            <w:r w:rsidRPr="009231ED">
              <w:t>NGO</w:t>
            </w:r>
          </w:p>
        </w:tc>
        <w:tc>
          <w:tcPr>
            <w:tcW w:w="0" w:type="auto"/>
          </w:tcPr>
          <w:p w14:paraId="38A45C62" w14:textId="77777777" w:rsidR="00640277" w:rsidRPr="00FB60E5" w:rsidRDefault="00640277" w:rsidP="00AF6D9B">
            <w:pPr>
              <w:pStyle w:val="tabletext"/>
              <w:cnfStyle w:val="000000000000" w:firstRow="0" w:lastRow="0" w:firstColumn="0" w:lastColumn="0" w:oddVBand="0" w:evenVBand="0" w:oddHBand="0" w:evenHBand="0" w:firstRowFirstColumn="0" w:firstRowLastColumn="0" w:lastRowFirstColumn="0" w:lastRowLastColumn="0"/>
            </w:pPr>
            <w:r w:rsidRPr="00FB60E5">
              <w:t>Non-Government Organisation</w:t>
            </w:r>
          </w:p>
        </w:tc>
      </w:tr>
      <w:tr w:rsidR="005C7C60" w:rsidRPr="00FB60E5" w14:paraId="38A45C66"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64" w14:textId="77777777" w:rsidR="005C7C60" w:rsidRPr="009231ED" w:rsidRDefault="005C7C60" w:rsidP="00AF6D9B">
            <w:pPr>
              <w:pStyle w:val="tabletext"/>
            </w:pPr>
            <w:r w:rsidRPr="009231ED">
              <w:t>SDS</w:t>
            </w:r>
          </w:p>
        </w:tc>
        <w:tc>
          <w:tcPr>
            <w:tcW w:w="0" w:type="auto"/>
          </w:tcPr>
          <w:p w14:paraId="38A45C65"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Severity of Dependence Scale</w:t>
            </w:r>
          </w:p>
        </w:tc>
      </w:tr>
      <w:tr w:rsidR="005C7C60" w:rsidRPr="00FB60E5" w14:paraId="38A45C69"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67" w14:textId="77777777" w:rsidR="005C7C60" w:rsidRPr="009231ED" w:rsidRDefault="005C7C60" w:rsidP="00AF6D9B">
            <w:pPr>
              <w:pStyle w:val="tabletext"/>
            </w:pPr>
            <w:r w:rsidRPr="009231ED">
              <w:t>TCU- CEST-Intake</w:t>
            </w:r>
          </w:p>
        </w:tc>
        <w:tc>
          <w:tcPr>
            <w:tcW w:w="0" w:type="auto"/>
          </w:tcPr>
          <w:p w14:paraId="38A45C68"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Texas Christian University-Client Evaluation of Self and Treatment Intake</w:t>
            </w:r>
            <w:r w:rsidR="008E49A0" w:rsidRPr="00FB60E5">
              <w:t>-</w:t>
            </w:r>
            <w:r w:rsidRPr="00FB60E5">
              <w:t>Version</w:t>
            </w:r>
          </w:p>
        </w:tc>
      </w:tr>
      <w:tr w:rsidR="005C7C60" w:rsidRPr="00FB60E5" w14:paraId="38A45C6C"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6A" w14:textId="77777777" w:rsidR="005C7C60" w:rsidRPr="009231ED" w:rsidRDefault="005C7C60" w:rsidP="00AF6D9B">
            <w:pPr>
              <w:pStyle w:val="tabletext"/>
            </w:pPr>
            <w:r w:rsidRPr="009231ED">
              <w:t>VAED</w:t>
            </w:r>
          </w:p>
        </w:tc>
        <w:tc>
          <w:tcPr>
            <w:tcW w:w="0" w:type="auto"/>
          </w:tcPr>
          <w:p w14:paraId="38A45C6B"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Victorian Admitted Episodes Dataset</w:t>
            </w:r>
          </w:p>
        </w:tc>
      </w:tr>
      <w:tr w:rsidR="00D07EDC" w:rsidRPr="00FB60E5" w14:paraId="38A45C6F"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6D" w14:textId="77777777" w:rsidR="00D07EDC" w:rsidRPr="009231ED" w:rsidRDefault="00D07EDC" w:rsidP="00AF6D9B">
            <w:pPr>
              <w:pStyle w:val="tabletext"/>
            </w:pPr>
            <w:r w:rsidRPr="009231ED">
              <w:t>VDL</w:t>
            </w:r>
          </w:p>
        </w:tc>
        <w:tc>
          <w:tcPr>
            <w:tcW w:w="0" w:type="auto"/>
          </w:tcPr>
          <w:p w14:paraId="38A45C6E" w14:textId="77777777" w:rsidR="00D07EDC" w:rsidRPr="00FB60E5" w:rsidRDefault="00D07EDC" w:rsidP="00AF6D9B">
            <w:pPr>
              <w:pStyle w:val="tabletext"/>
              <w:cnfStyle w:val="000000000000" w:firstRow="0" w:lastRow="0" w:firstColumn="0" w:lastColumn="0" w:oddVBand="0" w:evenVBand="0" w:oddHBand="0" w:evenHBand="0" w:firstRowFirstColumn="0" w:firstRowLastColumn="0" w:lastRowFirstColumn="0" w:lastRowLastColumn="0"/>
            </w:pPr>
            <w:r w:rsidRPr="00FB60E5">
              <w:t>Victorian Data Linkages Unit</w:t>
            </w:r>
          </w:p>
        </w:tc>
      </w:tr>
      <w:tr w:rsidR="005C7C60" w:rsidRPr="00FB60E5" w14:paraId="38A45C72"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70" w14:textId="77777777" w:rsidR="005C7C60" w:rsidRPr="009231ED" w:rsidRDefault="005C7C60" w:rsidP="00AF6D9B">
            <w:pPr>
              <w:pStyle w:val="tabletext"/>
            </w:pPr>
            <w:r w:rsidRPr="009231ED">
              <w:t>VEMD</w:t>
            </w:r>
          </w:p>
        </w:tc>
        <w:tc>
          <w:tcPr>
            <w:tcW w:w="0" w:type="auto"/>
          </w:tcPr>
          <w:p w14:paraId="38A45C71" w14:textId="77777777" w:rsidR="005C7C60" w:rsidRPr="00FB60E5" w:rsidRDefault="005C7C60" w:rsidP="00AF6D9B">
            <w:pPr>
              <w:pStyle w:val="tabletext"/>
              <w:cnfStyle w:val="000000100000" w:firstRow="0" w:lastRow="0" w:firstColumn="0" w:lastColumn="0" w:oddVBand="0" w:evenVBand="0" w:oddHBand="1" w:evenHBand="0" w:firstRowFirstColumn="0" w:firstRowLastColumn="0" w:lastRowFirstColumn="0" w:lastRowLastColumn="0"/>
            </w:pPr>
            <w:r w:rsidRPr="00FB60E5">
              <w:t>Victorian Emergency Minimum Dataset</w:t>
            </w:r>
          </w:p>
        </w:tc>
      </w:tr>
      <w:tr w:rsidR="005C7C60" w:rsidRPr="00FB60E5" w14:paraId="38A45C75"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73" w14:textId="77777777" w:rsidR="005C7C60" w:rsidRPr="009231ED" w:rsidRDefault="005C7C60" w:rsidP="00AF6D9B">
            <w:pPr>
              <w:pStyle w:val="tabletext"/>
            </w:pPr>
            <w:r w:rsidRPr="009231ED">
              <w:t>WHO</w:t>
            </w:r>
            <w:r w:rsidR="00EE7A8F" w:rsidRPr="009231ED">
              <w:t>QOL</w:t>
            </w:r>
            <w:r w:rsidRPr="009231ED">
              <w:t>-BREF</w:t>
            </w:r>
          </w:p>
        </w:tc>
        <w:tc>
          <w:tcPr>
            <w:tcW w:w="0" w:type="auto"/>
          </w:tcPr>
          <w:p w14:paraId="38A45C74" w14:textId="77777777" w:rsidR="005C7C60" w:rsidRPr="00FB60E5" w:rsidRDefault="005C7C60" w:rsidP="00AF6D9B">
            <w:pPr>
              <w:pStyle w:val="tabletext"/>
              <w:cnfStyle w:val="000000000000" w:firstRow="0" w:lastRow="0" w:firstColumn="0" w:lastColumn="0" w:oddVBand="0" w:evenVBand="0" w:oddHBand="0" w:evenHBand="0" w:firstRowFirstColumn="0" w:firstRowLastColumn="0" w:lastRowFirstColumn="0" w:lastRowLastColumn="0"/>
            </w:pPr>
            <w:r w:rsidRPr="00FB60E5">
              <w:t>World Health Organization Quality of Life</w:t>
            </w:r>
            <w:r w:rsidR="008E49A0" w:rsidRPr="00FB60E5">
              <w:t xml:space="preserve"> (Brief version) </w:t>
            </w:r>
          </w:p>
        </w:tc>
      </w:tr>
      <w:tr w:rsidR="005C7C60" w:rsidRPr="00FB60E5" w14:paraId="38A45C78" w14:textId="77777777" w:rsidTr="009231ED">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76" w14:textId="77777777" w:rsidR="005C7C60" w:rsidRPr="009231ED" w:rsidRDefault="005C7C60" w:rsidP="00AF6D9B">
            <w:pPr>
              <w:pStyle w:val="tabletext"/>
            </w:pPr>
            <w:r w:rsidRPr="009231ED">
              <w:t>SLK</w:t>
            </w:r>
          </w:p>
        </w:tc>
        <w:tc>
          <w:tcPr>
            <w:tcW w:w="0" w:type="auto"/>
          </w:tcPr>
          <w:p w14:paraId="38A45C77" w14:textId="77777777" w:rsidR="005C7C60" w:rsidRPr="00FB60E5" w:rsidRDefault="008758D0" w:rsidP="00AF6D9B">
            <w:pPr>
              <w:pStyle w:val="tabletext"/>
              <w:cnfStyle w:val="000000100000" w:firstRow="0" w:lastRow="0" w:firstColumn="0" w:lastColumn="0" w:oddVBand="0" w:evenVBand="0" w:oddHBand="1" w:evenHBand="0" w:firstRowFirstColumn="0" w:firstRowLastColumn="0" w:lastRowFirstColumn="0" w:lastRowLastColumn="0"/>
            </w:pPr>
            <w:r w:rsidRPr="00FB60E5">
              <w:t>S</w:t>
            </w:r>
            <w:r w:rsidR="005C7C60" w:rsidRPr="00FB60E5">
              <w:t>tatistical linkage key</w:t>
            </w:r>
          </w:p>
        </w:tc>
      </w:tr>
      <w:tr w:rsidR="008758D0" w:rsidRPr="00FB60E5" w14:paraId="38A45C7B" w14:textId="77777777" w:rsidTr="009231ED">
        <w:trPr>
          <w:trHeight w:hRule="exact" w:val="397"/>
        </w:trPr>
        <w:tc>
          <w:tcPr>
            <w:cnfStyle w:val="001000000000" w:firstRow="0" w:lastRow="0" w:firstColumn="1" w:lastColumn="0" w:oddVBand="0" w:evenVBand="0" w:oddHBand="0" w:evenHBand="0" w:firstRowFirstColumn="0" w:firstRowLastColumn="0" w:lastRowFirstColumn="0" w:lastRowLastColumn="0"/>
            <w:tcW w:w="0" w:type="auto"/>
          </w:tcPr>
          <w:p w14:paraId="38A45C79" w14:textId="77777777" w:rsidR="008758D0" w:rsidRPr="009231ED" w:rsidRDefault="008758D0" w:rsidP="00AF6D9B">
            <w:pPr>
              <w:pStyle w:val="tabletext"/>
            </w:pPr>
            <w:r w:rsidRPr="009231ED">
              <w:t>SUD</w:t>
            </w:r>
          </w:p>
        </w:tc>
        <w:tc>
          <w:tcPr>
            <w:tcW w:w="0" w:type="auto"/>
          </w:tcPr>
          <w:p w14:paraId="38A45C7A" w14:textId="77777777" w:rsidR="008758D0" w:rsidRPr="00FB60E5" w:rsidRDefault="008758D0" w:rsidP="00AF6D9B">
            <w:pPr>
              <w:pStyle w:val="tabletext"/>
              <w:cnfStyle w:val="000000000000" w:firstRow="0" w:lastRow="0" w:firstColumn="0" w:lastColumn="0" w:oddVBand="0" w:evenVBand="0" w:oddHBand="0" w:evenHBand="0" w:firstRowFirstColumn="0" w:firstRowLastColumn="0" w:lastRowFirstColumn="0" w:lastRowLastColumn="0"/>
            </w:pPr>
            <w:r w:rsidRPr="00FB60E5">
              <w:t>Substance use disorder</w:t>
            </w:r>
          </w:p>
        </w:tc>
      </w:tr>
    </w:tbl>
    <w:p w14:paraId="38A45C7D" w14:textId="77777777" w:rsidR="008C03AA" w:rsidRPr="00FB60E5" w:rsidRDefault="008C03AA" w:rsidP="0071715D">
      <w:pPr>
        <w:pStyle w:val="Heading1"/>
        <w:ind w:left="432" w:hanging="432"/>
      </w:pPr>
      <w:bookmarkStart w:id="50" w:name="_Toc398105036"/>
      <w:bookmarkStart w:id="51" w:name="_Toc531696230"/>
      <w:r w:rsidRPr="00FB60E5">
        <w:lastRenderedPageBreak/>
        <w:t xml:space="preserve">Executive </w:t>
      </w:r>
      <w:r w:rsidR="005E1029" w:rsidRPr="00FB60E5">
        <w:t>summary</w:t>
      </w:r>
      <w:bookmarkEnd w:id="50"/>
      <w:bookmarkEnd w:id="51"/>
    </w:p>
    <w:p w14:paraId="38A45C7E" w14:textId="10D754B6" w:rsidR="001C692B" w:rsidRPr="00FB60E5" w:rsidRDefault="00A67984" w:rsidP="00A67984">
      <w:pPr>
        <w:pStyle w:val="Heading2"/>
      </w:pPr>
      <w:bookmarkStart w:id="52" w:name="_Toc531696231"/>
      <w:r>
        <w:t>Background</w:t>
      </w:r>
      <w:bookmarkEnd w:id="52"/>
    </w:p>
    <w:p w14:paraId="38A45C7F" w14:textId="036B7AE4" w:rsidR="00900592" w:rsidRPr="00FB60E5" w:rsidRDefault="001C692B" w:rsidP="00FB60E5">
      <w:pPr>
        <w:ind w:left="0"/>
      </w:pPr>
      <w:r w:rsidRPr="00FB60E5">
        <w:t xml:space="preserve">There is now a substantial evidence base indicating that once in addiction treatment, many </w:t>
      </w:r>
      <w:r w:rsidR="002F63D3" w:rsidRPr="00FB60E5">
        <w:t xml:space="preserve">individuals with alcohol and drug dependence </w:t>
      </w:r>
      <w:r w:rsidRPr="00FB60E5">
        <w:t>improve. However, questions remain around what combination of service use is associated with these improvements and how systems can be configured to optimise and maintain positive treatment outcomes. The literature on treatment effectiveness to date is limited in that outcome studies typically describe the response to an isolated episode of care within a particular treatment modality</w:t>
      </w:r>
      <w:r w:rsidR="002F63D3" w:rsidRPr="00FB60E5">
        <w:t xml:space="preserve"> (</w:t>
      </w:r>
      <w:r w:rsidRPr="00FB60E5">
        <w:t>e.g.</w:t>
      </w:r>
      <w:r w:rsidR="002F63D3" w:rsidRPr="00FB60E5">
        <w:t>,</w:t>
      </w:r>
      <w:r w:rsidRPr="00FB60E5">
        <w:t xml:space="preserve"> inpatient detoxification</w:t>
      </w:r>
      <w:r w:rsidR="002F63D3" w:rsidRPr="00FB60E5">
        <w:t>)</w:t>
      </w:r>
      <w:r w:rsidRPr="00FB60E5">
        <w:t xml:space="preserve">, which represents only a fraction of the overall treatment episode. In addition, while Australian outcome studies typically involve participants using major illicit drugs (heroin, amphetamines), there has been no cohort study of alcohol and cannabis users in Australia, despite these being the most commonly abused substances and the two most frequent primary drugs of concern among </w:t>
      </w:r>
      <w:r w:rsidR="002F63D3" w:rsidRPr="00FB60E5">
        <w:t xml:space="preserve">the </w:t>
      </w:r>
      <w:r w:rsidRPr="00FB60E5">
        <w:t xml:space="preserve">659 </w:t>
      </w:r>
      <w:r w:rsidR="00EA46A1" w:rsidRPr="00FB60E5">
        <w:t>publicly funded alcohol and other drug (</w:t>
      </w:r>
      <w:r w:rsidRPr="00FB60E5">
        <w:t>AOD</w:t>
      </w:r>
      <w:r w:rsidR="00EA46A1" w:rsidRPr="00FB60E5">
        <w:t>)</w:t>
      </w:r>
      <w:r w:rsidRPr="00FB60E5">
        <w:t xml:space="preserve"> </w:t>
      </w:r>
      <w:r w:rsidR="00EA46A1" w:rsidRPr="00FB60E5">
        <w:t xml:space="preserve">treatment </w:t>
      </w:r>
      <w:r w:rsidRPr="00FB60E5">
        <w:t>services across Australia (AIHW, 2013), accounting for 70% of treatment episodes in 2009-10 (48% alcohol and 23% cannabis) (AIHW, 2011). Whilst there is increasing recognition that specialist AOD services are merely one component of a larger interconnected system which includes health and welfare services, the extent of inter</w:t>
      </w:r>
      <w:r w:rsidR="002F63D3" w:rsidRPr="00FB60E5">
        <w:t>-</w:t>
      </w:r>
      <w:r w:rsidRPr="00FB60E5">
        <w:t xml:space="preserve"> and intra-sectorial linkage and the resulting pathways of care for clients accessing AOD specialist services remain poorly understood. </w:t>
      </w:r>
      <w:r w:rsidR="00BA3D7C" w:rsidRPr="00FB60E5">
        <w:t xml:space="preserve">Nevertheless, </w:t>
      </w:r>
      <w:proofErr w:type="spellStart"/>
      <w:r w:rsidRPr="00FB60E5">
        <w:t>Babor</w:t>
      </w:r>
      <w:proofErr w:type="spellEnd"/>
      <w:r w:rsidRPr="00FB60E5">
        <w:t xml:space="preserve"> et al. (2008</w:t>
      </w:r>
      <w:r w:rsidR="00BA3D7C" w:rsidRPr="00FB60E5">
        <w:t>; 2010</w:t>
      </w:r>
      <w:r w:rsidRPr="00FB60E5">
        <w:t xml:space="preserve">) suggest that the cumulative impact of </w:t>
      </w:r>
      <w:r w:rsidR="00143847" w:rsidRPr="00FB60E5">
        <w:t xml:space="preserve">engaging </w:t>
      </w:r>
      <w:r w:rsidR="00DE1420" w:rsidRPr="00FB60E5">
        <w:t xml:space="preserve">with </w:t>
      </w:r>
      <w:r w:rsidR="00A273D8" w:rsidRPr="00FB60E5">
        <w:t xml:space="preserve">AOD services and non-specialist AOD </w:t>
      </w:r>
      <w:r w:rsidRPr="00FB60E5">
        <w:t>services</w:t>
      </w:r>
      <w:r w:rsidR="00A273D8" w:rsidRPr="00FB60E5">
        <w:t xml:space="preserve"> in the community</w:t>
      </w:r>
      <w:r w:rsidRPr="00FB60E5">
        <w:t xml:space="preserve"> should translate into population health benefits</w:t>
      </w:r>
      <w:r w:rsidR="002F63D3" w:rsidRPr="00FB60E5">
        <w:t>,</w:t>
      </w:r>
      <w:r w:rsidRPr="00FB60E5">
        <w:t xml:space="preserve"> such as reduced mortality, morbidity, disability, suicide, crime, une</w:t>
      </w:r>
      <w:r w:rsidR="00A67984">
        <w:t>mployment and healthcare costs.</w:t>
      </w:r>
    </w:p>
    <w:p w14:paraId="38A45C80" w14:textId="7A346799" w:rsidR="001C692B" w:rsidRPr="00FB60E5" w:rsidRDefault="001C692B" w:rsidP="009231ED">
      <w:pPr>
        <w:pStyle w:val="Heading2"/>
      </w:pPr>
      <w:bookmarkStart w:id="53" w:name="_Toc531696232"/>
      <w:r w:rsidRPr="00FB60E5">
        <w:t>Study Rationale</w:t>
      </w:r>
      <w:bookmarkEnd w:id="53"/>
    </w:p>
    <w:p w14:paraId="38A45C81" w14:textId="77777777" w:rsidR="00C13AF7" w:rsidRPr="00FB60E5" w:rsidRDefault="00C13AF7" w:rsidP="00FB60E5">
      <w:pPr>
        <w:ind w:left="0"/>
      </w:pPr>
      <w:r w:rsidRPr="00FB60E5">
        <w:t>There have been a number of international outcome studies in the addictions field although only two in Australia – each focused on a particular class of substances. While all of the major outcome studies have shown positive benefits for treatment, Patient Pat</w:t>
      </w:r>
      <w:r w:rsidR="00DE06CC" w:rsidRPr="00FB60E5">
        <w:t>hways is a unique study in that;</w:t>
      </w:r>
    </w:p>
    <w:p w14:paraId="38A45C82" w14:textId="204A7CCC" w:rsidR="00C13AF7" w:rsidRPr="00FB60E5" w:rsidRDefault="00C13AF7" w:rsidP="00D6183A">
      <w:pPr>
        <w:pStyle w:val="ListParagraph"/>
        <w:numPr>
          <w:ilvl w:val="0"/>
          <w:numId w:val="30"/>
        </w:numPr>
      </w:pPr>
      <w:r w:rsidRPr="00FB60E5">
        <w:t>It includes bo</w:t>
      </w:r>
      <w:r w:rsidR="00A67984">
        <w:t>th alcohol and illicit drug use</w:t>
      </w:r>
    </w:p>
    <w:p w14:paraId="38A45C83" w14:textId="77777777" w:rsidR="00C13AF7" w:rsidRPr="00FB60E5" w:rsidRDefault="00C13AF7" w:rsidP="00D6183A">
      <w:pPr>
        <w:pStyle w:val="ListParagraph"/>
        <w:numPr>
          <w:ilvl w:val="0"/>
          <w:numId w:val="30"/>
        </w:numPr>
      </w:pPr>
      <w:r w:rsidRPr="00FB60E5">
        <w:t xml:space="preserve">Its focus is on treatment systems and pathways through specialist and linked services, rather than focusing exclusively on the client </w:t>
      </w:r>
      <w:r w:rsidR="00EA46A1" w:rsidRPr="00FB60E5">
        <w:t xml:space="preserve">AOD treatment </w:t>
      </w:r>
      <w:r w:rsidRPr="00FB60E5">
        <w:t>journey</w:t>
      </w:r>
    </w:p>
    <w:p w14:paraId="38A45C84" w14:textId="77777777" w:rsidR="00C13AF7" w:rsidRPr="00FB60E5" w:rsidRDefault="00C13AF7" w:rsidP="00D6183A">
      <w:pPr>
        <w:pStyle w:val="ListParagraph"/>
        <w:numPr>
          <w:ilvl w:val="0"/>
          <w:numId w:val="30"/>
        </w:numPr>
      </w:pPr>
      <w:r w:rsidRPr="00FB60E5">
        <w:t>It includes not only a large cohort follow-up study (with quantitative and qualitative components)</w:t>
      </w:r>
      <w:r w:rsidR="00BA3D7C" w:rsidRPr="00FB60E5">
        <w:t>,</w:t>
      </w:r>
      <w:r w:rsidRPr="00FB60E5">
        <w:t xml:space="preserve"> but also a linked analysis of acute harms based on data from </w:t>
      </w:r>
      <w:r w:rsidR="00EA46A1" w:rsidRPr="00FB60E5">
        <w:t xml:space="preserve">AOD </w:t>
      </w:r>
      <w:r w:rsidRPr="00FB60E5">
        <w:t>treatment engagement, emergency departments and hospital admissions</w:t>
      </w:r>
    </w:p>
    <w:p w14:paraId="38A45C85" w14:textId="30AB35B0" w:rsidR="00C13AF7" w:rsidRPr="00FB60E5" w:rsidRDefault="00C13AF7" w:rsidP="00FB60E5">
      <w:pPr>
        <w:ind w:left="0"/>
      </w:pPr>
      <w:r w:rsidRPr="00FB60E5">
        <w:t>The rationale for the Patient Pathways study was based on the recognition that clients present with complex life problems as well as their alcohol and/or drug dependence</w:t>
      </w:r>
      <w:r w:rsidR="00F8526D" w:rsidRPr="00FB60E5">
        <w:t>,</w:t>
      </w:r>
      <w:r w:rsidRPr="00FB60E5">
        <w:t xml:space="preserve"> and are often engaged in a diverse range of professional supports and services. The Pathways study attempted to map and measure the systems within which individuals attempted to navigate their way through such inter-linking services, their experiences of services and the changes in behaviours and </w:t>
      </w:r>
      <w:r w:rsidR="00851091" w:rsidRPr="00FB60E5">
        <w:t xml:space="preserve">social </w:t>
      </w:r>
      <w:r w:rsidRPr="00FB60E5">
        <w:t>capital that res</w:t>
      </w:r>
      <w:r w:rsidR="00DE06CC" w:rsidRPr="00FB60E5">
        <w:t>ulted</w:t>
      </w:r>
      <w:r w:rsidR="00F8526D" w:rsidRPr="00FB60E5">
        <w:t>, as well as</w:t>
      </w:r>
      <w:r w:rsidRPr="00FB60E5">
        <w:t xml:space="preserve"> the impact of treatment on utilisa</w:t>
      </w:r>
      <w:r w:rsidR="00AE3A5F">
        <w:t>tion of acute health resources.</w:t>
      </w:r>
    </w:p>
    <w:p w14:paraId="38A45C86" w14:textId="606BB353" w:rsidR="00C13AF7" w:rsidRPr="00FB60E5" w:rsidRDefault="00C13AF7" w:rsidP="00FB60E5">
      <w:pPr>
        <w:ind w:left="0"/>
      </w:pPr>
      <w:r w:rsidRPr="00FB60E5">
        <w:t xml:space="preserve">The design was unique in combining a diverse range of research methodologies and approaches to produce a coherent model of treatment experience and navigation. The findings from each of the components of this work are described individually prior to a </w:t>
      </w:r>
      <w:r w:rsidRPr="00FB60E5">
        <w:lastRenderedPageBreak/>
        <w:t xml:space="preserve">description of the integrated emerging themes and the resulting </w:t>
      </w:r>
      <w:r w:rsidR="00A67984">
        <w:t>recommendations from this work.</w:t>
      </w:r>
    </w:p>
    <w:p w14:paraId="38A45C87" w14:textId="295E08CC" w:rsidR="00C13AF7" w:rsidRPr="00FB60E5" w:rsidRDefault="00C13AF7" w:rsidP="009231ED">
      <w:pPr>
        <w:pStyle w:val="Heading2"/>
      </w:pPr>
      <w:bookmarkStart w:id="54" w:name="_Toc531696233"/>
      <w:r w:rsidRPr="00FB60E5">
        <w:t xml:space="preserve">Priority </w:t>
      </w:r>
      <w:r w:rsidR="00D15EAE">
        <w:t>1</w:t>
      </w:r>
      <w:r w:rsidRPr="00FB60E5">
        <w:t>: Findi</w:t>
      </w:r>
      <w:r w:rsidR="00A67984">
        <w:t>ngs from the System Description</w:t>
      </w:r>
      <w:bookmarkEnd w:id="54"/>
    </w:p>
    <w:p w14:paraId="38A45C88" w14:textId="385E7BCA" w:rsidR="00C13AF7" w:rsidRPr="00FB60E5" w:rsidRDefault="00C13AF7" w:rsidP="00FB60E5">
      <w:pPr>
        <w:ind w:left="0"/>
      </w:pPr>
      <w:r w:rsidRPr="00FB60E5">
        <w:t xml:space="preserve">The </w:t>
      </w:r>
      <w:r w:rsidR="003948F1" w:rsidRPr="00FB60E5">
        <w:t xml:space="preserve">investigation </w:t>
      </w:r>
      <w:r w:rsidRPr="00FB60E5">
        <w:t>of AOD treatment systems in each state and territory involved a documentary analysis supported by key stakeholder interviews with a diverse range of policy makers</w:t>
      </w:r>
      <w:r w:rsidR="00F8526D" w:rsidRPr="00FB60E5">
        <w:t>. These individuals</w:t>
      </w:r>
      <w:r w:rsidRPr="00FB60E5">
        <w:t xml:space="preserve"> subsequently participated in reviewing the initial analysis of their own jurisdiction</w:t>
      </w:r>
      <w:r w:rsidR="001F182C" w:rsidRPr="00FB60E5">
        <w:t>al findings</w:t>
      </w:r>
      <w:r w:rsidR="00F8526D" w:rsidRPr="00FB60E5">
        <w:t>,</w:t>
      </w:r>
      <w:r w:rsidRPr="00FB60E5">
        <w:t xml:space="preserve"> providing invaluable context to the work </w:t>
      </w:r>
      <w:r w:rsidR="00F8526D" w:rsidRPr="00FB60E5">
        <w:t>conducted</w:t>
      </w:r>
      <w:r w:rsidRPr="00FB60E5">
        <w:t>. The analysis showed important commonalities as well as areas of difference across jurisdictions, with broad principles articulated in most relevant strategic policy documents. In essence, most systems strive to provide accessible, client-centred services that deliver evidence-based treatment within a harm-reduction framework. There is also a general aspiration that specialist services are one part of a larger interconnected system integrating with oth</w:t>
      </w:r>
      <w:r w:rsidR="00A67984">
        <w:t>er health and welfare services.</w:t>
      </w:r>
    </w:p>
    <w:p w14:paraId="38A45C89" w14:textId="77777777" w:rsidR="00C13AF7" w:rsidRPr="00FB60E5" w:rsidRDefault="00C13AF7" w:rsidP="00FB60E5">
      <w:pPr>
        <w:ind w:left="0"/>
      </w:pPr>
      <w:r w:rsidRPr="00FB60E5">
        <w:t xml:space="preserve">Assessment, counselling and withdrawal are the central components of the treatment system in many jurisdictions, although there is considerable variability in treatment utilised across the country. While some </w:t>
      </w:r>
      <w:r w:rsidR="00851091" w:rsidRPr="00FB60E5">
        <w:t xml:space="preserve">client </w:t>
      </w:r>
      <w:r w:rsidRPr="00FB60E5">
        <w:t>characteristics are relatively homogenous across jurisdictions (e.g. gender, age, country of birth), there is considerable heterogeneity in terms of Indigenous status, primary drug of concern and referral source, although it is not clear that system variations are a direct response to differences in presenting populations or profiles. The review revealed diversity of models of service provision across Australia, and limitations in capacity for demand modelling or mapping the effectiveness of aspects of the treatment system.</w:t>
      </w:r>
    </w:p>
    <w:p w14:paraId="38A45C8A" w14:textId="77777777" w:rsidR="00C13AF7" w:rsidRPr="00FB60E5" w:rsidRDefault="00C13AF7" w:rsidP="00FB60E5">
      <w:pPr>
        <w:ind w:left="0"/>
      </w:pPr>
      <w:r w:rsidRPr="00FB60E5">
        <w:t xml:space="preserve">There is apparent commitment in all states and territories to monitoring and accountability, although the mechanisms in place vary by jurisdiction and it is an area for ongoing development. There is clear support for ensuring AOD service systems that are accessible and responsive to the needs of </w:t>
      </w:r>
      <w:r w:rsidR="001E002C" w:rsidRPr="00FB60E5">
        <w:t>clients</w:t>
      </w:r>
      <w:r w:rsidRPr="00FB60E5">
        <w:t>. Further, ensuring adequate care pathways is an objective in many states and territories, although the challenges in achieving this are widely recognised, as are the attempts to integrate effectively with link</w:t>
      </w:r>
      <w:r w:rsidR="00F8526D" w:rsidRPr="00FB60E5">
        <w:t>ed</w:t>
      </w:r>
      <w:r w:rsidRPr="00FB60E5">
        <w:t xml:space="preserve"> services</w:t>
      </w:r>
      <w:r w:rsidR="00F8526D" w:rsidRPr="00FB60E5">
        <w:t>,</w:t>
      </w:r>
      <w:r w:rsidRPr="00FB60E5">
        <w:t xml:space="preserve"> such as primary care, mental health, criminal justice, housing and social services.</w:t>
      </w:r>
    </w:p>
    <w:p w14:paraId="38A45C8B" w14:textId="3BCBA729" w:rsidR="00C13AF7" w:rsidRPr="00FB60E5" w:rsidRDefault="00C13AF7" w:rsidP="00FB60E5">
      <w:pPr>
        <w:ind w:left="0"/>
      </w:pPr>
      <w:r w:rsidRPr="00FB60E5">
        <w:t xml:space="preserve">Given the policy emphasis on accessible and interconnected service systems in most jurisdictions, it is not clear from the evidence gathered through the document review and consultation processes how well integrated existing AOD systems currently are, or what mechanisms exist for evaluating this. This links to the perceived omission around formal mechanisms for demand modelling and for mapping addiction and treatment careers. </w:t>
      </w:r>
      <w:r w:rsidR="001769E9" w:rsidRPr="00FB60E5">
        <w:t>Key findings from this work have already been used by the Drug Policy Modelling Program</w:t>
      </w:r>
      <w:r w:rsidR="00381191" w:rsidRPr="00FB60E5">
        <w:t xml:space="preserve"> (DPMP)</w:t>
      </w:r>
      <w:r w:rsidR="001769E9" w:rsidRPr="00FB60E5">
        <w:t xml:space="preserve">, at the University of New South Wales, to inform </w:t>
      </w:r>
      <w:r w:rsidR="001E002C" w:rsidRPr="00FB60E5">
        <w:t xml:space="preserve">a </w:t>
      </w:r>
      <w:r w:rsidR="001769E9" w:rsidRPr="00FB60E5">
        <w:t xml:space="preserve">Commonwealth funded </w:t>
      </w:r>
      <w:r w:rsidR="001E002C" w:rsidRPr="00FB60E5">
        <w:t xml:space="preserve">review </w:t>
      </w:r>
      <w:r w:rsidR="001769E9" w:rsidRPr="00FB60E5">
        <w:t xml:space="preserve">of the </w:t>
      </w:r>
      <w:r w:rsidR="001E002C" w:rsidRPr="00FB60E5">
        <w:t>AOD treatment service sector</w:t>
      </w:r>
      <w:r w:rsidR="00BB0AF1">
        <w:t>.</w:t>
      </w:r>
    </w:p>
    <w:p w14:paraId="38A45C8C" w14:textId="4A1CA861" w:rsidR="00C13AF7" w:rsidRPr="00FB60E5" w:rsidRDefault="00C13AF7" w:rsidP="009231ED">
      <w:pPr>
        <w:pStyle w:val="Heading2"/>
      </w:pPr>
      <w:bookmarkStart w:id="55" w:name="_Toc531696234"/>
      <w:r w:rsidRPr="00FB60E5">
        <w:t xml:space="preserve">Priority </w:t>
      </w:r>
      <w:r w:rsidR="00D15EAE">
        <w:t>1</w:t>
      </w:r>
      <w:r w:rsidRPr="00FB60E5">
        <w:t xml:space="preserve"> – Part 1: Treatment cohort outcome</w:t>
      </w:r>
      <w:r w:rsidR="00DE06CC" w:rsidRPr="00FB60E5">
        <w:t>s</w:t>
      </w:r>
      <w:r w:rsidRPr="00FB60E5">
        <w:t xml:space="preserve"> study</w:t>
      </w:r>
      <w:bookmarkEnd w:id="55"/>
    </w:p>
    <w:p w14:paraId="38A45C8D" w14:textId="481167F4" w:rsidR="00E373EA" w:rsidRPr="00FB60E5" w:rsidRDefault="00E373EA" w:rsidP="00FB60E5">
      <w:pPr>
        <w:ind w:left="0"/>
      </w:pPr>
      <w:r w:rsidRPr="00FB60E5">
        <w:t xml:space="preserve">In total, 796 clients were recruited between January 2012 and January 2013 from 20 AOD specialist services in </w:t>
      </w:r>
      <w:r w:rsidR="00DD4269" w:rsidRPr="00FB60E5">
        <w:t>Victoria (</w:t>
      </w:r>
      <w:r w:rsidRPr="00FB60E5">
        <w:t>VIC</w:t>
      </w:r>
      <w:r w:rsidR="004533A7" w:rsidRPr="00FB60E5">
        <w:t>)</w:t>
      </w:r>
      <w:r w:rsidRPr="00FB60E5">
        <w:t xml:space="preserve"> and </w:t>
      </w:r>
      <w:r w:rsidR="00DD4269" w:rsidRPr="00FB60E5">
        <w:t>Western Australia (</w:t>
      </w:r>
      <w:r w:rsidRPr="00FB60E5">
        <w:t>WA</w:t>
      </w:r>
      <w:r w:rsidR="00DD4269" w:rsidRPr="00FB60E5">
        <w:t>)</w:t>
      </w:r>
      <w:r w:rsidRPr="00FB60E5">
        <w:t xml:space="preserve">, of which </w:t>
      </w:r>
      <w:r w:rsidR="008D30A5" w:rsidRPr="00FB60E5">
        <w:t>29</w:t>
      </w:r>
      <w:r w:rsidRPr="00FB60E5">
        <w:t xml:space="preserve">% were in long-term residential treatment, 44% in </w:t>
      </w:r>
      <w:r w:rsidR="00ED77FC" w:rsidRPr="00FB60E5">
        <w:t xml:space="preserve">acute </w:t>
      </w:r>
      <w:r w:rsidRPr="00FB60E5">
        <w:t xml:space="preserve">withdrawal services, and 27% in outpatient </w:t>
      </w:r>
      <w:r w:rsidR="00DD4269" w:rsidRPr="00FB60E5">
        <w:t xml:space="preserve">delivered </w:t>
      </w:r>
      <w:r w:rsidRPr="00FB60E5">
        <w:t>treatment. The cohort was predominantly male (62%), Australian-born (80%), with English as their first language (95%) and had a me</w:t>
      </w:r>
      <w:r w:rsidR="00937656" w:rsidRPr="00FB60E5">
        <w:t>di</w:t>
      </w:r>
      <w:r w:rsidRPr="00FB60E5">
        <w:t xml:space="preserve">an age of </w:t>
      </w:r>
      <w:r w:rsidR="00937656" w:rsidRPr="00FB60E5">
        <w:t>35.9</w:t>
      </w:r>
      <w:r w:rsidRPr="00FB60E5">
        <w:t xml:space="preserve"> years. At baseline, the primary drug of concern </w:t>
      </w:r>
      <w:r w:rsidR="00545C63" w:rsidRPr="00FB60E5">
        <w:t>(</w:t>
      </w:r>
      <w:r w:rsidR="00EE7A8F" w:rsidRPr="00FB60E5">
        <w:t>PDOC</w:t>
      </w:r>
      <w:r w:rsidR="00545C63" w:rsidRPr="00FB60E5">
        <w:t xml:space="preserve">) </w:t>
      </w:r>
      <w:r w:rsidRPr="00FB60E5">
        <w:t>was alcohol (47%); cannabis (1</w:t>
      </w:r>
      <w:r w:rsidR="00D92556" w:rsidRPr="00FB60E5">
        <w:t>5</w:t>
      </w:r>
      <w:r w:rsidRPr="00FB60E5">
        <w:t>%); meth</w:t>
      </w:r>
      <w:r w:rsidR="00E977AF" w:rsidRPr="00FB60E5">
        <w:t>/</w:t>
      </w:r>
      <w:r w:rsidRPr="00FB60E5">
        <w:t>amphetamine (</w:t>
      </w:r>
      <w:r w:rsidR="00D92556" w:rsidRPr="00FB60E5">
        <w:t>20</w:t>
      </w:r>
      <w:r w:rsidRPr="00FB60E5">
        <w:t xml:space="preserve">%); opioids (15%); and other drugs (3%). Almost all participants (99%) had addiction severity scores in the ‘probable dependence’ range. In addition to severe AOD problems, </w:t>
      </w:r>
      <w:r w:rsidRPr="00FB60E5">
        <w:lastRenderedPageBreak/>
        <w:t xml:space="preserve">the cohort had multiple life complexities. </w:t>
      </w:r>
      <w:r w:rsidR="00DE06CC" w:rsidRPr="00FB60E5">
        <w:t>Fewer</w:t>
      </w:r>
      <w:r w:rsidRPr="00FB60E5">
        <w:t xml:space="preserve"> than 20% were currently married or in a de facto relationship, </w:t>
      </w:r>
      <w:proofErr w:type="gramStart"/>
      <w:r w:rsidR="00DE06CC" w:rsidRPr="00FB60E5">
        <w:t>fewer</w:t>
      </w:r>
      <w:proofErr w:type="gramEnd"/>
      <w:r w:rsidRPr="00FB60E5">
        <w:t xml:space="preserve"> than one-third had participated in paid employment in the previous 90 days, most (84%) were in receipt of government benefits, </w:t>
      </w:r>
      <w:r w:rsidR="00D92F7E" w:rsidRPr="00FB60E5">
        <w:t xml:space="preserve">more than </w:t>
      </w:r>
      <w:r w:rsidRPr="00FB60E5">
        <w:t xml:space="preserve">one-quarter had been homeless in the past 90 days, and </w:t>
      </w:r>
      <w:r w:rsidR="00D92F7E" w:rsidRPr="00FB60E5">
        <w:t xml:space="preserve">more than </w:t>
      </w:r>
      <w:r w:rsidRPr="00FB60E5">
        <w:t>half reported having chronic medical problems. Most had been heavily engaged in multiple AOD services and community services in the year prior to their primary index treatment (PIT) when recruited to the study. In</w:t>
      </w:r>
      <w:r w:rsidR="004F6578" w:rsidRPr="00FB60E5">
        <w:t xml:space="preserve"> summary</w:t>
      </w:r>
      <w:r w:rsidRPr="00FB60E5">
        <w:t xml:space="preserve">, this was a complex sample of participants experiencing a </w:t>
      </w:r>
      <w:r w:rsidR="00545C63" w:rsidRPr="00FB60E5">
        <w:t xml:space="preserve">broad </w:t>
      </w:r>
      <w:r w:rsidRPr="00FB60E5">
        <w:t>range of chronic health and wellbeing problems</w:t>
      </w:r>
      <w:r w:rsidR="00545C63" w:rsidRPr="00FB60E5">
        <w:t>,</w:t>
      </w:r>
      <w:r w:rsidRPr="00FB60E5">
        <w:t xml:space="preserve"> who were engaged with multiple services, the majority of whom were previous use</w:t>
      </w:r>
      <w:r w:rsidR="00A67984">
        <w:t>rs of specialist AOD treatment.</w:t>
      </w:r>
    </w:p>
    <w:p w14:paraId="38A45C8E" w14:textId="0ED8A0D2" w:rsidR="00E373EA" w:rsidRPr="00FB60E5" w:rsidRDefault="00E373EA" w:rsidP="00FB60E5">
      <w:pPr>
        <w:ind w:left="0"/>
      </w:pPr>
      <w:r w:rsidRPr="00BB0AF1">
        <w:rPr>
          <w:rStyle w:val="Strong"/>
        </w:rPr>
        <w:t>Follow-up Results:</w:t>
      </w:r>
      <w:r w:rsidRPr="00FB60E5">
        <w:t xml:space="preserve"> Follow-up interviews were completed by 555 (</w:t>
      </w:r>
      <w:r w:rsidR="00D92556" w:rsidRPr="00FB60E5">
        <w:t>70</w:t>
      </w:r>
      <w:r w:rsidRPr="00FB60E5">
        <w:t>%) of the baseline participants approximately one year later (mean = 380</w:t>
      </w:r>
      <w:r w:rsidR="00D92F7E" w:rsidRPr="00FB60E5">
        <w:t>.3</w:t>
      </w:r>
      <w:r w:rsidRPr="00FB60E5">
        <w:t xml:space="preserve"> days). The one-year outcome data suggest</w:t>
      </w:r>
      <w:r w:rsidR="004F6578" w:rsidRPr="00FB60E5">
        <w:t>ed that</w:t>
      </w:r>
      <w:r w:rsidRPr="00FB60E5">
        <w:t xml:space="preserve"> treatment </w:t>
      </w:r>
      <w:r w:rsidR="004F6578" w:rsidRPr="00FB60E5">
        <w:t xml:space="preserve">was </w:t>
      </w:r>
      <w:r w:rsidRPr="00FB60E5">
        <w:t>effective. More than half (</w:t>
      </w:r>
      <w:r w:rsidR="00E57103" w:rsidRPr="00FB60E5">
        <w:t>53</w:t>
      </w:r>
      <w:r w:rsidRPr="00FB60E5">
        <w:t xml:space="preserve">%) were 'treatment successes' defined as being either abstinent from their </w:t>
      </w:r>
      <w:r w:rsidR="00EE7A8F" w:rsidRPr="00FB60E5">
        <w:t>PDOC</w:t>
      </w:r>
      <w:r w:rsidRPr="00FB60E5">
        <w:t xml:space="preserve"> or having reduced the frequency of </w:t>
      </w:r>
      <w:r w:rsidR="000238A3" w:rsidRPr="00FB60E5">
        <w:t xml:space="preserve">non-prescribed </w:t>
      </w:r>
      <w:r w:rsidRPr="00FB60E5">
        <w:t>use</w:t>
      </w:r>
      <w:r w:rsidR="00E57103" w:rsidRPr="00FB60E5">
        <w:t xml:space="preserve"> of the PDOC</w:t>
      </w:r>
      <w:r w:rsidRPr="00FB60E5">
        <w:t xml:space="preserve"> by more than 50%, </w:t>
      </w:r>
      <w:r w:rsidR="00545C63" w:rsidRPr="00FB60E5">
        <w:t xml:space="preserve">with </w:t>
      </w:r>
      <w:r w:rsidRPr="00FB60E5">
        <w:t>3</w:t>
      </w:r>
      <w:r w:rsidR="00D92556" w:rsidRPr="00FB60E5">
        <w:t>8</w:t>
      </w:r>
      <w:r w:rsidRPr="00FB60E5">
        <w:t>% abstinent from their primary drug of choice in the month prior to the follow-up interview. Quality of life in the physical, psychological, social and environmental domains also improved significantly between baseline and follow-up, though mean scores remained below Australian norms and there were high rates of ongoing involvement with specialist AOD and with other services at the one-year follow-up.</w:t>
      </w:r>
    </w:p>
    <w:p w14:paraId="38A45C8F" w14:textId="77777777" w:rsidR="00E373EA" w:rsidRPr="00FB60E5" w:rsidRDefault="00E373EA" w:rsidP="00FB60E5">
      <w:pPr>
        <w:ind w:left="0"/>
      </w:pPr>
      <w:r w:rsidRPr="00FB60E5">
        <w:t>Rates of abstinence</w:t>
      </w:r>
      <w:r w:rsidR="00E57103" w:rsidRPr="00FB60E5">
        <w:t xml:space="preserve"> from the PDOC</w:t>
      </w:r>
      <w:r w:rsidRPr="00FB60E5">
        <w:t xml:space="preserve"> during the 30 days prior to follow-up were significantly higher among </w:t>
      </w:r>
      <w:r w:rsidR="00545C63" w:rsidRPr="00FB60E5">
        <w:t>participants whose</w:t>
      </w:r>
      <w:r w:rsidRPr="00FB60E5">
        <w:t xml:space="preserve"> </w:t>
      </w:r>
      <w:r w:rsidR="00545C63" w:rsidRPr="00FB60E5">
        <w:t xml:space="preserve">PIT was </w:t>
      </w:r>
      <w:r w:rsidRPr="00FB60E5">
        <w:t>long-term residential treatment (</w:t>
      </w:r>
      <w:r w:rsidR="00D92556" w:rsidRPr="00FB60E5">
        <w:t>56</w:t>
      </w:r>
      <w:r w:rsidRPr="00FB60E5">
        <w:t xml:space="preserve">%), </w:t>
      </w:r>
      <w:r w:rsidR="00545C63" w:rsidRPr="00FB60E5">
        <w:t xml:space="preserve">as </w:t>
      </w:r>
      <w:r w:rsidRPr="00FB60E5">
        <w:t xml:space="preserve">compared to outpatients </w:t>
      </w:r>
      <w:r w:rsidR="00545C63" w:rsidRPr="00FB60E5">
        <w:t xml:space="preserve">(33%) </w:t>
      </w:r>
      <w:r w:rsidRPr="00FB60E5">
        <w:t>and acute withdrawal</w:t>
      </w:r>
      <w:r w:rsidR="00545C63" w:rsidRPr="00FB60E5">
        <w:t xml:space="preserve"> (30%)</w:t>
      </w:r>
      <w:r w:rsidRPr="00FB60E5">
        <w:t xml:space="preserve">. Participants who had been in residential rehabilitation at any point in either the year preceding their PIT or the year following had significantly </w:t>
      </w:r>
      <w:r w:rsidR="00545C63" w:rsidRPr="00FB60E5">
        <w:t xml:space="preserve">greater </w:t>
      </w:r>
      <w:r w:rsidRPr="00FB60E5">
        <w:t xml:space="preserve">rates of abstinence at follow-up. Abstinence rates in the past month were highest when the </w:t>
      </w:r>
      <w:r w:rsidR="00EE7A8F" w:rsidRPr="00FB60E5">
        <w:t>PDOC</w:t>
      </w:r>
      <w:r w:rsidRPr="00FB60E5">
        <w:t xml:space="preserve"> was meth</w:t>
      </w:r>
      <w:r w:rsidR="00E977AF" w:rsidRPr="00FB60E5">
        <w:t>/</w:t>
      </w:r>
      <w:r w:rsidRPr="00FB60E5">
        <w:t>amphetamine (</w:t>
      </w:r>
      <w:r w:rsidR="00D92556" w:rsidRPr="00FB60E5">
        <w:t>61</w:t>
      </w:r>
      <w:r w:rsidRPr="00FB60E5">
        <w:t xml:space="preserve">%), followed by opioids (45%); cannabis (34%) and lowest for alcohol (28%). Fourteen percent of the sample reported complete abstinence from their </w:t>
      </w:r>
      <w:r w:rsidR="00EE7A8F" w:rsidRPr="00FB60E5">
        <w:t>PDOC</w:t>
      </w:r>
      <w:r w:rsidRPr="00FB60E5">
        <w:t xml:space="preserve"> throughout the entire follow-up year, and this was highest when the primary drug was meth</w:t>
      </w:r>
      <w:r w:rsidR="00E977AF" w:rsidRPr="00FB60E5">
        <w:t>/</w:t>
      </w:r>
      <w:r w:rsidRPr="00FB60E5">
        <w:t xml:space="preserve">amphetamine (26%, a rate markedly higher than reported in the MATES </w:t>
      </w:r>
      <w:r w:rsidR="00545C63" w:rsidRPr="00FB60E5">
        <w:t xml:space="preserve">cohort </w:t>
      </w:r>
      <w:r w:rsidRPr="00FB60E5">
        <w:t xml:space="preserve">study in 2012). </w:t>
      </w:r>
      <w:r w:rsidR="005D419C" w:rsidRPr="00FB60E5">
        <w:t>Taking a conservative estimate and assuming all participants</w:t>
      </w:r>
      <w:r w:rsidR="00C679A2" w:rsidRPr="00FB60E5">
        <w:t xml:space="preserve"> who withdrew or were</w:t>
      </w:r>
      <w:r w:rsidR="005D419C" w:rsidRPr="00FB60E5">
        <w:t xml:space="preserve"> lost to follow-up were still using</w:t>
      </w:r>
      <w:r w:rsidR="00C679A2" w:rsidRPr="00FB60E5">
        <w:t xml:space="preserve"> their PDOC</w:t>
      </w:r>
      <w:r w:rsidR="005D419C" w:rsidRPr="00FB60E5">
        <w:t xml:space="preserve">, </w:t>
      </w:r>
      <w:r w:rsidR="00545C63" w:rsidRPr="00FB60E5">
        <w:t>the rate of treatment success</w:t>
      </w:r>
      <w:r w:rsidR="00C679A2" w:rsidRPr="00FB60E5">
        <w:t xml:space="preserve"> in the entire baseline sample (excluding those known to be deceased or incarcerated at follow-up)</w:t>
      </w:r>
      <w:r w:rsidR="004C17BA" w:rsidRPr="00FB60E5">
        <w:t xml:space="preserve"> was</w:t>
      </w:r>
      <w:r w:rsidR="00545C63" w:rsidRPr="00FB60E5">
        <w:t xml:space="preserve"> 3</w:t>
      </w:r>
      <w:r w:rsidR="00D92556" w:rsidRPr="00FB60E5">
        <w:t>8</w:t>
      </w:r>
      <w:r w:rsidR="004C17BA" w:rsidRPr="00FB60E5">
        <w:t xml:space="preserve">% with </w:t>
      </w:r>
      <w:r w:rsidR="00545C63" w:rsidRPr="00FB60E5">
        <w:t>27% abstinent fr</w:t>
      </w:r>
      <w:r w:rsidR="00DE1420" w:rsidRPr="00FB60E5">
        <w:t>o</w:t>
      </w:r>
      <w:r w:rsidR="00545C63" w:rsidRPr="00FB60E5">
        <w:t xml:space="preserve">m their </w:t>
      </w:r>
      <w:r w:rsidR="00EE7A8F" w:rsidRPr="00FB60E5">
        <w:t>PDOC</w:t>
      </w:r>
      <w:r w:rsidR="00945411" w:rsidRPr="00FB60E5">
        <w:t xml:space="preserve"> in the 30 days prior to follow-up</w:t>
      </w:r>
      <w:r w:rsidR="00545C63" w:rsidRPr="00FB60E5">
        <w:t>.</w:t>
      </w:r>
    </w:p>
    <w:p w14:paraId="16A7BDB2" w14:textId="77777777" w:rsidR="002C27A8" w:rsidRDefault="00B31DCB" w:rsidP="00FB60E5">
      <w:pPr>
        <w:ind w:left="0"/>
      </w:pPr>
      <w:r w:rsidRPr="00FB60E5">
        <w:t>Predictors of treatment success (achieving abstinence or at least 50% reduced consumption of PDOC) were examined. Significant predictors were completion of the PIT, mutual aid attendance</w:t>
      </w:r>
      <w:r w:rsidR="008806F9" w:rsidRPr="00BB0AF1">
        <w:rPr>
          <w:vertAlign w:val="superscript"/>
        </w:rPr>
        <w:footnoteReference w:id="1"/>
      </w:r>
      <w:r w:rsidRPr="00FB60E5">
        <w:t xml:space="preserve"> post-PIT and being born outside of Australia. Significant predictors of treatment failures were having alcohol as the PDOC and having a longer interval between baseline and follow-up. With respect to abstinence, a similar pattern was found </w:t>
      </w:r>
      <w:proofErr w:type="gramStart"/>
      <w:r w:rsidR="001070AE" w:rsidRPr="00FB60E5">
        <w:t>w</w:t>
      </w:r>
      <w:r w:rsidR="00F20CCC" w:rsidRPr="00FB60E5">
        <w:t>hereby</w:t>
      </w:r>
      <w:r w:rsidR="001070AE" w:rsidRPr="00FB60E5">
        <w:t>,</w:t>
      </w:r>
      <w:proofErr w:type="gramEnd"/>
      <w:r w:rsidR="00F20CCC" w:rsidRPr="00FB60E5">
        <w:t xml:space="preserve"> significant predictors of abstinence were </w:t>
      </w:r>
      <w:r w:rsidR="001070AE" w:rsidRPr="00FB60E5">
        <w:t>opio</w:t>
      </w:r>
      <w:r w:rsidR="00AC0921" w:rsidRPr="00FB60E5">
        <w:t>i</w:t>
      </w:r>
      <w:r w:rsidR="001070AE" w:rsidRPr="00FB60E5">
        <w:t>ds and meth/amp</w:t>
      </w:r>
      <w:r w:rsidR="00AC0921" w:rsidRPr="00FB60E5">
        <w:t>hetamine</w:t>
      </w:r>
      <w:r w:rsidR="001070AE" w:rsidRPr="00FB60E5">
        <w:t xml:space="preserve"> as PDOC relative to alcohol, residential rehabilitation as the PIT </w:t>
      </w:r>
      <w:r w:rsidR="00F20CCC" w:rsidRPr="00FB60E5">
        <w:t xml:space="preserve">and use of community services </w:t>
      </w:r>
      <w:r w:rsidR="001070AE" w:rsidRPr="00FB60E5">
        <w:t>as well as PIT completion and mutual aid</w:t>
      </w:r>
      <w:r w:rsidR="00F20CCC" w:rsidRPr="00FB60E5">
        <w:t>.</w:t>
      </w:r>
      <w:r w:rsidRPr="00FB60E5">
        <w:t xml:space="preserve"> There was also a dose-effect of mutual aid attendance whereby more frequent attendance generated greater benefit</w:t>
      </w:r>
      <w:r w:rsidR="002C27A8">
        <w:t>.</w:t>
      </w:r>
    </w:p>
    <w:p w14:paraId="55969BF0" w14:textId="77777777" w:rsidR="002C27A8" w:rsidRDefault="00E373EA" w:rsidP="00FB60E5">
      <w:pPr>
        <w:ind w:left="0"/>
      </w:pPr>
      <w:r w:rsidRPr="00FB60E5">
        <w:lastRenderedPageBreak/>
        <w:t xml:space="preserve">Almost three-quarters engaged in further specialist AOD treatment after their index treatment. Rates of mutual aid engagement in the year following the baseline interview increased significantly relative to pre-baseline rates (with </w:t>
      </w:r>
      <w:r w:rsidR="00D15BE7" w:rsidRPr="00FB60E5">
        <w:t>49</w:t>
      </w:r>
      <w:r w:rsidR="00B51043" w:rsidRPr="00FB60E5">
        <w:t xml:space="preserve">% </w:t>
      </w:r>
      <w:r w:rsidRPr="00FB60E5">
        <w:t>attending meetings). Acute medical service use (having had an ambulance call out, ED admission or inpatient hospital admission) decreased significantly, though remained high (</w:t>
      </w:r>
      <w:r w:rsidR="00B51043" w:rsidRPr="00FB60E5">
        <w:t xml:space="preserve">with </w:t>
      </w:r>
      <w:r w:rsidRPr="00FB60E5">
        <w:t>5</w:t>
      </w:r>
      <w:r w:rsidR="00D15BE7" w:rsidRPr="00FB60E5">
        <w:t>1</w:t>
      </w:r>
      <w:r w:rsidRPr="00FB60E5">
        <w:t>%</w:t>
      </w:r>
      <w:r w:rsidR="00B51043" w:rsidRPr="00FB60E5">
        <w:t xml:space="preserve"> having used at least one of these services at least once during the follow-up period</w:t>
      </w:r>
      <w:r w:rsidRPr="00FB60E5">
        <w:t xml:space="preserve">). Community service use remained high with 94% reporting GP visits, </w:t>
      </w:r>
      <w:r w:rsidR="00D15BE7" w:rsidRPr="00FB60E5">
        <w:t>35</w:t>
      </w:r>
      <w:r w:rsidR="003C5E06" w:rsidRPr="00FB60E5">
        <w:t>%</w:t>
      </w:r>
      <w:r w:rsidRPr="00FB60E5">
        <w:t xml:space="preserve"> attending mental health services, 40% attending employment services, and 21% attending housing services in the follow-up year</w:t>
      </w:r>
      <w:r w:rsidR="002C27A8">
        <w:t>.</w:t>
      </w:r>
    </w:p>
    <w:p w14:paraId="38A45C92" w14:textId="0617AEB9" w:rsidR="00E373EA" w:rsidRPr="00FB60E5" w:rsidRDefault="00DE1420" w:rsidP="00FB60E5">
      <w:pPr>
        <w:ind w:left="0"/>
      </w:pPr>
      <w:proofErr w:type="gramStart"/>
      <w:r w:rsidRPr="00FB60E5">
        <w:t xml:space="preserve">Neither </w:t>
      </w:r>
      <w:r w:rsidR="00E373EA" w:rsidRPr="00FB60E5">
        <w:t>continuity</w:t>
      </w:r>
      <w:proofErr w:type="gramEnd"/>
      <w:r w:rsidR="00E373EA" w:rsidRPr="00FB60E5">
        <w:t xml:space="preserve"> in AOD specialist treatment nor community service engagement </w:t>
      </w:r>
      <w:r w:rsidRPr="00FB60E5">
        <w:t xml:space="preserve">with services </w:t>
      </w:r>
      <w:r w:rsidR="00E373EA" w:rsidRPr="00FB60E5">
        <w:t>m</w:t>
      </w:r>
      <w:r w:rsidR="00C573A7" w:rsidRPr="00FB60E5">
        <w:t>e</w:t>
      </w:r>
      <w:r w:rsidRPr="00FB60E5">
        <w:t>eting</w:t>
      </w:r>
      <w:r w:rsidR="00E373EA" w:rsidRPr="00FB60E5">
        <w:t xml:space="preserve"> baseline presenting needs (</w:t>
      </w:r>
      <w:r w:rsidRPr="00FB60E5">
        <w:t xml:space="preserve">in </w:t>
      </w:r>
      <w:r w:rsidR="00E373EA" w:rsidRPr="00FB60E5">
        <w:t>homelessness, unemployment, or poor psychological health)</w:t>
      </w:r>
      <w:r w:rsidR="00531D47" w:rsidRPr="00FB60E5">
        <w:t xml:space="preserve"> </w:t>
      </w:r>
      <w:r w:rsidRPr="00FB60E5">
        <w:t xml:space="preserve">were </w:t>
      </w:r>
      <w:r w:rsidR="005723E2" w:rsidRPr="00FB60E5">
        <w:t>significant</w:t>
      </w:r>
      <w:r w:rsidRPr="00FB60E5">
        <w:t xml:space="preserve"> predictors of outcome. </w:t>
      </w:r>
      <w:r w:rsidR="00E373EA" w:rsidRPr="00FB60E5">
        <w:t xml:space="preserve">The strongest and most consistent predictors of abstinence or </w:t>
      </w:r>
      <w:r w:rsidR="005723E2" w:rsidRPr="00FB60E5">
        <w:t xml:space="preserve">treatment success </w:t>
      </w:r>
      <w:r w:rsidR="00E373EA" w:rsidRPr="00FB60E5">
        <w:t xml:space="preserve">were completion of the PIT and mutual aid attendance in the </w:t>
      </w:r>
      <w:r w:rsidR="00146551" w:rsidRPr="00FB60E5">
        <w:t xml:space="preserve">year </w:t>
      </w:r>
      <w:r w:rsidR="00E373EA" w:rsidRPr="00FB60E5">
        <w:t>follow</w:t>
      </w:r>
      <w:r w:rsidR="005723E2" w:rsidRPr="00FB60E5">
        <w:t>ing their PIT</w:t>
      </w:r>
      <w:r w:rsidR="00E373EA" w:rsidRPr="00FB60E5">
        <w:t xml:space="preserve">. The extent to which participants received an optimal care pathway </w:t>
      </w:r>
      <w:r w:rsidR="001C692B" w:rsidRPr="00FB60E5">
        <w:t>(</w:t>
      </w:r>
      <w:r w:rsidR="00E373EA" w:rsidRPr="00FB60E5">
        <w:t xml:space="preserve">defined </w:t>
      </w:r>
      <w:r w:rsidR="00DE06CC" w:rsidRPr="00FB60E5">
        <w:t>by</w:t>
      </w:r>
      <w:r w:rsidR="00E373EA" w:rsidRPr="00FB60E5">
        <w:t xml:space="preserve"> PIT completion, continuity of AOD treatment, engagement in community services, having no unmet needs, and mutual aid attendance</w:t>
      </w:r>
      <w:r w:rsidR="001C692B" w:rsidRPr="00FB60E5">
        <w:t>)</w:t>
      </w:r>
      <w:r w:rsidR="00E373EA" w:rsidRPr="00FB60E5">
        <w:t xml:space="preserve"> did predict abstinence from </w:t>
      </w:r>
      <w:r w:rsidR="0082209D" w:rsidRPr="00FB60E5">
        <w:t xml:space="preserve">their </w:t>
      </w:r>
      <w:r w:rsidR="00EE7A8F" w:rsidRPr="00FB60E5">
        <w:t>PDOC</w:t>
      </w:r>
      <w:r w:rsidR="00E373EA" w:rsidRPr="00FB60E5">
        <w:t xml:space="preserve"> at follow-up, with a significantly higher likelihood of being abstinent with more optimal care pathways</w:t>
      </w:r>
      <w:r w:rsidR="001070AE" w:rsidRPr="00FB60E5">
        <w:t xml:space="preserve"> for alcohol but not drug </w:t>
      </w:r>
      <w:r w:rsidR="003C2544" w:rsidRPr="00FB60E5">
        <w:t>participants</w:t>
      </w:r>
      <w:r w:rsidR="00E373EA" w:rsidRPr="00FB60E5">
        <w:t>.</w:t>
      </w:r>
    </w:p>
    <w:p w14:paraId="38A45C93" w14:textId="38D68F33" w:rsidR="001C692B" w:rsidRPr="00FB60E5" w:rsidRDefault="00E373EA" w:rsidP="00FB60E5">
      <w:pPr>
        <w:ind w:left="0"/>
      </w:pPr>
      <w:r w:rsidRPr="00FB60E5">
        <w:t xml:space="preserve">For participants who stated at baseline that abstinence was their primary treatment objective, and this was the majority of participants in all three treatment modalities studied, the factors most strongly associated with success were completion of the index treatment, having a treatment journey that included residential rehabilitation and engagement in mutual aid groups (with greater mutual aid attendance associated with better outcomes). </w:t>
      </w:r>
      <w:r w:rsidR="001C692B" w:rsidRPr="00FB60E5">
        <w:t xml:space="preserve">The most notable finding was that the outcomes were most positive when the </w:t>
      </w:r>
      <w:r w:rsidR="00146551" w:rsidRPr="00FB60E5">
        <w:t>PDOC</w:t>
      </w:r>
      <w:r w:rsidR="001C692B" w:rsidRPr="00FB60E5">
        <w:t xml:space="preserve"> was </w:t>
      </w:r>
      <w:r w:rsidR="00087D81" w:rsidRPr="00FB60E5">
        <w:t>meth</w:t>
      </w:r>
      <w:r w:rsidR="00E977AF" w:rsidRPr="00FB60E5">
        <w:t>/</w:t>
      </w:r>
      <w:r w:rsidR="001C692B" w:rsidRPr="00FB60E5">
        <w:t>amphetamine, which is important</w:t>
      </w:r>
      <w:r w:rsidR="005723E2" w:rsidRPr="00FB60E5">
        <w:t xml:space="preserve"> as it is considered a national concern </w:t>
      </w:r>
      <w:r w:rsidR="001C692B" w:rsidRPr="00FB60E5">
        <w:t xml:space="preserve">due to its relative accessibility, affordability and </w:t>
      </w:r>
      <w:r w:rsidR="00403FF1" w:rsidRPr="00FB60E5">
        <w:t>damaging</w:t>
      </w:r>
      <w:r w:rsidR="001C692B" w:rsidRPr="00FB60E5">
        <w:t xml:space="preserve"> side-effects</w:t>
      </w:r>
      <w:r w:rsidR="005723E2" w:rsidRPr="00FB60E5">
        <w:t xml:space="preserve"> </w:t>
      </w:r>
      <w:r w:rsidR="001C692B" w:rsidRPr="00FB60E5">
        <w:t xml:space="preserve">(Australian Crime Commission, 2014). However outcomes were markedly </w:t>
      </w:r>
      <w:r w:rsidR="00146551" w:rsidRPr="00FB60E5">
        <w:t xml:space="preserve">worse </w:t>
      </w:r>
      <w:r w:rsidR="00A67984">
        <w:t>when the PDOC was alcohol.</w:t>
      </w:r>
    </w:p>
    <w:p w14:paraId="38A45C94" w14:textId="77777777" w:rsidR="002646C4" w:rsidRPr="00FB60E5" w:rsidRDefault="001070AE" w:rsidP="00FB60E5">
      <w:pPr>
        <w:ind w:left="0"/>
      </w:pPr>
      <w:r w:rsidRPr="00FB60E5">
        <w:t xml:space="preserve">After weighting the data so that the Patient Pathways </w:t>
      </w:r>
      <w:r w:rsidR="00941255" w:rsidRPr="00FB60E5">
        <w:t>cohort</w:t>
      </w:r>
      <w:r w:rsidRPr="00FB60E5">
        <w:t xml:space="preserve"> were </w:t>
      </w:r>
      <w:r w:rsidR="00941255" w:rsidRPr="00FB60E5">
        <w:t>representati</w:t>
      </w:r>
      <w:r w:rsidR="00906445" w:rsidRPr="00FB60E5">
        <w:t>ve</w:t>
      </w:r>
      <w:r w:rsidRPr="00FB60E5">
        <w:t xml:space="preserve"> of the broader treatment seeking population accessing AOD specialist services in Victoria and WA during 2011/12</w:t>
      </w:r>
      <w:r w:rsidR="00941255" w:rsidRPr="00FB60E5">
        <w:t xml:space="preserve"> (using data from AIHW 2013), there were few changes to the findings. Abstinence and treatment success rates were only marginally reduced and weighted data confirmed PIT completion, mutual aid attendance, meth/amphetamines and opioids (relative to alcohol) as significant predictors of these outcomes. </w:t>
      </w:r>
      <w:r w:rsidR="005723E2" w:rsidRPr="00FB60E5">
        <w:t xml:space="preserve">With weighted data, </w:t>
      </w:r>
      <w:r w:rsidR="00941255" w:rsidRPr="00FB60E5">
        <w:t xml:space="preserve">community service use </w:t>
      </w:r>
      <w:r w:rsidR="005723E2" w:rsidRPr="00FB60E5">
        <w:t xml:space="preserve">was a significant predictor of </w:t>
      </w:r>
      <w:r w:rsidR="00941255" w:rsidRPr="00FB60E5">
        <w:t xml:space="preserve">treatment success </w:t>
      </w:r>
      <w:r w:rsidR="005723E2" w:rsidRPr="00FB60E5">
        <w:t xml:space="preserve">and the finding of </w:t>
      </w:r>
      <w:r w:rsidR="00A568C5" w:rsidRPr="00FB60E5">
        <w:t>significantly</w:t>
      </w:r>
      <w:r w:rsidR="00941255" w:rsidRPr="00FB60E5">
        <w:t xml:space="preserve"> </w:t>
      </w:r>
      <w:r w:rsidR="00A568C5" w:rsidRPr="00FB60E5">
        <w:t>higher rates of abstinence among those who received any residential rehabilitation during the two year study period</w:t>
      </w:r>
      <w:r w:rsidR="005723E2" w:rsidRPr="00FB60E5">
        <w:t xml:space="preserve"> was also confirmed</w:t>
      </w:r>
      <w:r w:rsidR="00A568C5" w:rsidRPr="00FB60E5">
        <w:t>.</w:t>
      </w:r>
    </w:p>
    <w:p w14:paraId="38A45C95" w14:textId="148B0BB6" w:rsidR="00C13AF7" w:rsidRPr="00FB60E5" w:rsidRDefault="00C13AF7" w:rsidP="00AE3A5F">
      <w:pPr>
        <w:pStyle w:val="Heading2"/>
      </w:pPr>
      <w:bookmarkStart w:id="56" w:name="_Toc531696235"/>
      <w:r w:rsidRPr="00FB60E5">
        <w:t>Priori</w:t>
      </w:r>
      <w:r w:rsidR="00A67984">
        <w:t>ty 2 – Part 2: Qualitative data</w:t>
      </w:r>
      <w:bookmarkEnd w:id="56"/>
    </w:p>
    <w:p w14:paraId="38A45C96" w14:textId="77777777" w:rsidR="00C13AF7" w:rsidRPr="00FB60E5" w:rsidRDefault="00C13AF7" w:rsidP="00FB60E5">
      <w:pPr>
        <w:ind w:left="0"/>
      </w:pPr>
      <w:r w:rsidRPr="00FB60E5">
        <w:t xml:space="preserve">A total of 41 in-depth </w:t>
      </w:r>
      <w:r w:rsidR="00225DFE" w:rsidRPr="00FB60E5">
        <w:t>follow-up</w:t>
      </w:r>
      <w:r w:rsidRPr="00FB60E5">
        <w:t xml:space="preserve"> interviews were conducted with participants from the cohort study. The qualitative interview</w:t>
      </w:r>
      <w:r w:rsidR="006F2EF2" w:rsidRPr="00FB60E5">
        <w:t>s</w:t>
      </w:r>
      <w:r w:rsidRPr="00FB60E5">
        <w:t xml:space="preserve"> explored the individual’s route into treatment, their pathways through specialist and other linked services, their experiences of the treatment pathway and their current wellbeing. As </w:t>
      </w:r>
      <w:r w:rsidR="00C573A7" w:rsidRPr="00FB60E5">
        <w:t xml:space="preserve">demonstrated </w:t>
      </w:r>
      <w:r w:rsidRPr="00FB60E5">
        <w:t xml:space="preserve">in the quantitative data, there was considerable ongoing involvement with a range of services, but there was increased emphasis on the role of care coordination. For participants who had not </w:t>
      </w:r>
      <w:r w:rsidR="00C573A7" w:rsidRPr="00FB60E5">
        <w:t xml:space="preserve">received </w:t>
      </w:r>
      <w:r w:rsidRPr="00FB60E5">
        <w:t>this</w:t>
      </w:r>
      <w:r w:rsidR="00C573A7" w:rsidRPr="00FB60E5">
        <w:t xml:space="preserve"> support</w:t>
      </w:r>
      <w:r w:rsidRPr="00FB60E5">
        <w:t>, service systems were seen as complex and hard to navigate, in spite of most participants having significant previous treatment experience. There was a clear need for multiple service involvement as most participants described a diverse range of complex needs that required significant support and input.</w:t>
      </w:r>
    </w:p>
    <w:p w14:paraId="38A45C97" w14:textId="628D022C" w:rsidR="00C13AF7" w:rsidRPr="00FB60E5" w:rsidRDefault="00C13AF7" w:rsidP="00FB60E5">
      <w:pPr>
        <w:ind w:left="0"/>
      </w:pPr>
      <w:r w:rsidRPr="00FB60E5">
        <w:lastRenderedPageBreak/>
        <w:t>For this reason, a dominant theme in the qualitative analysis was around navigation and the need for suitable care coordination</w:t>
      </w:r>
      <w:r w:rsidR="001746AC" w:rsidRPr="00FB60E5">
        <w:t xml:space="preserve"> and aftercare</w:t>
      </w:r>
      <w:r w:rsidRPr="00FB60E5">
        <w:t xml:space="preserve">, particularly in the periods after completion of acute care. Where </w:t>
      </w:r>
      <w:r w:rsidR="00F43B95" w:rsidRPr="00FB60E5">
        <w:t>participant</w:t>
      </w:r>
      <w:r w:rsidRPr="00FB60E5">
        <w:t xml:space="preserve">s did receive appropriate follow-up (even in the form of telephone calls), this was regarded as welcome and beneficial. This was particularly important for individuals who did not have strong family support or other forms of social capital, and only some of the sample reported willingness to engage in mutual aid </w:t>
      </w:r>
      <w:r w:rsidR="00C573A7" w:rsidRPr="00FB60E5">
        <w:t>o</w:t>
      </w:r>
      <w:r w:rsidRPr="00FB60E5">
        <w:t xml:space="preserve">n an ongoing basis. Access to continuing and integrated care was also limited by practical factors including geographical access, </w:t>
      </w:r>
      <w:r w:rsidR="001C692B" w:rsidRPr="00FB60E5">
        <w:t xml:space="preserve">long </w:t>
      </w:r>
      <w:r w:rsidR="00984AEF" w:rsidRPr="00FB60E5">
        <w:t>waiting lists</w:t>
      </w:r>
      <w:r w:rsidR="001C692B" w:rsidRPr="00FB60E5">
        <w:t xml:space="preserve"> (particularly for residential rehabilitation) </w:t>
      </w:r>
      <w:r w:rsidRPr="00FB60E5">
        <w:t>and lack of availability of services, but also on occasion by negative attitudes held by staff. In identifying areas for development</w:t>
      </w:r>
      <w:r w:rsidR="00C573A7" w:rsidRPr="00FB60E5">
        <w:t>,</w:t>
      </w:r>
      <w:r w:rsidRPr="00FB60E5">
        <w:t xml:space="preserve"> participants in the qualitative interviews identified core areas around integrated </w:t>
      </w:r>
      <w:r w:rsidR="00114AEC" w:rsidRPr="00FB60E5">
        <w:t>care</w:t>
      </w:r>
      <w:r w:rsidRPr="00FB60E5">
        <w:t xml:space="preserve"> including better training in holistic approaches and a stronger commitment to inter-agency partnership. The clear and dominant theme from the qualitative interviews was the need for support around system navigation and the perceived limitations of the </w:t>
      </w:r>
      <w:r w:rsidR="00AE3A5F">
        <w:t>workforce in meeting that need.</w:t>
      </w:r>
    </w:p>
    <w:p w14:paraId="38A45C98" w14:textId="0A2EC436" w:rsidR="00C13AF7" w:rsidRPr="00FB60E5" w:rsidRDefault="00C13AF7" w:rsidP="00AE3A5F">
      <w:pPr>
        <w:pStyle w:val="Heading2"/>
      </w:pPr>
      <w:bookmarkStart w:id="57" w:name="_Toc531696236"/>
      <w:r w:rsidRPr="00FB60E5">
        <w:t xml:space="preserve">Priority 3: Findings from the </w:t>
      </w:r>
      <w:r w:rsidR="00540F94" w:rsidRPr="00FB60E5">
        <w:t>l</w:t>
      </w:r>
      <w:r w:rsidR="00A67984">
        <w:t>inkage data</w:t>
      </w:r>
      <w:bookmarkEnd w:id="57"/>
    </w:p>
    <w:p w14:paraId="38A45C99" w14:textId="4C1D2B82" w:rsidR="005837E3" w:rsidRPr="00FB60E5" w:rsidRDefault="00C13AF7" w:rsidP="00FB60E5">
      <w:pPr>
        <w:ind w:left="0"/>
      </w:pPr>
      <w:r w:rsidRPr="00FB60E5">
        <w:t xml:space="preserve">Overall, decreases in acute service utilisation across emergency department </w:t>
      </w:r>
      <w:r w:rsidR="006F2EF2" w:rsidRPr="00FB60E5">
        <w:t xml:space="preserve">(ED) </w:t>
      </w:r>
      <w:r w:rsidRPr="00FB60E5">
        <w:t xml:space="preserve">and hospital inpatient settings were evident in the year following treatment engagement. These reductions were found across most </w:t>
      </w:r>
      <w:r w:rsidR="00F43B95" w:rsidRPr="00FB60E5">
        <w:t>participant</w:t>
      </w:r>
      <w:r w:rsidRPr="00FB60E5">
        <w:t xml:space="preserve"> demographic characteristics, treatment types and drug use characteristics. ED presentations and hospital admissions with an acute alcohol-related or other drug-related diagnosis decreased in the year following treatment engagement, as did presentations and admissions for a non-AOD-related condition, indicating improvements in both general health and also the experience of acute drug-related harm</w:t>
      </w:r>
      <w:r w:rsidR="00FF5019" w:rsidRPr="00FB60E5">
        <w:t>,</w:t>
      </w:r>
      <w:r w:rsidRPr="00FB60E5">
        <w:t xml:space="preserve"> such as severe intoxication or overdose. Injury presentations and admissions also decreased following treatment engagement, with larger reductions evident for </w:t>
      </w:r>
      <w:r w:rsidR="00F43B95" w:rsidRPr="00FB60E5">
        <w:t>participant</w:t>
      </w:r>
      <w:r w:rsidRPr="00FB60E5">
        <w:t xml:space="preserve">s who had been engaged in residential rehabilitation in their index year of treatment. There was stability in ED presentations and hospital admissions in the year prior to and the year following treatment engagement for alcohol-related chronic conditions, which reflects the </w:t>
      </w:r>
      <w:r w:rsidR="00225DFE" w:rsidRPr="00FB60E5">
        <w:t>long-term</w:t>
      </w:r>
      <w:r w:rsidRPr="00FB60E5">
        <w:t xml:space="preserve"> impacts (both morbidity and mortality) of heavy alcohol consumption even following treatment and reduction or cessation</w:t>
      </w:r>
      <w:r w:rsidR="00FF5019" w:rsidRPr="00FB60E5">
        <w:t xml:space="preserve"> of</w:t>
      </w:r>
      <w:r w:rsidRPr="00FB60E5">
        <w:t xml:space="preserve"> alcohol use</w:t>
      </w:r>
      <w:r w:rsidR="00084E6F" w:rsidRPr="00FB60E5">
        <w:t>.</w:t>
      </w:r>
      <w:r w:rsidRPr="00FB60E5">
        <w:t xml:space="preserve"> </w:t>
      </w:r>
      <w:r w:rsidR="001C692B" w:rsidRPr="00FB60E5">
        <w:t xml:space="preserve">The data for the </w:t>
      </w:r>
      <w:r w:rsidR="000311C5" w:rsidRPr="00FB60E5">
        <w:t>overall</w:t>
      </w:r>
      <w:r w:rsidR="001C692B" w:rsidRPr="00FB60E5">
        <w:t xml:space="preserve"> Victorian AOD</w:t>
      </w:r>
      <w:r w:rsidR="000311C5" w:rsidRPr="00FB60E5">
        <w:t xml:space="preserve"> treatment</w:t>
      </w:r>
      <w:r w:rsidR="001C692B" w:rsidRPr="00FB60E5">
        <w:t xml:space="preserve"> cohort</w:t>
      </w:r>
      <w:r w:rsidR="000311C5" w:rsidRPr="00FB60E5">
        <w:t xml:space="preserve"> demonstrating</w:t>
      </w:r>
      <w:r w:rsidR="001C692B" w:rsidRPr="00FB60E5">
        <w:t xml:space="preserve"> significant reductions in </w:t>
      </w:r>
      <w:r w:rsidR="000311C5" w:rsidRPr="00FB60E5">
        <w:t>emergency department presentations</w:t>
      </w:r>
      <w:r w:rsidR="00403FF1" w:rsidRPr="00FB60E5">
        <w:t xml:space="preserve"> </w:t>
      </w:r>
      <w:r w:rsidR="00F55665" w:rsidRPr="00FB60E5">
        <w:t xml:space="preserve">in the year following </w:t>
      </w:r>
      <w:r w:rsidR="001C692B" w:rsidRPr="00FB60E5">
        <w:t>engag</w:t>
      </w:r>
      <w:r w:rsidR="00403FF1" w:rsidRPr="00FB60E5">
        <w:t>ement</w:t>
      </w:r>
      <w:r w:rsidR="001C692B" w:rsidRPr="00FB60E5">
        <w:t xml:space="preserve"> in AOD treatment </w:t>
      </w:r>
      <w:r w:rsidR="000311C5" w:rsidRPr="00FB60E5">
        <w:t>suggest</w:t>
      </w:r>
      <w:r w:rsidR="001C692B" w:rsidRPr="00FB60E5">
        <w:t xml:space="preserve"> economic savings</w:t>
      </w:r>
      <w:r w:rsidR="000311C5" w:rsidRPr="00FB60E5">
        <w:t xml:space="preserve"> resulting from treatment engagement</w:t>
      </w:r>
      <w:r w:rsidR="00A67984">
        <w:t>.</w:t>
      </w:r>
    </w:p>
    <w:p w14:paraId="38A45C9A" w14:textId="77777777" w:rsidR="003258AA" w:rsidRPr="00FB60E5" w:rsidRDefault="00766D3F" w:rsidP="00FB60E5">
      <w:pPr>
        <w:ind w:left="0"/>
      </w:pPr>
      <w:r w:rsidRPr="00FB60E5">
        <w:t xml:space="preserve">Among the four subpopulations of AOD clients identified </w:t>
      </w:r>
      <w:r w:rsidR="004C17BA" w:rsidRPr="00FB60E5">
        <w:t>in terms of</w:t>
      </w:r>
      <w:r w:rsidR="005723E2" w:rsidRPr="00FB60E5">
        <w:t xml:space="preserve"> who</w:t>
      </w:r>
      <w:r w:rsidRPr="00FB60E5">
        <w:t xml:space="preserve"> present</w:t>
      </w:r>
      <w:r w:rsidR="00906445" w:rsidRPr="00FB60E5">
        <w:t>ed</w:t>
      </w:r>
      <w:r w:rsidRPr="00FB60E5">
        <w:t xml:space="preserve"> with</w:t>
      </w:r>
      <w:r w:rsidR="00906445" w:rsidRPr="00FB60E5">
        <w:t xml:space="preserve"> the key </w:t>
      </w:r>
      <w:r w:rsidRPr="00FB60E5">
        <w:t xml:space="preserve">risk factors of </w:t>
      </w:r>
      <w:r w:rsidR="00906445" w:rsidRPr="00FB60E5">
        <w:t>(</w:t>
      </w:r>
      <w:proofErr w:type="spellStart"/>
      <w:r w:rsidR="00906445" w:rsidRPr="00FB60E5">
        <w:t>i</w:t>
      </w:r>
      <w:proofErr w:type="spellEnd"/>
      <w:r w:rsidR="00906445" w:rsidRPr="00FB60E5">
        <w:t xml:space="preserve">) </w:t>
      </w:r>
      <w:proofErr w:type="spellStart"/>
      <w:r w:rsidRPr="00FB60E5">
        <w:t>polydrug</w:t>
      </w:r>
      <w:proofErr w:type="spellEnd"/>
      <w:r w:rsidRPr="00FB60E5">
        <w:t xml:space="preserve"> use on entry to AOD treatment, </w:t>
      </w:r>
      <w:r w:rsidR="00906445" w:rsidRPr="00FB60E5">
        <w:t xml:space="preserve">(ii) </w:t>
      </w:r>
      <w:r w:rsidRPr="00FB60E5">
        <w:t xml:space="preserve">recent injecting drug use history, </w:t>
      </w:r>
      <w:r w:rsidR="00906445" w:rsidRPr="00FB60E5">
        <w:t xml:space="preserve">(iii) </w:t>
      </w:r>
      <w:r w:rsidRPr="00FB60E5">
        <w:t xml:space="preserve">homeless status on entry into treatment, and </w:t>
      </w:r>
      <w:r w:rsidR="00906445" w:rsidRPr="00FB60E5">
        <w:t xml:space="preserve">(iv) </w:t>
      </w:r>
      <w:r w:rsidRPr="00FB60E5">
        <w:t>forensic status on entry into treatment, overall reductions in ED and hospital utilisation were found</w:t>
      </w:r>
      <w:r w:rsidR="004C17BA" w:rsidRPr="00FB60E5">
        <w:t xml:space="preserve"> following treatment engagement. This</w:t>
      </w:r>
      <w:r w:rsidRPr="00FB60E5">
        <w:t xml:space="preserve"> suggest</w:t>
      </w:r>
      <w:r w:rsidR="004C17BA" w:rsidRPr="00FB60E5">
        <w:t>s</w:t>
      </w:r>
      <w:r w:rsidRPr="00FB60E5">
        <w:t xml:space="preserve"> that the effects of treatment on improving health and wellbeing, and reducing health system costs are sustained for patients presenting at higher risk of potential harm than the general AOD treatment population. It is important to acknowledge that there were varying levels of reduction of ED and hospital utilisation </w:t>
      </w:r>
      <w:r w:rsidR="00906445" w:rsidRPr="00FB60E5">
        <w:t xml:space="preserve">across </w:t>
      </w:r>
      <w:r w:rsidRPr="00FB60E5">
        <w:t>these groups when specific treatment, drug use and sociodemographic characteristics were examined, which offers opportunities for consideration of targeted approaches to identify and respond to risk for specific groups within these higher risk populations</w:t>
      </w:r>
      <w:r w:rsidR="00652A32" w:rsidRPr="00FB60E5">
        <w:t xml:space="preserve"> (see Supplementary Linkage Component Report)</w:t>
      </w:r>
      <w:r w:rsidRPr="00FB60E5">
        <w:t>.</w:t>
      </w:r>
    </w:p>
    <w:p w14:paraId="38A45C9B" w14:textId="448649B7" w:rsidR="00E5323A" w:rsidRPr="00FB60E5" w:rsidRDefault="00A67984" w:rsidP="00AE3A5F">
      <w:pPr>
        <w:pStyle w:val="Heading2"/>
      </w:pPr>
      <w:bookmarkStart w:id="58" w:name="_Toc531696237"/>
      <w:r>
        <w:t>Conclusion</w:t>
      </w:r>
      <w:bookmarkEnd w:id="58"/>
    </w:p>
    <w:p w14:paraId="38A45C9C" w14:textId="77777777" w:rsidR="00C13AF7" w:rsidRPr="00FB60E5" w:rsidRDefault="00C13AF7" w:rsidP="00FB60E5">
      <w:pPr>
        <w:ind w:left="0"/>
      </w:pPr>
      <w:r w:rsidRPr="00FB60E5">
        <w:t xml:space="preserve">Patient Pathways is the largest and most ambitious research program on treatment systems and pathways undertaken in Australia and the construction of which means its findings are </w:t>
      </w:r>
      <w:r w:rsidRPr="00FB60E5">
        <w:lastRenderedPageBreak/>
        <w:t xml:space="preserve">of international significance. Embedded in an analysis of system variations across Australia, the Pathways results </w:t>
      </w:r>
      <w:r w:rsidR="00FF5019" w:rsidRPr="00FB60E5">
        <w:t xml:space="preserve">demonstrate </w:t>
      </w:r>
      <w:r w:rsidRPr="00FB60E5">
        <w:t xml:space="preserve">that </w:t>
      </w:r>
      <w:r w:rsidR="00FF5019" w:rsidRPr="00FB60E5">
        <w:t xml:space="preserve">AOD treatment </w:t>
      </w:r>
      <w:r w:rsidR="002D7A79" w:rsidRPr="00FB60E5">
        <w:t xml:space="preserve">clients </w:t>
      </w:r>
      <w:r w:rsidR="00FF5019" w:rsidRPr="00FB60E5">
        <w:t xml:space="preserve">present with </w:t>
      </w:r>
      <w:r w:rsidRPr="00FB60E5">
        <w:t>complex and ongoing needs across multiple agencies and domains, whose chronicity requires a coordination within and across professional sectors that is not always perceived to be achieved.</w:t>
      </w:r>
    </w:p>
    <w:p w14:paraId="38A45C9D" w14:textId="77777777" w:rsidR="001C692B" w:rsidRPr="00FB60E5" w:rsidRDefault="00C13AF7" w:rsidP="00FB60E5">
      <w:pPr>
        <w:ind w:left="0"/>
      </w:pPr>
      <w:r w:rsidRPr="00FB60E5">
        <w:t xml:space="preserve">In spite of this, there were clear and significant improvements in the sample in </w:t>
      </w:r>
      <w:r w:rsidR="002D7A79" w:rsidRPr="00FB60E5">
        <w:t xml:space="preserve">use </w:t>
      </w:r>
      <w:r w:rsidRPr="00FB60E5">
        <w:t xml:space="preserve">of acute health services, in self-reported wellbeing and quality of life, alongside marked reductions in substance use. Most </w:t>
      </w:r>
      <w:r w:rsidR="00F43B95" w:rsidRPr="00FB60E5">
        <w:t>participant</w:t>
      </w:r>
      <w:r w:rsidRPr="00FB60E5">
        <w:t xml:space="preserve">s named abstinence as their primary treatment objective and this </w:t>
      </w:r>
      <w:r w:rsidR="0062762F" w:rsidRPr="00FB60E5">
        <w:t>was</w:t>
      </w:r>
      <w:r w:rsidRPr="00FB60E5">
        <w:t xml:space="preserve"> achieved in the month prior to follow-up by 37% of the retained sample. The strongest treatment predictors of abstinence were completion of the index treatment, a treatment journey including residential rehabilitation and involvement with mutual aid groups. The study showed particularly positive results for primary </w:t>
      </w:r>
      <w:r w:rsidR="00E977AF" w:rsidRPr="00FB60E5">
        <w:t>meth/</w:t>
      </w:r>
      <w:r w:rsidRPr="00FB60E5">
        <w:t>amphetamine users</w:t>
      </w:r>
      <w:r w:rsidR="001C692B" w:rsidRPr="00FB60E5">
        <w:t>.</w:t>
      </w:r>
      <w:r w:rsidR="005837E3" w:rsidRPr="00FB60E5">
        <w:t xml:space="preserve"> </w:t>
      </w:r>
      <w:r w:rsidR="001C692B" w:rsidRPr="00FB60E5">
        <w:t xml:space="preserve">The study confirms the international perception that the journey for anyone with AOD problems is protracted and characterised by multiple episodes of care. There </w:t>
      </w:r>
      <w:proofErr w:type="gramStart"/>
      <w:r w:rsidR="001C692B" w:rsidRPr="00FB60E5">
        <w:t>are significant policy</w:t>
      </w:r>
      <w:proofErr w:type="gramEnd"/>
      <w:r w:rsidR="001C692B" w:rsidRPr="00FB60E5">
        <w:t xml:space="preserve"> and practice implications from this work as outlined below which align with the following quote from </w:t>
      </w:r>
      <w:r w:rsidR="00403FF1" w:rsidRPr="00FB60E5">
        <w:t xml:space="preserve">the book </w:t>
      </w:r>
      <w:r w:rsidR="001C692B" w:rsidRPr="00FB60E5">
        <w:t>Drug Policy and the Public Good (</w:t>
      </w:r>
      <w:proofErr w:type="spellStart"/>
      <w:r w:rsidR="001C692B" w:rsidRPr="00FB60E5">
        <w:t>Babor</w:t>
      </w:r>
      <w:proofErr w:type="spellEnd"/>
      <w:r w:rsidR="001C692B" w:rsidRPr="00FB60E5">
        <w:t xml:space="preserve"> et al, 2010</w:t>
      </w:r>
      <w:r w:rsidR="00F21E39" w:rsidRPr="00FB60E5">
        <w:t>, p. 248</w:t>
      </w:r>
      <w:r w:rsidR="001C692B" w:rsidRPr="00FB60E5">
        <w:t>)</w:t>
      </w:r>
    </w:p>
    <w:p w14:paraId="38A45C9E" w14:textId="2122FE85" w:rsidR="001C692B" w:rsidRPr="00FB60E5" w:rsidRDefault="00F21E39" w:rsidP="0071715D">
      <w:pPr>
        <w:pStyle w:val="Quote"/>
      </w:pPr>
      <w:r w:rsidRPr="00FB60E5">
        <w:t>‘</w:t>
      </w:r>
      <w:r w:rsidR="001C692B" w:rsidRPr="00FB60E5">
        <w:t>Policymakers who focus only on decisions about individual service programmes will usually find that they have limited impact on the outcomes they wish to produce. In contrast, policymakers who think and act at a systems level, and do so in light of the emerging evidence based on the nature and impact of systems, have a much greater likelihood of making a significant contribution to ameliorating drug problems at both the individual and population level</w:t>
      </w:r>
      <w:r w:rsidR="0071715D">
        <w:t>’.</w:t>
      </w:r>
    </w:p>
    <w:p w14:paraId="38A45C9F" w14:textId="2C491FD6" w:rsidR="00607AAF" w:rsidRPr="00FB60E5" w:rsidRDefault="001B38B8" w:rsidP="00A67984">
      <w:pPr>
        <w:pStyle w:val="Heading2"/>
      </w:pPr>
      <w:bookmarkStart w:id="59" w:name="_Toc531696238"/>
      <w:r>
        <w:t>Recommendations</w:t>
      </w:r>
      <w:bookmarkEnd w:id="59"/>
    </w:p>
    <w:p w14:paraId="38A45CA0" w14:textId="77777777" w:rsidR="0026107A" w:rsidRPr="00FB60E5" w:rsidRDefault="0026107A" w:rsidP="00A67984">
      <w:pPr>
        <w:pStyle w:val="Heading3"/>
      </w:pPr>
      <w:r w:rsidRPr="00FB60E5">
        <w:t>Recommendations for promoting treatment and supporting best practice</w:t>
      </w:r>
    </w:p>
    <w:p w14:paraId="66FE834A" w14:textId="77777777" w:rsidR="00EE544F" w:rsidRDefault="0026107A" w:rsidP="00882917">
      <w:pPr>
        <w:pStyle w:val="ListParagraph"/>
        <w:numPr>
          <w:ilvl w:val="0"/>
          <w:numId w:val="5"/>
        </w:numPr>
      </w:pPr>
      <w:r w:rsidRPr="00FB60E5">
        <w:t xml:space="preserve">Promote the importance and benefit of accessing AOD treatment and strengthen pathways into treatment. </w:t>
      </w:r>
      <w:r w:rsidR="00A273D8" w:rsidRPr="00FB60E5">
        <w:t>Findings from the client survey, qualitative</w:t>
      </w:r>
      <w:r w:rsidR="005559DB" w:rsidRPr="00FB60E5">
        <w:t xml:space="preserve"> and linkage data i</w:t>
      </w:r>
      <w:r w:rsidR="00A273D8" w:rsidRPr="00FB60E5">
        <w:t>llustrate that engagement with AOD treatment significantly reduces problematic substance use, improves quality of life, and reduces utilisation of acute health services. These findings are critically important for promoting clinician and client confidence. Such evidence is also important for inspiring greater optimism about the value of treatment and recovery</w:t>
      </w:r>
      <w:r w:rsidR="00A273D8" w:rsidRPr="00455131">
        <w:rPr>
          <w:vertAlign w:val="superscript"/>
        </w:rPr>
        <w:footnoteReference w:id="2"/>
      </w:r>
      <w:r w:rsidR="00BA6C75" w:rsidRPr="00455131">
        <w:rPr>
          <w:vertAlign w:val="superscript"/>
        </w:rPr>
        <w:t xml:space="preserve"> </w:t>
      </w:r>
      <w:r w:rsidR="00A273D8" w:rsidRPr="00FB60E5">
        <w:t>prognoses for affected families and communities, as well as key linked professions and services, such as housing, justice and mental health.</w:t>
      </w:r>
    </w:p>
    <w:p w14:paraId="38A45CA3" w14:textId="04C6D633" w:rsidR="0026107A" w:rsidRPr="00FB60E5" w:rsidRDefault="00EE544F" w:rsidP="00882917">
      <w:pPr>
        <w:pStyle w:val="ListParagraph"/>
        <w:numPr>
          <w:ilvl w:val="0"/>
          <w:numId w:val="5"/>
        </w:numPr>
      </w:pPr>
      <w:r>
        <w:t xml:space="preserve">(a) </w:t>
      </w:r>
      <w:r w:rsidR="0026107A" w:rsidRPr="00FB60E5">
        <w:t xml:space="preserve">Promote workforce models that enhance rates of treatment completion. Given that treatment completion was a robust predictor of client outcomes, emphasis should be placed on promoting ways of building and maintaining the therapeutic alliance. This should include encouraging active client participation in care planning </w:t>
      </w:r>
      <w:r w:rsidR="0026107A" w:rsidRPr="00FB60E5">
        <w:lastRenderedPageBreak/>
        <w:t>and review, and embedding supervision and quality assurance processes that support effective client engagement and retention in treatment.</w:t>
      </w:r>
    </w:p>
    <w:p w14:paraId="38A45CA4" w14:textId="50347F5A" w:rsidR="0026107A" w:rsidRPr="00FB60E5" w:rsidRDefault="0026107A" w:rsidP="00EE544F">
      <w:pPr>
        <w:ind w:left="770"/>
      </w:pPr>
      <w:r w:rsidRPr="00FB60E5">
        <w:t>(b) Consider structural changes to service delivery that enhance treatment completion and address barriers to help-seeking (e.g., services offered outside business hours, telephone support, etc.). Such approaches would address common barriers to treatment identified</w:t>
      </w:r>
      <w:r w:rsidR="00EE544F">
        <w:t xml:space="preserve"> in the qualitative interviews.</w:t>
      </w:r>
    </w:p>
    <w:p w14:paraId="38A45CA6" w14:textId="77777777" w:rsidR="0026107A" w:rsidRPr="00FB60E5" w:rsidRDefault="0026107A" w:rsidP="00A67984">
      <w:pPr>
        <w:pStyle w:val="Heading3"/>
      </w:pPr>
      <w:r w:rsidRPr="00FB60E5">
        <w:t>Recommendations for continuity of care</w:t>
      </w:r>
    </w:p>
    <w:p w14:paraId="266A048C" w14:textId="77777777" w:rsidR="00EE544F" w:rsidRDefault="0026107A" w:rsidP="00882917">
      <w:pPr>
        <w:pStyle w:val="ListParagraph"/>
        <w:numPr>
          <w:ilvl w:val="0"/>
          <w:numId w:val="5"/>
        </w:numPr>
      </w:pPr>
      <w:r w:rsidRPr="00FB60E5">
        <w:t xml:space="preserve">Promote continuity of care. Clients frequently present with complex and severe problems, and with previous experience of the treatment system. However, most funding systems currently focus on discrete, activity-based episodes of care, with little investment in structures to support continuity of care across treatment modalities and over time. In the light of the recently completed </w:t>
      </w:r>
      <w:r w:rsidR="008E5C38" w:rsidRPr="00FB60E5">
        <w:t>r</w:t>
      </w:r>
      <w:r w:rsidRPr="00FB60E5">
        <w:t xml:space="preserve">eview of the AOD </w:t>
      </w:r>
      <w:r w:rsidR="008E5C38" w:rsidRPr="00FB60E5">
        <w:t>treatment service sector (DPMP, 2014)</w:t>
      </w:r>
      <w:r w:rsidR="00CA409D" w:rsidRPr="00FB60E5">
        <w:t>’</w:t>
      </w:r>
      <w:r w:rsidRPr="00FB60E5">
        <w:t>, it is timely to consider funding models that promote continuity and service integration. Funding models should accommodate and promote treatment journeys that involve multiple treatment modalities and greater linkage to follow-up care.</w:t>
      </w:r>
    </w:p>
    <w:p w14:paraId="5C97D15C" w14:textId="77777777" w:rsidR="002C27A8" w:rsidRDefault="0026107A" w:rsidP="00882917">
      <w:pPr>
        <w:pStyle w:val="ListParagraph"/>
        <w:numPr>
          <w:ilvl w:val="0"/>
          <w:numId w:val="5"/>
        </w:numPr>
      </w:pPr>
      <w:r w:rsidRPr="00FB60E5">
        <w:t xml:space="preserve">Encourage services to engage in assertive follow-up of clients. Supported by the qualitative data, assertive follow-up of clients following treatment promotes continuity and re-engagement with the treatment system when needed. Examples could include introducing a routine telephone follow-up call 4-8 weeks after completing a treatment </w:t>
      </w:r>
      <w:r w:rsidR="00F45708" w:rsidRPr="00FB60E5">
        <w:t>episode</w:t>
      </w:r>
      <w:r w:rsidR="002C27A8">
        <w:t>.</w:t>
      </w:r>
    </w:p>
    <w:p w14:paraId="38A45CAB" w14:textId="529FEEC5" w:rsidR="0026107A" w:rsidRPr="00FB60E5" w:rsidRDefault="0026107A" w:rsidP="001B38B8">
      <w:pPr>
        <w:pStyle w:val="Heading4"/>
      </w:pPr>
      <w:r w:rsidRPr="00FB60E5">
        <w:t xml:space="preserve">Recommendation for accessibility of </w:t>
      </w:r>
      <w:r w:rsidR="00225DFE" w:rsidRPr="00FB60E5">
        <w:t>long-term</w:t>
      </w:r>
      <w:r w:rsidRPr="00FB60E5">
        <w:t xml:space="preserve"> residential care</w:t>
      </w:r>
    </w:p>
    <w:p w14:paraId="0A38F2AF" w14:textId="77777777" w:rsidR="002C27A8" w:rsidRDefault="0026107A" w:rsidP="00882917">
      <w:pPr>
        <w:pStyle w:val="ListParagraph"/>
        <w:numPr>
          <w:ilvl w:val="0"/>
          <w:numId w:val="5"/>
        </w:numPr>
      </w:pPr>
      <w:r w:rsidRPr="00FB60E5">
        <w:t xml:space="preserve">Increase availability of rehabilitation places and reduce the waiting list for </w:t>
      </w:r>
      <w:r w:rsidR="00225DFE" w:rsidRPr="00FB60E5">
        <w:t>long-term</w:t>
      </w:r>
      <w:r w:rsidRPr="00FB60E5">
        <w:t xml:space="preserve"> residential care. Given the evidence from both the client survey and linkage data that better outcomes are achieved among those receiving long-term residential care, it is crucial that funders and specialist service providers recognise the critical role that rehabilitative services play in a comprehensive specialist treatment system, particularly for individuals who have greater levels of complexity. The qualitative findings indicate that long waiting times for access to residential treatment are a key barrier to treatment</w:t>
      </w:r>
      <w:r w:rsidR="0047604B" w:rsidRPr="00FB60E5">
        <w:t xml:space="preserve"> engagement</w:t>
      </w:r>
      <w:r w:rsidRPr="00FB60E5">
        <w:t>. It is imperative that such unmet needs are addressed, and that the benefits of residential rehabilitation are promoted among clinicians and clients</w:t>
      </w:r>
      <w:r w:rsidR="002C27A8">
        <w:t>.</w:t>
      </w:r>
    </w:p>
    <w:p w14:paraId="48CCFF9C" w14:textId="77777777" w:rsidR="00BB0E5E" w:rsidRDefault="0026107A" w:rsidP="001B38B8">
      <w:pPr>
        <w:pStyle w:val="Heading4"/>
      </w:pPr>
      <w:r w:rsidRPr="00FB60E5">
        <w:t>Recommendation for care coordination</w:t>
      </w:r>
    </w:p>
    <w:p w14:paraId="38A45CAE" w14:textId="0C44DC88" w:rsidR="0026107A" w:rsidRPr="00FB60E5" w:rsidRDefault="0026107A" w:rsidP="00882917">
      <w:pPr>
        <w:pStyle w:val="ListParagraph"/>
        <w:numPr>
          <w:ilvl w:val="0"/>
          <w:numId w:val="5"/>
        </w:numPr>
      </w:pPr>
      <w:r w:rsidRPr="00FB60E5">
        <w:t>Support care coordination. Linked to the issue of continuity of care, and identified as a key theme in the qualitative interviews, was limited availability of care coordination. Our findings highlight the importance of supporting complex clients effectively transition through the AOD treatment system and engage with relevant health and welfare services when needed, so as to enhance treatment retention and completion. While this role could be performed within agencies, there are opportunities to explore low-cost options such as telephone and online support, provided in every jurisdiction, to assist in both coordinating care and providing a vehicle for long-term engagement and follow-up.</w:t>
      </w:r>
    </w:p>
    <w:p w14:paraId="38A45CB0" w14:textId="77777777" w:rsidR="0026107A" w:rsidRPr="00FB60E5" w:rsidRDefault="0026107A" w:rsidP="001B38B8">
      <w:pPr>
        <w:pStyle w:val="Heading4"/>
      </w:pPr>
      <w:r w:rsidRPr="00FB60E5">
        <w:t>Recommendation for promotion of aftercare and mutual aid/peer support</w:t>
      </w:r>
    </w:p>
    <w:p w14:paraId="38A45CB1" w14:textId="77777777" w:rsidR="0026107A" w:rsidRPr="00FB60E5" w:rsidRDefault="0026107A" w:rsidP="00882917">
      <w:pPr>
        <w:pStyle w:val="ListParagraph"/>
        <w:numPr>
          <w:ilvl w:val="0"/>
          <w:numId w:val="5"/>
        </w:numPr>
      </w:pPr>
      <w:r w:rsidRPr="00FB60E5">
        <w:t xml:space="preserve">Specialist AOD services should develop and promote interventions and pathways to aftercare such as supportive community groups, including but not restricted to </w:t>
      </w:r>
      <w:r w:rsidRPr="00FB60E5">
        <w:lastRenderedPageBreak/>
        <w:t xml:space="preserve">mutual aid groups. This could include assertive linkage to peer support groups, such as 12-step and SMART Recovery, using readily available and evidenced-based models that improve engagement with mutual aid (such as the MAAEZ model developed by </w:t>
      </w:r>
      <w:proofErr w:type="spellStart"/>
      <w:r w:rsidR="007B7602" w:rsidRPr="00FB60E5">
        <w:t>Kaskutas</w:t>
      </w:r>
      <w:proofErr w:type="spellEnd"/>
      <w:r w:rsidR="007B7602" w:rsidRPr="00FB60E5">
        <w:t xml:space="preserve"> </w:t>
      </w:r>
      <w:r w:rsidRPr="00FB60E5">
        <w:t>and colleagues in the US). Being free and widely available (including online meetings), such support groups can be cost-effective models of aftercare</w:t>
      </w:r>
      <w:r w:rsidR="0047604B" w:rsidRPr="00FB60E5">
        <w:t>, at least for some clients</w:t>
      </w:r>
      <w:r w:rsidRPr="00FB60E5">
        <w:t>. Previous research has shown that such approaches require workforce training to support staff to make these initial connections and to develop relationships with mutual aid groups.</w:t>
      </w:r>
    </w:p>
    <w:p w14:paraId="38A45CB3" w14:textId="77777777" w:rsidR="0026107A" w:rsidRPr="00FB60E5" w:rsidRDefault="0026107A" w:rsidP="001B38B8">
      <w:pPr>
        <w:pStyle w:val="Heading4"/>
      </w:pPr>
      <w:r w:rsidRPr="00FB60E5">
        <w:t>Recommendations for treatment intensity and pathways tailored to client characteristics</w:t>
      </w:r>
    </w:p>
    <w:p w14:paraId="38A45CB4" w14:textId="77777777" w:rsidR="0026107A" w:rsidRPr="00FB60E5" w:rsidRDefault="0026107A" w:rsidP="00882917">
      <w:pPr>
        <w:pStyle w:val="ListParagraph"/>
        <w:numPr>
          <w:ilvl w:val="0"/>
          <w:numId w:val="5"/>
        </w:numPr>
      </w:pPr>
      <w:r w:rsidRPr="00FB60E5">
        <w:t>Improve continuity of care and optimal care pathways for alcohol-dependent clients. Clients with a primary alcohol problem were less likely to have good outcomes across all arms of the study, yet benefited the most from having optimal care pathways. This suggests more intense treatment is likely to be required for these clients, but also that achieving change is more challenging in a context of high alcohol availability and acceptability. As much as possible, clients should be encouraged to continue engaging in on-going AOD treatment after completion of a treatment episode, make use of appropriate community services and receive on-going support and aftercare (e.g., mutual</w:t>
      </w:r>
      <w:r w:rsidR="00DE06CC" w:rsidRPr="00FB60E5">
        <w:t xml:space="preserve"> </w:t>
      </w:r>
      <w:r w:rsidRPr="00FB60E5">
        <w:t xml:space="preserve">aid attendance). </w:t>
      </w:r>
      <w:r w:rsidR="0084203E" w:rsidRPr="00FB60E5">
        <w:t xml:space="preserve">Efforts to enhance retention and early re-engagement for those who drop out of treatment are likely to improve outcomes with this population, and should be piloted. Investment in public health/community based approaches to reduce consumption and availability also warrant continued investigation </w:t>
      </w:r>
      <w:r w:rsidR="00F45708" w:rsidRPr="00FB60E5">
        <w:t xml:space="preserve">so as to support </w:t>
      </w:r>
      <w:r w:rsidR="0084203E" w:rsidRPr="00FB60E5">
        <w:t xml:space="preserve">individuals adversely affected by alcohol </w:t>
      </w:r>
      <w:r w:rsidR="00F45708" w:rsidRPr="00FB60E5">
        <w:t xml:space="preserve">to reduce their drinking, </w:t>
      </w:r>
      <w:r w:rsidR="0084203E" w:rsidRPr="00FB60E5">
        <w:t xml:space="preserve">as well as </w:t>
      </w:r>
      <w:r w:rsidR="00F45708" w:rsidRPr="00FB60E5">
        <w:t xml:space="preserve">reducing and preventing </w:t>
      </w:r>
      <w:r w:rsidR="0084203E" w:rsidRPr="00FB60E5">
        <w:t>alcohol-related problems</w:t>
      </w:r>
      <w:r w:rsidR="00F45708" w:rsidRPr="00FB60E5">
        <w:t xml:space="preserve"> across the community</w:t>
      </w:r>
      <w:r w:rsidR="0084203E" w:rsidRPr="00FB60E5">
        <w:t>.</w:t>
      </w:r>
    </w:p>
    <w:p w14:paraId="38A45CB6" w14:textId="77777777" w:rsidR="0026107A" w:rsidRPr="00FB60E5" w:rsidRDefault="0026107A" w:rsidP="00882917">
      <w:pPr>
        <w:pStyle w:val="ListParagraph"/>
        <w:numPr>
          <w:ilvl w:val="0"/>
          <w:numId w:val="5"/>
        </w:numPr>
      </w:pPr>
      <w:r w:rsidRPr="00FB60E5">
        <w:t>Develop mechanisms for the assertive engagement of individuals with problematic meth</w:t>
      </w:r>
      <w:r w:rsidR="00E977AF" w:rsidRPr="00FB60E5">
        <w:t>/</w:t>
      </w:r>
      <w:r w:rsidRPr="00FB60E5">
        <w:t>amphetamine use into treatment. The positive treatment outcomes achieved in this population, combined with the significant community harms accrued by those not in treatment suggests that this group should be actively engaged in treatment. This should include enhancing pathways to treatment through promoting referrals from agencies where these clients typically present (</w:t>
      </w:r>
      <w:r w:rsidR="00DE06CC" w:rsidRPr="00FB60E5">
        <w:t>e.g. mental</w:t>
      </w:r>
      <w:r w:rsidRPr="00FB60E5">
        <w:t xml:space="preserve"> health, primary care and criminal justice</w:t>
      </w:r>
      <w:r w:rsidR="00DE06CC" w:rsidRPr="00FB60E5">
        <w:t xml:space="preserve"> services</w:t>
      </w:r>
      <w:r w:rsidRPr="00FB60E5">
        <w:t>).</w:t>
      </w:r>
    </w:p>
    <w:p w14:paraId="38A45CB9" w14:textId="77777777" w:rsidR="0026107A" w:rsidRPr="00FB60E5" w:rsidRDefault="0026107A" w:rsidP="001B38B8">
      <w:pPr>
        <w:pStyle w:val="Heading4"/>
      </w:pPr>
      <w:r w:rsidRPr="00FB60E5">
        <w:t>Recommendations for future research</w:t>
      </w:r>
    </w:p>
    <w:p w14:paraId="707C27BD" w14:textId="77777777" w:rsidR="00EE544F" w:rsidRDefault="0026107A" w:rsidP="00882917">
      <w:pPr>
        <w:pStyle w:val="ListParagraph"/>
        <w:numPr>
          <w:ilvl w:val="0"/>
          <w:numId w:val="5"/>
        </w:numPr>
      </w:pPr>
      <w:r w:rsidRPr="00FB60E5">
        <w:t xml:space="preserve">Extend the use of linkage data, as piloted in Chapter 4. As the </w:t>
      </w:r>
      <w:r w:rsidR="004C17BA" w:rsidRPr="00FB60E5">
        <w:t>‘Tracking Residential Addiction Clients for Effectiveness Research (</w:t>
      </w:r>
      <w:r w:rsidRPr="00FB60E5">
        <w:t>TRACER</w:t>
      </w:r>
      <w:r w:rsidR="004C17BA" w:rsidRPr="00FB60E5">
        <w:t>)’</w:t>
      </w:r>
      <w:r w:rsidRPr="00FB60E5">
        <w:t xml:space="preserve"> study in the UK has shown, gaining client consent for ongoing linkage work allows the mapping of long-term outcomes while requiring only limited resources, and is an important adjunct to treatment outcome research. Such data </w:t>
      </w:r>
      <w:r w:rsidR="001F26CB" w:rsidRPr="00FB60E5">
        <w:t xml:space="preserve">are </w:t>
      </w:r>
      <w:r w:rsidRPr="00FB60E5">
        <w:t>essential for sophisticated outcome monitoring, system planning and mapping of health care and welfare service u</w:t>
      </w:r>
      <w:r w:rsidR="00EE544F">
        <w:t>tilisation to clinical outcomes</w:t>
      </w:r>
    </w:p>
    <w:p w14:paraId="24809849" w14:textId="77777777" w:rsidR="00EE544F" w:rsidRDefault="0026107A" w:rsidP="00882917">
      <w:pPr>
        <w:pStyle w:val="ListParagraph"/>
        <w:numPr>
          <w:ilvl w:val="0"/>
          <w:numId w:val="5"/>
        </w:numPr>
      </w:pPr>
      <w:r w:rsidRPr="00FB60E5">
        <w:t>Add a health economics dimension to such linkage studies. The linkage data offer an ideal platform for a health economics analysis of the savings associated with treatment engagement and completion by treatment type. The linkage data presented here demonstrate significant benefits in reduced acute health care utilisation, and it would be a key next step to assess its economic impact using both linkage and self-reported outcome data.</w:t>
      </w:r>
    </w:p>
    <w:p w14:paraId="380A3B50" w14:textId="77777777" w:rsidR="00EE544F" w:rsidRDefault="0026107A" w:rsidP="00882917">
      <w:pPr>
        <w:pStyle w:val="ListParagraph"/>
        <w:numPr>
          <w:ilvl w:val="0"/>
          <w:numId w:val="5"/>
        </w:numPr>
      </w:pPr>
      <w:r w:rsidRPr="00FB60E5">
        <w:t xml:space="preserve">Explore longer-term outcomes and pathways following AOD treatment. Given international research highlighting the broader benefits of treatment over time (up </w:t>
      </w:r>
      <w:r w:rsidRPr="00FB60E5">
        <w:lastRenderedPageBreak/>
        <w:t>to 9 years), it is important that a further wave of follow-up is conducted to effectively measure the full impact of treatment pathways and map trajectories of recovery. Such work is particularly relevant here given that the majority of clients were still engaged with treatment services at the one year follow-up, and the full benefits of treatment engagement are unlikely to have been fully realised.</w:t>
      </w:r>
    </w:p>
    <w:p w14:paraId="38A45CC0" w14:textId="5116B245" w:rsidR="0026107A" w:rsidRPr="00FB60E5" w:rsidRDefault="0026107A" w:rsidP="00882917">
      <w:pPr>
        <w:pStyle w:val="ListParagraph"/>
        <w:numPr>
          <w:ilvl w:val="0"/>
          <w:numId w:val="5"/>
        </w:numPr>
      </w:pPr>
      <w:r w:rsidRPr="00FB60E5">
        <w:t>Ongoing investment in treatment systems research. The present study highlights the importance of treatment systems research that considers the effectiveness of the AOD service sector itself, as well as being an integral component of a broader health and welfare system. Such studies are needed to complement the already well-established tradition of controlled studies of particular treatment modalities, which by design tell us little about the influence of context (e.g., setting, funding, workforce) and implementation challenges. Further investment in treatment system research is essential for informing the design of the Australian AOD sector, and identifying the strengths and weaknesses of particular models of care. One opportunity that exists, but is as yet unexplored, is comparing the existing jurisdictional differences in the configuration of the AOD treatment system to inform the most effective system design at a national level. Further research is also needed on how best to support the broader health and welfare system in enhancing client outcom</w:t>
      </w:r>
      <w:r w:rsidR="00B0749B">
        <w:t>es and reducing societal costs.</w:t>
      </w:r>
    </w:p>
    <w:p w14:paraId="38A45CC3" w14:textId="704F6EC5" w:rsidR="00901D28" w:rsidRPr="00FB60E5" w:rsidRDefault="00901D28" w:rsidP="00882917">
      <w:pPr>
        <w:pStyle w:val="Heading1"/>
        <w:numPr>
          <w:ilvl w:val="0"/>
          <w:numId w:val="20"/>
        </w:numPr>
      </w:pPr>
      <w:bookmarkStart w:id="60" w:name="_Toc398105037"/>
      <w:bookmarkStart w:id="61" w:name="_Toc531696239"/>
      <w:r w:rsidRPr="00FB60E5">
        <w:lastRenderedPageBreak/>
        <w:t>Introduction and overview</w:t>
      </w:r>
      <w:bookmarkEnd w:id="49"/>
      <w:bookmarkEnd w:id="60"/>
      <w:bookmarkEnd w:id="61"/>
    </w:p>
    <w:p w14:paraId="38A45CC4" w14:textId="77777777" w:rsidR="00DF4F77" w:rsidRPr="00FB60E5" w:rsidRDefault="00DF4F77" w:rsidP="00FB60E5">
      <w:pPr>
        <w:ind w:left="0"/>
      </w:pPr>
      <w:r w:rsidRPr="00FB60E5">
        <w:t>This report summarises a major program of work undertaken by Turning Point in partnership with the National Drug Research Institute</w:t>
      </w:r>
      <w:r w:rsidR="006C4481" w:rsidRPr="00FB60E5">
        <w:t xml:space="preserve"> (NDRI)</w:t>
      </w:r>
      <w:r w:rsidR="00151364" w:rsidRPr="00FB60E5">
        <w:t>, and Monash University</w:t>
      </w:r>
      <w:r w:rsidRPr="00FB60E5">
        <w:t xml:space="preserve"> and is part of a larger program of </w:t>
      </w:r>
      <w:r w:rsidR="00C61B72" w:rsidRPr="00FB60E5">
        <w:t>alcohol and other drug (</w:t>
      </w:r>
      <w:r w:rsidRPr="00FB60E5">
        <w:t>AOD</w:t>
      </w:r>
      <w:r w:rsidR="00C61B72" w:rsidRPr="00FB60E5">
        <w:t>)</w:t>
      </w:r>
      <w:r w:rsidRPr="00FB60E5">
        <w:t xml:space="preserve"> research funded by the Commonwealth. </w:t>
      </w:r>
      <w:r w:rsidR="00D121B6" w:rsidRPr="00FB60E5">
        <w:t>It is part of a wider program of research funded by the Commonwealth Government that includes:</w:t>
      </w:r>
    </w:p>
    <w:p w14:paraId="38A45CC5" w14:textId="22555CA5" w:rsidR="00D121B6" w:rsidRPr="00FB60E5" w:rsidRDefault="00D121B6" w:rsidP="00882917">
      <w:pPr>
        <w:pStyle w:val="ListParagraph"/>
        <w:numPr>
          <w:ilvl w:val="0"/>
          <w:numId w:val="3"/>
        </w:numPr>
      </w:pPr>
      <w:r w:rsidRPr="00FB60E5">
        <w:t>The development of a quality framework for funded specialist AOD services (also a consortiu</w:t>
      </w:r>
      <w:r w:rsidR="009D6482">
        <w:t>m project led by Turning Point)</w:t>
      </w:r>
    </w:p>
    <w:p w14:paraId="38A45CC6" w14:textId="77777777" w:rsidR="00D121B6" w:rsidRPr="00FB60E5" w:rsidRDefault="00D121B6" w:rsidP="00882917">
      <w:pPr>
        <w:pStyle w:val="ListParagraph"/>
        <w:numPr>
          <w:ilvl w:val="0"/>
          <w:numId w:val="3"/>
        </w:numPr>
      </w:pPr>
      <w:r w:rsidRPr="00FB60E5">
        <w:t>A review of AOD treatment services and underpinning funding arrangements (undertaken by DPMP)</w:t>
      </w:r>
    </w:p>
    <w:p w14:paraId="38A45CC7" w14:textId="77777777" w:rsidR="00D121B6" w:rsidRPr="00FB60E5" w:rsidRDefault="00D121B6" w:rsidP="00882917">
      <w:pPr>
        <w:pStyle w:val="ListParagraph"/>
        <w:numPr>
          <w:ilvl w:val="0"/>
          <w:numId w:val="3"/>
        </w:numPr>
      </w:pPr>
      <w:r w:rsidRPr="00FB60E5">
        <w:t>A review of workforce development processes and practices (undertaken by NCETA)</w:t>
      </w:r>
      <w:r w:rsidR="00084E6F" w:rsidRPr="00FB60E5">
        <w:t>.</w:t>
      </w:r>
    </w:p>
    <w:p w14:paraId="38A45CC8" w14:textId="77777777" w:rsidR="00DF4F77" w:rsidRPr="00D15EAE" w:rsidRDefault="00DF4F77" w:rsidP="00D15EAE">
      <w:pPr>
        <w:pStyle w:val="Heading2"/>
        <w:rPr>
          <w:b w:val="0"/>
          <w:i/>
        </w:rPr>
      </w:pPr>
      <w:r w:rsidRPr="00D15EAE">
        <w:rPr>
          <w:b w:val="0"/>
          <w:i/>
        </w:rPr>
        <w:t>Extent of the problem and help seeking</w:t>
      </w:r>
    </w:p>
    <w:p w14:paraId="38A45CC9" w14:textId="152A4D9B" w:rsidR="006F77B8" w:rsidRPr="00FB60E5" w:rsidRDefault="00DF4F77" w:rsidP="00FB60E5">
      <w:pPr>
        <w:ind w:left="0"/>
      </w:pPr>
      <w:r w:rsidRPr="00FB60E5">
        <w:t>Alcohol and drug misuse is a significant issue for Australia. According to the 2010 National Drug Strategy Household Survey (AIHW, 2011),</w:t>
      </w:r>
      <w:r w:rsidR="003015AC" w:rsidRPr="00FB60E5">
        <w:t xml:space="preserve"> one in five</w:t>
      </w:r>
      <w:r w:rsidRPr="00FB60E5">
        <w:t xml:space="preserve"> (20.1%) </w:t>
      </w:r>
      <w:r w:rsidR="00B83433" w:rsidRPr="00FB60E5">
        <w:t xml:space="preserve">Australians </w:t>
      </w:r>
      <w:r w:rsidRPr="00FB60E5">
        <w:t xml:space="preserve">consumed alcohol at levels that put them at risk of harm over their lifetime (more than </w:t>
      </w:r>
      <w:r w:rsidR="003015AC" w:rsidRPr="00FB60E5">
        <w:t>two</w:t>
      </w:r>
      <w:r w:rsidRPr="00FB60E5">
        <w:t xml:space="preserve"> standard drinks a day on average), with 28.4% drinking at least once a month at levels that put them at risk of accident or injury (more than 4 standard drinks in a session). </w:t>
      </w:r>
      <w:r w:rsidR="0082223B" w:rsidRPr="00FB60E5">
        <w:t>Recent illicit drug use (past year) was reported by 14.7% of those aged 14 and above, including cannabis (10.3%), pharmaceuticals for non-medical purposes (4.2%), ecstasy (3%), amphetamines (2.1%), cocaine (2.1%), hallucinogens (1.4%), and with heroin used by 0.2% in the last 12 months.</w:t>
      </w:r>
    </w:p>
    <w:p w14:paraId="38A45CCA" w14:textId="7301285D" w:rsidR="00DF4F77" w:rsidRPr="00FB60E5" w:rsidRDefault="00DF4F77" w:rsidP="00FB60E5">
      <w:pPr>
        <w:ind w:left="0"/>
      </w:pPr>
      <w:r w:rsidRPr="00FB60E5">
        <w:t xml:space="preserve">In 2007, the National Survey of Mental Health and Wellbeing showed that one in </w:t>
      </w:r>
      <w:r w:rsidR="003015AC" w:rsidRPr="00FB60E5">
        <w:t>20</w:t>
      </w:r>
      <w:r w:rsidRPr="00FB60E5">
        <w:t xml:space="preserve"> Australians (5.1%) met</w:t>
      </w:r>
      <w:r w:rsidR="00E36F2D" w:rsidRPr="00FB60E5">
        <w:t xml:space="preserve"> the</w:t>
      </w:r>
      <w:r w:rsidRPr="00FB60E5">
        <w:t xml:space="preserve"> criteria for a substance use disorder, including more than one tenth (12.7%) of those aged 16-24 years (</w:t>
      </w:r>
      <w:proofErr w:type="spellStart"/>
      <w:r w:rsidRPr="00FB60E5">
        <w:t>Reavley</w:t>
      </w:r>
      <w:proofErr w:type="spellEnd"/>
      <w:r w:rsidRPr="00FB60E5">
        <w:t xml:space="preserve"> et </w:t>
      </w:r>
      <w:r w:rsidR="008758D0" w:rsidRPr="00FB60E5">
        <w:t>al.</w:t>
      </w:r>
      <w:r w:rsidRPr="00FB60E5">
        <w:t>, 2010). The most recent analysis of burden of disease for Australia, in 2003, showed that alcohol accounted for 3.3% of the burden of disease, while 2% was attributed to illicit drug use (</w:t>
      </w:r>
      <w:proofErr w:type="spellStart"/>
      <w:r w:rsidRPr="00FB60E5">
        <w:t>Begg</w:t>
      </w:r>
      <w:proofErr w:type="spellEnd"/>
      <w:r w:rsidRPr="00FB60E5">
        <w:t xml:space="preserve"> et al</w:t>
      </w:r>
      <w:r w:rsidR="008758D0" w:rsidRPr="00FB60E5">
        <w:t>.</w:t>
      </w:r>
      <w:r w:rsidRPr="00FB60E5">
        <w:t>, 2007). This burden is significantly reduced when individuals with alcohol or drug problems engage in specialist AOD treatment (</w:t>
      </w:r>
      <w:proofErr w:type="spellStart"/>
      <w:r w:rsidR="00EE4C37" w:rsidRPr="00FB60E5">
        <w:t>Teesson</w:t>
      </w:r>
      <w:proofErr w:type="spellEnd"/>
      <w:r w:rsidR="00EE4C37" w:rsidRPr="00FB60E5">
        <w:t xml:space="preserve"> et al. 2008</w:t>
      </w:r>
      <w:r w:rsidR="00D57802" w:rsidRPr="00FB60E5">
        <w:t>;</w:t>
      </w:r>
      <w:r w:rsidR="00EE4C37" w:rsidRPr="00FB60E5">
        <w:t xml:space="preserve"> </w:t>
      </w:r>
      <w:proofErr w:type="spellStart"/>
      <w:r w:rsidR="00EE4C37" w:rsidRPr="00FB60E5">
        <w:t>McKetin</w:t>
      </w:r>
      <w:proofErr w:type="spellEnd"/>
      <w:r w:rsidR="00EE4C37" w:rsidRPr="00FB60E5">
        <w:t xml:space="preserve"> et al 2012</w:t>
      </w:r>
      <w:r w:rsidR="00D57802" w:rsidRPr="00FB60E5">
        <w:t>;</w:t>
      </w:r>
      <w:r w:rsidR="00EE4C37" w:rsidRPr="00FB60E5">
        <w:t xml:space="preserve"> </w:t>
      </w:r>
      <w:proofErr w:type="spellStart"/>
      <w:r w:rsidR="00EE4C37" w:rsidRPr="00FB60E5">
        <w:t>Gossop</w:t>
      </w:r>
      <w:proofErr w:type="spellEnd"/>
      <w:r w:rsidR="00EE4C37" w:rsidRPr="00FB60E5">
        <w:t xml:space="preserve"> et al 20</w:t>
      </w:r>
      <w:r w:rsidR="00D57802" w:rsidRPr="00FB60E5">
        <w:t xml:space="preserve">00; </w:t>
      </w:r>
      <w:proofErr w:type="spellStart"/>
      <w:r w:rsidR="00D57802" w:rsidRPr="00FB60E5">
        <w:t>Donmall</w:t>
      </w:r>
      <w:proofErr w:type="spellEnd"/>
      <w:r w:rsidR="00D57802" w:rsidRPr="00FB60E5">
        <w:t xml:space="preserve"> et al, 2009)</w:t>
      </w:r>
      <w:r w:rsidR="009D6482">
        <w:t>.</w:t>
      </w:r>
    </w:p>
    <w:p w14:paraId="38A45CCB" w14:textId="0E7801B6" w:rsidR="006F77B8" w:rsidRPr="00FB60E5" w:rsidRDefault="00777F47" w:rsidP="00FB60E5">
      <w:pPr>
        <w:ind w:left="0"/>
      </w:pPr>
      <w:r w:rsidRPr="00FB60E5">
        <w:t xml:space="preserve">A report by the Australian Institute of Health and Welfare (2013) indicates that a total of 659 AOD </w:t>
      </w:r>
      <w:r w:rsidR="00C61B72" w:rsidRPr="00FB60E5">
        <w:t>a</w:t>
      </w:r>
      <w:r w:rsidRPr="00FB60E5">
        <w:t>gencies provided 153,668 episodes of treatment that were closed in 2011–12, of wh</w:t>
      </w:r>
      <w:r w:rsidR="00C61B72" w:rsidRPr="00FB60E5">
        <w:t>ich</w:t>
      </w:r>
      <w:r w:rsidRPr="00FB60E5">
        <w:t xml:space="preserve"> two-thirds (68%) were for male clients. More than three-quarters (78%) of closed episodes ended within </w:t>
      </w:r>
      <w:r w:rsidR="003015AC" w:rsidRPr="00FB60E5">
        <w:t xml:space="preserve">three </w:t>
      </w:r>
      <w:r w:rsidRPr="00FB60E5">
        <w:t xml:space="preserve">months, more than half (53%) ended within </w:t>
      </w:r>
      <w:r w:rsidR="003015AC" w:rsidRPr="00FB60E5">
        <w:t>one</w:t>
      </w:r>
      <w:r w:rsidRPr="00FB60E5">
        <w:t xml:space="preserve"> month</w:t>
      </w:r>
      <w:r w:rsidR="003015AC" w:rsidRPr="00FB60E5">
        <w:t>, one-fifth (21%) ended within one</w:t>
      </w:r>
      <w:r w:rsidRPr="00FB60E5">
        <w:t xml:space="preserve"> day and only </w:t>
      </w:r>
      <w:r w:rsidR="003015AC" w:rsidRPr="00FB60E5">
        <w:t xml:space="preserve">one in 11 (9%) lasted six </w:t>
      </w:r>
      <w:r w:rsidRPr="00FB60E5">
        <w:t xml:space="preserve">months or longer. Alcohol was the most common principal drug of concern (46%), followed by cannabis (22%), amphetamines (11%) and heroin (9%), though in 4 out of 5 (81%) closed episodes, the client reported additional drugs of concern. Of these, 34% reported </w:t>
      </w:r>
      <w:r w:rsidR="00DD3DCE" w:rsidRPr="00FB60E5">
        <w:t>one</w:t>
      </w:r>
      <w:r w:rsidRPr="00FB60E5">
        <w:t xml:space="preserve"> additional drug and 24% reported </w:t>
      </w:r>
      <w:r w:rsidR="00DD3DCE" w:rsidRPr="00FB60E5">
        <w:t>two</w:t>
      </w:r>
      <w:r w:rsidRPr="00FB60E5">
        <w:t>. Nicotine (21%) was the second most common additional drug after cannabis (22%), but it was the principa</w:t>
      </w:r>
      <w:r w:rsidR="009D6482">
        <w:t>l drug for only 1% of episodes.</w:t>
      </w:r>
    </w:p>
    <w:p w14:paraId="38A45CCC" w14:textId="28D03C00" w:rsidR="00777F47" w:rsidRPr="00FB60E5" w:rsidRDefault="00777F47" w:rsidP="00FB60E5">
      <w:pPr>
        <w:ind w:left="0"/>
      </w:pPr>
      <w:r w:rsidRPr="00FB60E5">
        <w:t>Alcohol was the most common principal drug of concern in all states and territories and cannabis the second in all states and territories except South Australia, where amphetamines were more common. Counselling was the most common type of treatment in 43% of episodes. Withdrawal management and assessment only were also common</w:t>
      </w:r>
      <w:r w:rsidR="006F77B8" w:rsidRPr="00FB60E5">
        <w:t>:</w:t>
      </w:r>
      <w:r w:rsidRPr="00FB60E5">
        <w:t xml:space="preserve"> withdrawal management was a treatment type in 18% of episodes and the main treatment type in 17%, while assessment only was the main treatment type in 14% of episodes. </w:t>
      </w:r>
      <w:r w:rsidRPr="00FB60E5">
        <w:lastRenderedPageBreak/>
        <w:t>Alcohol was the most common principal drug for most treatment types, although cannabis (50%) was the most common principal drug in episodes among services providing information and education only. Nationally, the most common source of referral for clients receiving treatment for their own drug use in 2011–12 was self or family (41%), in all states and territories except South Australia. The report provides a breakdown of service use by states and territories. Whilst the median length of episodes of care nationally was 26 days, Victoria had the highest median length of episodes of care at 38 days and South Australia the shortest at just 8 days; the proportion of episodes of care that closed within three months ranged from 72% in</w:t>
      </w:r>
      <w:r w:rsidR="009D6482">
        <w:t xml:space="preserve"> Queensland to 81% in Victoria.</w:t>
      </w:r>
    </w:p>
    <w:p w14:paraId="38A45CCD" w14:textId="37583329" w:rsidR="006F77B8" w:rsidRPr="00FB60E5" w:rsidRDefault="00DD3DCE" w:rsidP="00FB60E5">
      <w:pPr>
        <w:ind w:left="0"/>
      </w:pPr>
      <w:r w:rsidRPr="00FB60E5">
        <w:t xml:space="preserve">Victoria: </w:t>
      </w:r>
      <w:r w:rsidR="00777F47" w:rsidRPr="00FB60E5">
        <w:t xml:space="preserve">Among the two states that are the focus of the current project, Victorian AOD agencies provided 50,004 episodes of treatment that were closed in 2011-12, of whom almost two-thirds (66%) were male. Similarly, 66% of the 17,403 episodes of care provided by AOD agencies in Western Australia were for males. In Victoria, alcohol was the most common principal drug of concern (45%), followed by cannabis (23%), heroin (12%) and amphetamines (10%). When taking into account both principal and </w:t>
      </w:r>
      <w:proofErr w:type="gramStart"/>
      <w:r w:rsidR="00777F47" w:rsidRPr="00FB60E5">
        <w:t>additional drugs of concern, alcohol was</w:t>
      </w:r>
      <w:proofErr w:type="gramEnd"/>
      <w:r w:rsidR="00777F47" w:rsidRPr="00FB60E5">
        <w:t xml:space="preserve"> still the most common substance, accounting for 66% of episodes, whilst cannabis (49%) and amp</w:t>
      </w:r>
      <w:r w:rsidR="009D6482">
        <w:t>hetamines (26%) were also high.</w:t>
      </w:r>
    </w:p>
    <w:p w14:paraId="38A45CCE" w14:textId="7AAFC86A" w:rsidR="00777F47" w:rsidRPr="00FB60E5" w:rsidRDefault="006F77B8" w:rsidP="00FB60E5">
      <w:pPr>
        <w:ind w:left="0"/>
      </w:pPr>
      <w:r w:rsidRPr="00FB60E5">
        <w:t xml:space="preserve">Western Australia: </w:t>
      </w:r>
      <w:r w:rsidR="00777F47" w:rsidRPr="00FB60E5">
        <w:t xml:space="preserve">Alcohol was the most common principal drug of concern in WA, accounting for 43% of episodes, followed by cannabis (21%), amphetamines (18%) and heroin (8%). Again, when taking into account both principal and </w:t>
      </w:r>
      <w:proofErr w:type="gramStart"/>
      <w:r w:rsidR="00777F47" w:rsidRPr="00FB60E5">
        <w:t>additional drugs of concern, alcohol was</w:t>
      </w:r>
      <w:proofErr w:type="gramEnd"/>
      <w:r w:rsidR="00777F47" w:rsidRPr="00FB60E5">
        <w:t xml:space="preserve"> still the most common (65%), followed by cannabis (43%), amphetamines (34%) and nicotine (30%). Similar to the national average, counselling was the most common type of primary treatment in Victoria, accounting for 54% of closed episodes, followed by withdrawal management (21%) and support and case management only (12%). Similarly, in WA counselling was again the most common type of main treatment, but accounted for a higher proportion (60%) of the main treatment types than</w:t>
      </w:r>
      <w:r w:rsidR="00723D30" w:rsidRPr="00FB60E5">
        <w:t xml:space="preserve"> in</w:t>
      </w:r>
      <w:r w:rsidR="00777F47" w:rsidRPr="00FB60E5">
        <w:t xml:space="preserve"> Victoria, and nationally. Withdrawal management was also the second highest m</w:t>
      </w:r>
      <w:r w:rsidR="009D6482">
        <w:t>ain treatment type in WA (14%).</w:t>
      </w:r>
    </w:p>
    <w:p w14:paraId="38A45CCF" w14:textId="77777777" w:rsidR="00DF4F77" w:rsidRPr="00D15EAE" w:rsidRDefault="00DF4F77" w:rsidP="00D15EAE">
      <w:pPr>
        <w:pStyle w:val="Heading2"/>
        <w:rPr>
          <w:b w:val="0"/>
          <w:i/>
        </w:rPr>
      </w:pPr>
      <w:r w:rsidRPr="00D15EAE">
        <w:rPr>
          <w:b w:val="0"/>
          <w:i/>
        </w:rPr>
        <w:t>Multiple and complex needs of AOD clients</w:t>
      </w:r>
    </w:p>
    <w:p w14:paraId="38A45CD0" w14:textId="54916E63" w:rsidR="00DF4F77" w:rsidRPr="00FB60E5" w:rsidRDefault="00DF4F77" w:rsidP="00FB60E5">
      <w:pPr>
        <w:ind w:left="0"/>
      </w:pPr>
      <w:r w:rsidRPr="00FB60E5">
        <w:t xml:space="preserve">Individuals presenting to public AOD services are highly marginalised and typically present with multiple, severe and complex problems. In addition to substance </w:t>
      </w:r>
      <w:r w:rsidR="00723D30" w:rsidRPr="00FB60E5">
        <w:t xml:space="preserve">use </w:t>
      </w:r>
      <w:r w:rsidRPr="00FB60E5">
        <w:t xml:space="preserve">disorders, </w:t>
      </w:r>
      <w:r w:rsidR="00723D30" w:rsidRPr="00FB60E5">
        <w:t>AOD service users</w:t>
      </w:r>
      <w:r w:rsidRPr="00FB60E5">
        <w:t xml:space="preserve"> frequently experience unemployment, homelessness, physical and mental health comorbidity, criminal justice involvement, social exclusion and related adversity (</w:t>
      </w:r>
      <w:proofErr w:type="spellStart"/>
      <w:r w:rsidRPr="00FB60E5">
        <w:t>Laudet</w:t>
      </w:r>
      <w:proofErr w:type="spellEnd"/>
      <w:r w:rsidRPr="00FB60E5">
        <w:t xml:space="preserve"> and White</w:t>
      </w:r>
      <w:r w:rsidR="003015AC" w:rsidRPr="00FB60E5">
        <w:t>, 2010;</w:t>
      </w:r>
      <w:r w:rsidRPr="00FB60E5">
        <w:t xml:space="preserve"> Hesse et </w:t>
      </w:r>
      <w:r w:rsidR="008758D0" w:rsidRPr="00FB60E5">
        <w:t>al.</w:t>
      </w:r>
      <w:r w:rsidR="00EE4C37" w:rsidRPr="00FB60E5">
        <w:t>, 2007</w:t>
      </w:r>
      <w:r w:rsidR="003015AC" w:rsidRPr="00FB60E5">
        <w:t>; Department of Health, 2012;</w:t>
      </w:r>
      <w:r w:rsidR="008A0AA4" w:rsidRPr="00FB60E5">
        <w:t xml:space="preserve"> VAGO, 2011</w:t>
      </w:r>
      <w:r w:rsidRPr="00FB60E5">
        <w:t>). As a consequence, they place heavy demands on the healthcare system, in particular acute medical services such as presentations to emergency departments, ambulance call-outs, and inpatient admissions (</w:t>
      </w:r>
      <w:proofErr w:type="spellStart"/>
      <w:r w:rsidRPr="00FB60E5">
        <w:t>Parthasarathy</w:t>
      </w:r>
      <w:proofErr w:type="spellEnd"/>
      <w:r w:rsidRPr="00FB60E5">
        <w:t xml:space="preserve"> et </w:t>
      </w:r>
      <w:r w:rsidR="008758D0" w:rsidRPr="00FB60E5">
        <w:t>al.</w:t>
      </w:r>
      <w:r w:rsidRPr="00FB60E5">
        <w:t xml:space="preserve">, 2001; 2003; </w:t>
      </w:r>
      <w:proofErr w:type="spellStart"/>
      <w:r w:rsidRPr="00FB60E5">
        <w:t>Parthasarathy</w:t>
      </w:r>
      <w:proofErr w:type="spellEnd"/>
      <w:r w:rsidRPr="00FB60E5">
        <w:t xml:space="preserve"> and </w:t>
      </w:r>
      <w:proofErr w:type="spellStart"/>
      <w:r w:rsidRPr="00FB60E5">
        <w:t>Weisner</w:t>
      </w:r>
      <w:proofErr w:type="spellEnd"/>
      <w:r w:rsidRPr="00FB60E5">
        <w:t xml:space="preserve"> 2005</w:t>
      </w:r>
      <w:r w:rsidR="008A0AA4" w:rsidRPr="00FB60E5">
        <w:t>, Ll</w:t>
      </w:r>
      <w:r w:rsidR="0012602B" w:rsidRPr="00FB60E5">
        <w:t>oyd</w:t>
      </w:r>
      <w:r w:rsidR="008A0AA4" w:rsidRPr="00FB60E5">
        <w:t xml:space="preserve"> et al.</w:t>
      </w:r>
      <w:r w:rsidR="0012602B" w:rsidRPr="00FB60E5">
        <w:t>,</w:t>
      </w:r>
      <w:r w:rsidR="008A0AA4" w:rsidRPr="00FB60E5">
        <w:t xml:space="preserve"> 2013</w:t>
      </w:r>
      <w:r w:rsidR="000D2716">
        <w:t>).</w:t>
      </w:r>
    </w:p>
    <w:p w14:paraId="38A45CD1" w14:textId="3F69069D" w:rsidR="00777F47" w:rsidRPr="00FB60E5" w:rsidRDefault="00777F47" w:rsidP="00FB60E5">
      <w:pPr>
        <w:ind w:left="0"/>
      </w:pPr>
      <w:r w:rsidRPr="00FB60E5">
        <w:t xml:space="preserve">The chronic, relapsing nature of alcohol and drug addiction is characterised by cycles of treatment, recovery, relapse, and repeated treatments (Scott et al., </w:t>
      </w:r>
      <w:r w:rsidR="0012602B" w:rsidRPr="00FB60E5">
        <w:t xml:space="preserve">2005; Dennis and Scott, 2007). </w:t>
      </w:r>
      <w:r w:rsidRPr="00FB60E5">
        <w:t>However AOD treatment is often episodic, fragmented, delivered in isolation and structured to provide episodes of care rather than a continuing and integrated program of care (O’Brien and McLellan, 1996)</w:t>
      </w:r>
      <w:r w:rsidR="00BB4F84" w:rsidRPr="00FB60E5">
        <w:t xml:space="preserve"> </w:t>
      </w:r>
      <w:r w:rsidR="00DA442C" w:rsidRPr="00FB60E5">
        <w:t xml:space="preserve">that </w:t>
      </w:r>
      <w:r w:rsidRPr="00FB60E5">
        <w:t>match</w:t>
      </w:r>
      <w:r w:rsidR="00DA442C" w:rsidRPr="00FB60E5">
        <w:t>ed</w:t>
      </w:r>
      <w:r w:rsidRPr="00FB60E5">
        <w:t xml:space="preserve"> client need to intervention. This </w:t>
      </w:r>
      <w:r w:rsidR="005722FC" w:rsidRPr="00FB60E5">
        <w:t xml:space="preserve">fragmented approach </w:t>
      </w:r>
      <w:r w:rsidRPr="00FB60E5">
        <w:t xml:space="preserve">is particularly </w:t>
      </w:r>
      <w:r w:rsidR="005722FC" w:rsidRPr="00FB60E5">
        <w:t xml:space="preserve">salient in the context </w:t>
      </w:r>
      <w:r w:rsidRPr="00FB60E5">
        <w:t xml:space="preserve">of residential treatment, which targets the most complex and severely affected </w:t>
      </w:r>
      <w:proofErr w:type="gramStart"/>
      <w:r w:rsidRPr="00FB60E5">
        <w:t>individuals,</w:t>
      </w:r>
      <w:proofErr w:type="gramEnd"/>
      <w:r w:rsidRPr="00FB60E5">
        <w:t xml:space="preserve"> and where continuity of care is regarded as ess</w:t>
      </w:r>
      <w:r w:rsidR="000D2716">
        <w:t>ential (</w:t>
      </w:r>
      <w:proofErr w:type="spellStart"/>
      <w:r w:rsidR="000D2716">
        <w:t>Popovici</w:t>
      </w:r>
      <w:proofErr w:type="spellEnd"/>
      <w:r w:rsidR="000D2716">
        <w:t xml:space="preserve"> et al., 2008).</w:t>
      </w:r>
    </w:p>
    <w:p w14:paraId="38A45CD2" w14:textId="60F5F4FF" w:rsidR="00777F47" w:rsidRPr="00FB60E5" w:rsidRDefault="00777F47" w:rsidP="00FB60E5">
      <w:pPr>
        <w:ind w:left="0"/>
      </w:pPr>
      <w:r w:rsidRPr="00FB60E5">
        <w:t xml:space="preserve">A study conducted more than </w:t>
      </w:r>
      <w:r w:rsidR="003015AC" w:rsidRPr="00FB60E5">
        <w:t>20</w:t>
      </w:r>
      <w:r w:rsidRPr="00FB60E5">
        <w:t xml:space="preserve"> years ago showed that clients receiving the most intensive packages of care (including regular plus onsite medical, psychiatric, family and employment </w:t>
      </w:r>
      <w:r w:rsidRPr="00FB60E5">
        <w:lastRenderedPageBreak/>
        <w:t xml:space="preserve">counselling) during methadone maintenance treatment achieved the best outcomes (McLellan et al., 1993). However, whilst exposure to treatment is an important factor, increasing the dose of any one treatment modality alone does not improve clinical outcome. There is increasing recognition that substance use disorders, like other chronic health problems such as diabetes, asthma, schizophrenia etc., are best managed by ongoing monitoring and extended services than by an acute treatment approach (McLellan et </w:t>
      </w:r>
      <w:r w:rsidR="008758D0" w:rsidRPr="00FB60E5">
        <w:t>al.</w:t>
      </w:r>
      <w:r w:rsidRPr="00FB60E5">
        <w:t xml:space="preserve">, 2000; </w:t>
      </w:r>
      <w:proofErr w:type="spellStart"/>
      <w:r w:rsidRPr="00FB60E5">
        <w:t>Lorig</w:t>
      </w:r>
      <w:proofErr w:type="spellEnd"/>
      <w:r w:rsidRPr="00FB60E5">
        <w:t xml:space="preserve"> et </w:t>
      </w:r>
      <w:r w:rsidR="008758D0" w:rsidRPr="00FB60E5">
        <w:t>al.</w:t>
      </w:r>
      <w:r w:rsidRPr="00FB60E5">
        <w:t xml:space="preserve">, 1999; </w:t>
      </w:r>
      <w:proofErr w:type="spellStart"/>
      <w:r w:rsidRPr="00FB60E5">
        <w:t>Bodenheimer</w:t>
      </w:r>
      <w:proofErr w:type="spellEnd"/>
      <w:r w:rsidRPr="00FB60E5">
        <w:t xml:space="preserve"> et </w:t>
      </w:r>
      <w:r w:rsidR="008758D0" w:rsidRPr="00FB60E5">
        <w:t>al.</w:t>
      </w:r>
      <w:r w:rsidRPr="00FB60E5">
        <w:t xml:space="preserve">, 2002, Dennis et </w:t>
      </w:r>
      <w:r w:rsidR="008758D0" w:rsidRPr="00FB60E5">
        <w:t>al.</w:t>
      </w:r>
      <w:r w:rsidR="000D2716">
        <w:t>, 2007).</w:t>
      </w:r>
    </w:p>
    <w:p w14:paraId="38A45CD3" w14:textId="0E4C5F05" w:rsidR="006F77B8" w:rsidRPr="00FB60E5" w:rsidRDefault="006F77B8" w:rsidP="00FB60E5">
      <w:pPr>
        <w:ind w:left="0"/>
      </w:pPr>
      <w:r w:rsidRPr="00FB60E5">
        <w:t>The multiple and disparate needs of AOD clients must be met through a comprehensive package of care that integrates specialist AOD treatment with non-specialist services supporting recovery and community reintegration through housing, employment and family support (Hesse et al., 2007). However, we know little about the extent and usefulness of service utilisation in other parts of health and welfare since this is seldom captured in treatment outcome studies of AOD clients. The mismatch betw</w:t>
      </w:r>
      <w:r w:rsidR="001038B1" w:rsidRPr="00FB60E5">
        <w:t>een client severity and treatment intensity</w:t>
      </w:r>
      <w:r w:rsidR="003015AC" w:rsidRPr="00FB60E5">
        <w:t>,</w:t>
      </w:r>
      <w:r w:rsidR="001038B1" w:rsidRPr="00FB60E5">
        <w:t xml:space="preserve"> as well as the mismatch between client </w:t>
      </w:r>
      <w:r w:rsidRPr="00FB60E5">
        <w:t>complexity and extensity and service integration</w:t>
      </w:r>
      <w:r w:rsidR="003015AC" w:rsidRPr="00FB60E5">
        <w:t>,</w:t>
      </w:r>
      <w:r w:rsidRPr="00FB60E5">
        <w:t xml:space="preserve"> results in serial episodes of acute care as they encounter crisis situations whilst cycling in and out of AOD treatment, resulting in a significantly higher cost to society (AIHW, 201</w:t>
      </w:r>
      <w:r w:rsidR="000D2716">
        <w:t>3).</w:t>
      </w:r>
    </w:p>
    <w:p w14:paraId="38A45CD4" w14:textId="77777777" w:rsidR="00777F47" w:rsidRPr="00FB60E5" w:rsidRDefault="00777F47" w:rsidP="00FB60E5">
      <w:pPr>
        <w:ind w:left="0"/>
      </w:pPr>
      <w:r w:rsidRPr="00FB60E5">
        <w:t>These issues have been identified in government documents both at federal and state levels. A 2011 Victorian Auditor-General’s report criticises the AOD sector for its failure to meaningfully integrate with non-specialist services and for inadequate pathways through specialist treatment (Victorian Auditor-General, 2011). Within the National Drug Strategy for Australia 2010-2015 (Commonwealth Government, 2011), under the demand reduction pillar, objective 3 is to support people to recover from dependence and reconnect with the community, recognising that support for longer-term recovery after treatment is most effective when the individual’s needs are placed at the centre of their care and treatment. It highlights the role of treatment services in providing interventions tailored to the varying needs of individuals (including the potential for access to substance-specific treatment and services) and in referring and linking clients to a range</w:t>
      </w:r>
      <w:r w:rsidR="002D0669" w:rsidRPr="00FB60E5">
        <w:t xml:space="preserve"> of</w:t>
      </w:r>
      <w:r w:rsidRPr="00FB60E5">
        <w:t xml:space="preserve"> external services and support (such as stable accommodation, education, vocational and employment support and social connections). Some of the related ‘actions’ include improving communication and flow of information between primary health care and specialist AOD providers and between clinical and community support services, to promote continuity of care and the development of cooperative service models. Another action is to improve links and coordination between health, education, employment</w:t>
      </w:r>
      <w:r w:rsidR="002D0669" w:rsidRPr="00FB60E5">
        <w:t>,</w:t>
      </w:r>
      <w:r w:rsidRPr="00FB60E5">
        <w:t xml:space="preserve"> housing and other sectors to expand the capacity to effectively link individuals from treatment to the support required for them to reconnect with the community.</w:t>
      </w:r>
    </w:p>
    <w:p w14:paraId="38A45CD5" w14:textId="3432F345" w:rsidR="009807E0" w:rsidRPr="00FB60E5" w:rsidRDefault="009807E0" w:rsidP="00FB60E5">
      <w:pPr>
        <w:ind w:left="0"/>
      </w:pPr>
      <w:r w:rsidRPr="00FB60E5">
        <w:t>This care co-ordination can be achieved through c</w:t>
      </w:r>
      <w:r w:rsidR="00777F47" w:rsidRPr="00FB60E5">
        <w:t>ase management</w:t>
      </w:r>
      <w:r w:rsidRPr="00FB60E5">
        <w:t xml:space="preserve"> which </w:t>
      </w:r>
      <w:r w:rsidR="00777F47" w:rsidRPr="00FB60E5">
        <w:t xml:space="preserve">has a long and relatively successful history for the treatment and support of several mental health conditions in the United States, Canada, European countries and Australia (Burns, </w:t>
      </w:r>
      <w:proofErr w:type="spellStart"/>
      <w:r w:rsidR="00777F47" w:rsidRPr="00FB60E5">
        <w:t>Fioritti</w:t>
      </w:r>
      <w:proofErr w:type="spellEnd"/>
      <w:r w:rsidR="00777F47" w:rsidRPr="00FB60E5">
        <w:t xml:space="preserve">, Holloway, </w:t>
      </w:r>
      <w:proofErr w:type="spellStart"/>
      <w:r w:rsidR="00777F47" w:rsidRPr="00FB60E5">
        <w:t>Malm</w:t>
      </w:r>
      <w:proofErr w:type="spellEnd"/>
      <w:r w:rsidR="00777F47" w:rsidRPr="00FB60E5">
        <w:t xml:space="preserve">, &amp; </w:t>
      </w:r>
      <w:proofErr w:type="spellStart"/>
      <w:r w:rsidR="00777F47" w:rsidRPr="00FB60E5">
        <w:t>Rössler</w:t>
      </w:r>
      <w:proofErr w:type="spellEnd"/>
      <w:r w:rsidR="00777F47" w:rsidRPr="00FB60E5">
        <w:t xml:space="preserve">, 2001). </w:t>
      </w:r>
      <w:r w:rsidR="00DF4F77" w:rsidRPr="00FB60E5">
        <w:t>Case management is a client-centred strategy that includes assessment, planning, linking, monitoring and advocacy as part of the enhancement of coordination and continuity of services, and is particularly suited to AOD clients with multiple and complex needs. In particular the brokerage case management component (</w:t>
      </w:r>
      <w:proofErr w:type="spellStart"/>
      <w:r w:rsidR="00DF4F77" w:rsidRPr="00FB60E5">
        <w:t>Vanderplasschen</w:t>
      </w:r>
      <w:proofErr w:type="spellEnd"/>
      <w:r w:rsidR="00DF4F77" w:rsidRPr="00FB60E5">
        <w:t xml:space="preserve"> et al., 2004) facilitates ongoing supportive care, linking clients with appropriate helping resources in the community. As well as increasing engagement in substance use disorder treatments, and active linkage to other services, it facilitates cross agency collaboration and a transition to employment to assist clients in moving towards self-sufficiency as they recover from AOD problems. </w:t>
      </w:r>
      <w:r w:rsidR="00506DE9" w:rsidRPr="00FB60E5">
        <w:t>However, a</w:t>
      </w:r>
      <w:r w:rsidR="00DF4F77" w:rsidRPr="00FB60E5">
        <w:t xml:space="preserve"> Cochrane review on the </w:t>
      </w:r>
      <w:r w:rsidR="00DF4F77" w:rsidRPr="00FB60E5">
        <w:lastRenderedPageBreak/>
        <w:t xml:space="preserve">effectiveness of case management for persons with </w:t>
      </w:r>
      <w:r w:rsidR="003015AC" w:rsidRPr="00FB60E5">
        <w:t>AOD problems</w:t>
      </w:r>
      <w:r w:rsidR="00DF4F77" w:rsidRPr="00FB60E5">
        <w:t xml:space="preserve"> concluded that there is evidence supporting its role in enhancing linkage with other services, but that evidence that it reduces drug use or produce</w:t>
      </w:r>
      <w:r w:rsidR="003015AC" w:rsidRPr="00FB60E5">
        <w:t>s</w:t>
      </w:r>
      <w:r w:rsidR="00DF4F77" w:rsidRPr="00FB60E5">
        <w:t xml:space="preserve"> other beneficial outcome is not conclusive (Hesse et </w:t>
      </w:r>
      <w:r w:rsidR="008758D0" w:rsidRPr="00FB60E5">
        <w:t>al.</w:t>
      </w:r>
      <w:r w:rsidR="000D2716">
        <w:t>, 2007).</w:t>
      </w:r>
    </w:p>
    <w:p w14:paraId="38A45CD6" w14:textId="48747E42" w:rsidR="00777F47" w:rsidRPr="00FB60E5" w:rsidRDefault="00777F47" w:rsidP="00FB60E5">
      <w:pPr>
        <w:ind w:left="0"/>
      </w:pPr>
      <w:r w:rsidRPr="00FB60E5">
        <w:t>In the US, Morgenstern et al</w:t>
      </w:r>
      <w:r w:rsidR="007F568F" w:rsidRPr="00FB60E5">
        <w:t>.</w:t>
      </w:r>
      <w:r w:rsidRPr="00FB60E5">
        <w:t xml:space="preserve"> (2009) ran a practical clinical trial within welfare agencies comparing a continuity of care intervention for SUDs in the form of Co-ordinated Care Management (CCM), to usual welfare management among participants not enrolled in methadone maintenance programs. Those receiving CCM received significantly more suitable treatment programs and ancillary services matc</w:t>
      </w:r>
      <w:r w:rsidR="003147FC" w:rsidRPr="00FB60E5">
        <w:t>hed to client need (</w:t>
      </w:r>
      <w:proofErr w:type="spellStart"/>
      <w:r w:rsidR="003147FC" w:rsidRPr="00FB60E5">
        <w:t>e.g</w:t>
      </w:r>
      <w:proofErr w:type="spellEnd"/>
      <w:r w:rsidRPr="00FB60E5">
        <w:t xml:space="preserve"> drug treatment, work activity, medical and mental health care, domestic violence programs, housing, </w:t>
      </w:r>
      <w:r w:rsidR="003147FC" w:rsidRPr="00FB60E5">
        <w:t>or</w:t>
      </w:r>
      <w:r w:rsidRPr="00FB60E5">
        <w:t xml:space="preserve"> childcare) than usual care clients and the likelihood of abstinence at the one-year follow-up was 75% higher. The authors concluded that CCM is </w:t>
      </w:r>
      <w:r w:rsidR="00895610" w:rsidRPr="00FB60E5">
        <w:t xml:space="preserve">a </w:t>
      </w:r>
      <w:r w:rsidRPr="00FB60E5">
        <w:t>promising SUD treatment for welfare recipients, though its impact was not observed among patients receiving methadone maintenance.</w:t>
      </w:r>
      <w:r w:rsidR="002C27A8">
        <w:t xml:space="preserve"> </w:t>
      </w:r>
      <w:r w:rsidRPr="00FB60E5">
        <w:t xml:space="preserve">An earlier Victorian report ‘Pathways- a review of the Victorian drug treatment service system’ noted that variable connections to the other health, welfare and employment services </w:t>
      </w:r>
      <w:r w:rsidR="007F568F" w:rsidRPr="00FB60E5">
        <w:t xml:space="preserve">are </w:t>
      </w:r>
      <w:r w:rsidRPr="00FB60E5">
        <w:t xml:space="preserve">required to support clients with a range of needs (Ritter et </w:t>
      </w:r>
      <w:r w:rsidR="008758D0" w:rsidRPr="00FB60E5">
        <w:t>al.</w:t>
      </w:r>
      <w:r w:rsidRPr="00FB60E5">
        <w:t>, 2003). The solution proposed in this service system review, however, was establishing cross-sectoral linkage workers based in community health services, with waiting list management, assertive follow-up and assessment carried out through a central intake un</w:t>
      </w:r>
      <w:r w:rsidR="000D2716">
        <w:t>it rather than case management.</w:t>
      </w:r>
    </w:p>
    <w:p w14:paraId="38A45CD7" w14:textId="3B9DDE82" w:rsidR="00DF4F77" w:rsidRPr="00FB60E5" w:rsidRDefault="003147FC" w:rsidP="00FB60E5">
      <w:pPr>
        <w:ind w:left="0"/>
      </w:pPr>
      <w:r w:rsidRPr="00FB60E5">
        <w:t>The Victorian ‘</w:t>
      </w:r>
      <w:r w:rsidR="00DF4F77" w:rsidRPr="00FB60E5">
        <w:t xml:space="preserve">New directions for alcohol and drug treatment services – a roadmap’ document (Department of Health, 2012) describes the new Care and Recovery Coordination role which enables clients to be supported through treatment and connected with the other service or support needed. </w:t>
      </w:r>
      <w:r w:rsidR="00624E1C" w:rsidRPr="00FB60E5">
        <w:t xml:space="preserve">The term recovery is highlighted as a key focus of the National Drug Strategy 2010-2015 (under Objective 3 of </w:t>
      </w:r>
      <w:r w:rsidR="004F6D5F" w:rsidRPr="00FB60E5">
        <w:t>a demand r</w:t>
      </w:r>
      <w:r w:rsidR="00624E1C" w:rsidRPr="00FB60E5">
        <w:t>eduction</w:t>
      </w:r>
      <w:r w:rsidR="004F6D5F" w:rsidRPr="00FB60E5">
        <w:t xml:space="preserve"> approach [Pillar 1</w:t>
      </w:r>
      <w:r w:rsidR="00624E1C" w:rsidRPr="00FB60E5">
        <w:t xml:space="preserve">]), </w:t>
      </w:r>
      <w:r w:rsidR="004F6D5F" w:rsidRPr="00FB60E5">
        <w:t>and</w:t>
      </w:r>
      <w:r w:rsidR="00624E1C" w:rsidRPr="00FB60E5">
        <w:t xml:space="preserve"> states ‘</w:t>
      </w:r>
      <w:r w:rsidR="004F6D5F" w:rsidRPr="00FB60E5">
        <w:t>r</w:t>
      </w:r>
      <w:r w:rsidR="00624E1C" w:rsidRPr="00FB60E5">
        <w:t>ecovering from drug dependence can be a long-term process in which individuals need support and empowerment to achieve independence, a healthy self-esteem and a meaningful life in the community. Successful support for longer-term recovery after treatment requires strategies that are focused on the whole individual and look across the life span. While different people will have different routes to recovery, support for recovery is most effective when the individual’s needs are placed at the centre of their care and treatment. Treatment service providers can help individuals recover from drug dependence, help the individual access the internal resources they need (such as resilience, coping skills and physical health) and ensure referral and links to a range of external services and support (such as stable accommodation, education, vocational and employment support and social connections)</w:t>
      </w:r>
      <w:r w:rsidR="004F6D5F" w:rsidRPr="00FB60E5">
        <w:t>’</w:t>
      </w:r>
      <w:r w:rsidR="00BB076B" w:rsidRPr="00FB60E5">
        <w:t xml:space="preserve"> </w:t>
      </w:r>
      <w:r w:rsidR="00902782" w:rsidRPr="00FB60E5">
        <w:t>(Ministerial Council on Drug Strategy, 2011, p.11).</w:t>
      </w:r>
      <w:r w:rsidR="00B473EE" w:rsidRPr="00FB60E5">
        <w:t xml:space="preserve"> </w:t>
      </w:r>
      <w:r w:rsidR="001C692B" w:rsidRPr="00FB60E5">
        <w:t xml:space="preserve">A </w:t>
      </w:r>
      <w:r w:rsidR="00DF4F77" w:rsidRPr="00FB60E5">
        <w:t xml:space="preserve">recovery-oriented approach addresses a person’s holistic needs and circumstances with attention to what happens after formal treatment ends. Care and recovery coordinators help reconnect AOD users with their families and communities </w:t>
      </w:r>
      <w:r w:rsidR="004F6D5F" w:rsidRPr="00FB60E5">
        <w:t>(</w:t>
      </w:r>
      <w:r w:rsidR="00DF4F77" w:rsidRPr="00FB60E5">
        <w:t>e.g.</w:t>
      </w:r>
      <w:r w:rsidR="004F6D5F" w:rsidRPr="00FB60E5">
        <w:t>,</w:t>
      </w:r>
      <w:r w:rsidR="00DF4F77" w:rsidRPr="00FB60E5">
        <w:t xml:space="preserve"> by engaging with GPs, pharmacists, primary health services and other health and human services, peer support workers, or with communities that are under</w:t>
      </w:r>
      <w:r w:rsidRPr="00FB60E5">
        <w:t>-</w:t>
      </w:r>
      <w:r w:rsidR="00DF4F77" w:rsidRPr="00FB60E5">
        <w:t>represented in treatment</w:t>
      </w:r>
      <w:r w:rsidR="004F6D5F" w:rsidRPr="00FB60E5">
        <w:t>)</w:t>
      </w:r>
      <w:r w:rsidR="00DF4F77" w:rsidRPr="00FB60E5">
        <w:t>, recognising that more intensive case manage</w:t>
      </w:r>
      <w:r w:rsidR="000D2716">
        <w:t>ment will be required for some.</w:t>
      </w:r>
    </w:p>
    <w:p w14:paraId="38A45CD8" w14:textId="77777777" w:rsidR="00DF4F77" w:rsidRPr="00FB60E5" w:rsidRDefault="00777F47" w:rsidP="00FB60E5">
      <w:pPr>
        <w:ind w:left="0"/>
      </w:pPr>
      <w:r w:rsidRPr="00FB60E5">
        <w:t xml:space="preserve">Increasing community concern about health problems and service expenditure has prompted a national program of healthcare reform in Australia, to support the efficient use of public funds. </w:t>
      </w:r>
      <w:r w:rsidR="00DF4F77" w:rsidRPr="00FB60E5">
        <w:t>Changes in governance, funding, and accountability arrangements are being impleme</w:t>
      </w:r>
      <w:r w:rsidR="00B473EE" w:rsidRPr="00FB60E5">
        <w:t xml:space="preserve">nted by the Federal </w:t>
      </w:r>
      <w:r w:rsidR="00DF4F77" w:rsidRPr="00FB60E5">
        <w:t xml:space="preserve">Government; </w:t>
      </w:r>
      <w:r w:rsidR="0093557B" w:rsidRPr="00FB60E5">
        <w:t>and at state level in Victoria, through the introduction of a new AOD strategy (Victorian Department of Health, 2012) and linked structural changes in service provision. H</w:t>
      </w:r>
      <w:r w:rsidR="00DF4F77" w:rsidRPr="00FB60E5">
        <w:t>owever</w:t>
      </w:r>
      <w:r w:rsidR="003147FC" w:rsidRPr="00FB60E5">
        <w:t>,</w:t>
      </w:r>
      <w:r w:rsidR="00DF4F77" w:rsidRPr="00FB60E5">
        <w:t xml:space="preserve"> there is limited evidence to guide health </w:t>
      </w:r>
      <w:r w:rsidR="00DF4F77" w:rsidRPr="00FB60E5">
        <w:lastRenderedPageBreak/>
        <w:t>system design in relation to alcohol and drug treatment – services that currently sit outside Australia’s program of reform. A</w:t>
      </w:r>
      <w:r w:rsidR="003147FC" w:rsidRPr="00FB60E5">
        <w:t>OD</w:t>
      </w:r>
      <w:r w:rsidR="00DF4F77" w:rsidRPr="00FB60E5">
        <w:t xml:space="preserve"> clients often use a range of other services and systems; however, little is known about the magnitude and significance of this service use. Furthermore, there is no Australian data currently available on whether</w:t>
      </w:r>
      <w:r w:rsidR="003147FC" w:rsidRPr="00FB60E5">
        <w:t>,</w:t>
      </w:r>
      <w:r w:rsidR="00DF4F77" w:rsidRPr="00FB60E5">
        <w:t xml:space="preserve"> and to what extent</w:t>
      </w:r>
      <w:r w:rsidR="003147FC" w:rsidRPr="00FB60E5">
        <w:t>, AOD trea</w:t>
      </w:r>
      <w:r w:rsidR="00DF4F77" w:rsidRPr="00FB60E5">
        <w:t>tment outcomes result in better use of routine health care and reduce demand for more intensive and costly healthcare interventions.</w:t>
      </w:r>
    </w:p>
    <w:p w14:paraId="38A45CD9" w14:textId="1DB30069" w:rsidR="00DF4F77" w:rsidRPr="00D15EAE" w:rsidRDefault="00DF4F77" w:rsidP="00D15EAE">
      <w:pPr>
        <w:pStyle w:val="Heading2"/>
        <w:rPr>
          <w:b w:val="0"/>
          <w:i/>
        </w:rPr>
      </w:pPr>
      <w:r w:rsidRPr="00D15EAE">
        <w:rPr>
          <w:b w:val="0"/>
          <w:i/>
        </w:rPr>
        <w:t xml:space="preserve">Treatment </w:t>
      </w:r>
      <w:r w:rsidR="00B0749B" w:rsidRPr="00D15EAE">
        <w:rPr>
          <w:b w:val="0"/>
          <w:i/>
        </w:rPr>
        <w:t>effectiveness / outcome studies</w:t>
      </w:r>
    </w:p>
    <w:p w14:paraId="38A45CDA" w14:textId="147BABB1" w:rsidR="00777F47" w:rsidRPr="00FB60E5" w:rsidRDefault="006F77B8" w:rsidP="00FB60E5">
      <w:pPr>
        <w:ind w:left="0"/>
      </w:pPr>
      <w:r w:rsidRPr="00FB60E5">
        <w:t>N</w:t>
      </w:r>
      <w:r w:rsidR="00777F47" w:rsidRPr="00FB60E5">
        <w:t>ational</w:t>
      </w:r>
      <w:r w:rsidR="008E1353" w:rsidRPr="00FB60E5">
        <w:t xml:space="preserve"> data on </w:t>
      </w:r>
      <w:r w:rsidR="00777F47" w:rsidRPr="00FB60E5">
        <w:t>the demand for services, characteristics of the population in need of treatment and response to different treatment trajectories are needed to inform policy around the planning/design of the broader treatment system and to facilitate the effective allocation of resources th</w:t>
      </w:r>
      <w:r w:rsidR="003147FC" w:rsidRPr="00FB60E5">
        <w:t xml:space="preserve">at will reduce the overall cost and </w:t>
      </w:r>
      <w:r w:rsidR="00777F47" w:rsidRPr="00FB60E5">
        <w:t>burden to Australian society. Large-scale, prospective, multi-site treatment outcome studies are imperative to understanding the dynamics of treatment and its impact on client outcomes and addiction careers over extended periods of time. However there remains a paucity of longitudinal studies largely because of the high costs in money, effort and organisational commitment necessary to implement, coordinate and sustain such data collection systems over many years. The treatment outcome literature is almost entirely dominated by research findings from the US and UK (for a summary of these studie</w:t>
      </w:r>
      <w:r w:rsidR="009D6482">
        <w:t xml:space="preserve">s, see </w:t>
      </w:r>
      <w:r w:rsidR="001B3CBD">
        <w:fldChar w:fldCharType="begin"/>
      </w:r>
      <w:r w:rsidR="001B3CBD">
        <w:instrText xml:space="preserve"> REF _Ref531626012 \h </w:instrText>
      </w:r>
      <w:r w:rsidR="001B3CBD">
        <w:fldChar w:fldCharType="separate"/>
      </w:r>
      <w:r w:rsidR="001B3CBD">
        <w:t xml:space="preserve">Table </w:t>
      </w:r>
      <w:r w:rsidR="001B3CBD">
        <w:rPr>
          <w:noProof/>
        </w:rPr>
        <w:t>1</w:t>
      </w:r>
      <w:r w:rsidR="001B3CBD">
        <w:t>.</w:t>
      </w:r>
      <w:r w:rsidR="001B3CBD">
        <w:rPr>
          <w:noProof/>
        </w:rPr>
        <w:t>1</w:t>
      </w:r>
      <w:r w:rsidR="001B3CBD">
        <w:fldChar w:fldCharType="end"/>
      </w:r>
      <w:r w:rsidR="009D6482">
        <w:t>).</w:t>
      </w:r>
    </w:p>
    <w:p w14:paraId="38A45CDB" w14:textId="77777777" w:rsidR="005D4F10" w:rsidRPr="00FB60E5" w:rsidRDefault="005D4F10" w:rsidP="00FB60E5">
      <w:pPr>
        <w:ind w:left="0"/>
      </w:pPr>
      <w:r w:rsidRPr="00FB60E5">
        <w:t>A</w:t>
      </w:r>
      <w:r w:rsidR="00777F47" w:rsidRPr="00FB60E5">
        <w:t xml:space="preserve"> review of the international literature on drug treatment effectiveness</w:t>
      </w:r>
      <w:r w:rsidRPr="00FB60E5">
        <w:t xml:space="preserve"> undertaken</w:t>
      </w:r>
      <w:r w:rsidR="00777F47" w:rsidRPr="00FB60E5">
        <w:t xml:space="preserve"> for the Scottish government</w:t>
      </w:r>
      <w:r w:rsidRPr="00FB60E5">
        <w:t xml:space="preserve"> (Best et </w:t>
      </w:r>
      <w:r w:rsidR="007F568F" w:rsidRPr="00FB60E5">
        <w:t>al.,</w:t>
      </w:r>
      <w:r w:rsidRPr="00FB60E5">
        <w:t xml:space="preserve"> 201</w:t>
      </w:r>
      <w:r w:rsidR="00AD0EEB" w:rsidRPr="00FB60E5">
        <w:t>0</w:t>
      </w:r>
      <w:r w:rsidRPr="00FB60E5">
        <w:t>) concluded that:</w:t>
      </w:r>
    </w:p>
    <w:p w14:paraId="38A45CDC" w14:textId="77777777" w:rsidR="005D4F10" w:rsidRPr="00FB60E5" w:rsidRDefault="00777F47" w:rsidP="00882917">
      <w:pPr>
        <w:pStyle w:val="ListParagraph"/>
        <w:numPr>
          <w:ilvl w:val="0"/>
          <w:numId w:val="4"/>
        </w:numPr>
      </w:pPr>
      <w:r w:rsidRPr="00FB60E5">
        <w:t xml:space="preserve">significant improvements </w:t>
      </w:r>
      <w:r w:rsidR="002D0669" w:rsidRPr="00FB60E5">
        <w:t xml:space="preserve">in the wake of treatment </w:t>
      </w:r>
      <w:r w:rsidRPr="00FB60E5">
        <w:t>are seen across a range of indicators, including health, offending, risk-taking, subst</w:t>
      </w:r>
      <w:r w:rsidR="003147FC" w:rsidRPr="00FB60E5">
        <w:t>ance use and social functioning;</w:t>
      </w:r>
    </w:p>
    <w:p w14:paraId="1862102E" w14:textId="77777777" w:rsidR="00BB0E5E" w:rsidRDefault="00777F47" w:rsidP="00882917">
      <w:pPr>
        <w:pStyle w:val="ListParagraph"/>
        <w:numPr>
          <w:ilvl w:val="0"/>
          <w:numId w:val="4"/>
        </w:numPr>
      </w:pPr>
      <w:r w:rsidRPr="00FB60E5">
        <w:t>a range of treatment modalities demonstrate value for money, with the most recent estimate from</w:t>
      </w:r>
      <w:r w:rsidR="003147FC" w:rsidRPr="00FB60E5">
        <w:t xml:space="preserve"> the</w:t>
      </w:r>
      <w:r w:rsidRPr="00FB60E5">
        <w:t xml:space="preserve"> D</w:t>
      </w:r>
      <w:r w:rsidR="003147FC" w:rsidRPr="00FB60E5">
        <w:t xml:space="preserve">rug </w:t>
      </w:r>
      <w:r w:rsidRPr="00FB60E5">
        <w:t>T</w:t>
      </w:r>
      <w:r w:rsidR="003147FC" w:rsidRPr="00FB60E5">
        <w:t xml:space="preserve">reatment </w:t>
      </w:r>
      <w:r w:rsidRPr="00FB60E5">
        <w:t>O</w:t>
      </w:r>
      <w:r w:rsidR="003147FC" w:rsidRPr="00FB60E5">
        <w:t xml:space="preserve">utcome </w:t>
      </w:r>
      <w:r w:rsidRPr="00FB60E5">
        <w:t>R</w:t>
      </w:r>
      <w:r w:rsidR="003147FC" w:rsidRPr="00FB60E5">
        <w:t xml:space="preserve">esearch </w:t>
      </w:r>
      <w:r w:rsidRPr="00FB60E5">
        <w:t>S</w:t>
      </w:r>
      <w:r w:rsidR="003147FC" w:rsidRPr="00FB60E5">
        <w:t>tudy</w:t>
      </w:r>
      <w:r w:rsidRPr="00FB60E5">
        <w:t xml:space="preserve"> of a cost effectiveness ratio of 2.5:1 for savings in health and social c</w:t>
      </w:r>
      <w:r w:rsidR="003147FC" w:rsidRPr="00FB60E5">
        <w:t>are relative to treatment costs;</w:t>
      </w:r>
    </w:p>
    <w:p w14:paraId="579EA7EE" w14:textId="77777777" w:rsidR="00BB0E5E" w:rsidRDefault="00777F47" w:rsidP="00882917">
      <w:pPr>
        <w:pStyle w:val="ListParagraph"/>
        <w:numPr>
          <w:ilvl w:val="0"/>
          <w:numId w:val="4"/>
        </w:numPr>
      </w:pPr>
      <w:r w:rsidRPr="00FB60E5">
        <w:t>therapeutic relationships and overall service quality are important predictors of treatment enga</w:t>
      </w:r>
      <w:r w:rsidR="003147FC" w:rsidRPr="00FB60E5">
        <w:t>gement and outcomes for clients;</w:t>
      </w:r>
    </w:p>
    <w:p w14:paraId="38A45CDF" w14:textId="05137C92" w:rsidR="005D4F10" w:rsidRPr="00FB60E5" w:rsidRDefault="00777F47" w:rsidP="00882917">
      <w:pPr>
        <w:pStyle w:val="ListParagraph"/>
        <w:numPr>
          <w:ilvl w:val="0"/>
          <w:numId w:val="4"/>
        </w:numPr>
      </w:pPr>
      <w:r w:rsidRPr="00FB60E5">
        <w:t xml:space="preserve">retention in treatment for </w:t>
      </w:r>
      <w:r w:rsidR="00895610" w:rsidRPr="00FB60E5">
        <w:t xml:space="preserve">at least </w:t>
      </w:r>
      <w:r w:rsidRPr="00FB60E5">
        <w:t>90 days has been shown to be the threshold for ‘treatme</w:t>
      </w:r>
      <w:r w:rsidR="003147FC" w:rsidRPr="00FB60E5">
        <w:t>nt gain’ in community settings;</w:t>
      </w:r>
    </w:p>
    <w:p w14:paraId="38A45CE0" w14:textId="77777777" w:rsidR="005D4F10" w:rsidRPr="00FB60E5" w:rsidRDefault="00777F47" w:rsidP="00882917">
      <w:pPr>
        <w:pStyle w:val="ListParagraph"/>
        <w:numPr>
          <w:ilvl w:val="0"/>
          <w:numId w:val="4"/>
        </w:numPr>
      </w:pPr>
      <w:r w:rsidRPr="00FB60E5">
        <w:t>a strong evidence base exists supporting methadone substitution treatment in maintenance settings, but that it requires adequate psychosocial support and links to</w:t>
      </w:r>
      <w:r w:rsidR="00895610" w:rsidRPr="00FB60E5">
        <w:t xml:space="preserve"> multiple addressing complex needs </w:t>
      </w:r>
      <w:r w:rsidR="003147FC" w:rsidRPr="00FB60E5">
        <w:t>in addition to prescribing;</w:t>
      </w:r>
    </w:p>
    <w:p w14:paraId="3998FBB1" w14:textId="77777777" w:rsidR="00BB0E5E" w:rsidRDefault="00777F47" w:rsidP="00882917">
      <w:pPr>
        <w:pStyle w:val="ListParagraph"/>
        <w:numPr>
          <w:ilvl w:val="0"/>
          <w:numId w:val="4"/>
        </w:numPr>
      </w:pPr>
      <w:r w:rsidRPr="00FB60E5">
        <w:t>continuity of care is a critical component</w:t>
      </w:r>
      <w:r w:rsidR="002D0669" w:rsidRPr="00FB60E5">
        <w:t xml:space="preserve"> of effective treatment systems; </w:t>
      </w:r>
      <w:r w:rsidRPr="00FB60E5">
        <w:t>a strong evidence base exists around linkage to peer and community ‘aftercare’ support</w:t>
      </w:r>
      <w:r w:rsidR="003147FC" w:rsidRPr="00FB60E5">
        <w:t>;</w:t>
      </w:r>
      <w:r w:rsidRPr="00FB60E5">
        <w:t xml:space="preserve"> and</w:t>
      </w:r>
    </w:p>
    <w:p w14:paraId="38A45CE2" w14:textId="7C9D4CD1" w:rsidR="00777F47" w:rsidRPr="00FB60E5" w:rsidRDefault="00777F47" w:rsidP="00882917">
      <w:pPr>
        <w:pStyle w:val="ListParagraph"/>
        <w:numPr>
          <w:ilvl w:val="0"/>
          <w:numId w:val="4"/>
        </w:numPr>
      </w:pPr>
      <w:proofErr w:type="gramStart"/>
      <w:r w:rsidRPr="00FB60E5">
        <w:t>structured</w:t>
      </w:r>
      <w:proofErr w:type="gramEnd"/>
      <w:r w:rsidRPr="00FB60E5">
        <w:t xml:space="preserve"> psychosocial interventions with proven efficacy in clinical trials are not routinely translated into everyday clinical practice, due to p</w:t>
      </w:r>
      <w:r w:rsidR="003147FC" w:rsidRPr="00FB60E5">
        <w:t>roblems around service delivery.</w:t>
      </w:r>
    </w:p>
    <w:p w14:paraId="38A45CE3" w14:textId="143C2014" w:rsidR="00777F47" w:rsidRPr="00FB60E5" w:rsidRDefault="00777F47" w:rsidP="00FB60E5">
      <w:pPr>
        <w:ind w:left="0"/>
      </w:pPr>
      <w:r w:rsidRPr="00FB60E5">
        <w:t>To date, only two treatment outcome studies have been conducted in Australia. The first is the Australian Treatment Outcomes Study (ATOS), which recruited 825 heroin users upon entry to maintenance therapies (methadone or buprenorphine), residential rehabilitation, and detoxification in Sydney, Melbourne and Adelaide</w:t>
      </w:r>
      <w:r w:rsidR="003147FC" w:rsidRPr="00FB60E5">
        <w:t>. The</w:t>
      </w:r>
      <w:r w:rsidRPr="00FB60E5">
        <w:t xml:space="preserve"> sample was followed up at </w:t>
      </w:r>
      <w:r w:rsidR="003147FC" w:rsidRPr="00FB60E5">
        <w:t xml:space="preserve">one and three </w:t>
      </w:r>
      <w:r w:rsidRPr="00FB60E5">
        <w:t>years (</w:t>
      </w:r>
      <w:proofErr w:type="spellStart"/>
      <w:r w:rsidRPr="00FB60E5">
        <w:t>Teesson</w:t>
      </w:r>
      <w:proofErr w:type="spellEnd"/>
      <w:r w:rsidRPr="00FB60E5">
        <w:t xml:space="preserve"> et al., 2008) and a further sample was recruited of 80 heroin users who were </w:t>
      </w:r>
      <w:r w:rsidR="003147FC" w:rsidRPr="00FB60E5">
        <w:t>not currently in treatment. At one</w:t>
      </w:r>
      <w:r w:rsidRPr="00FB60E5">
        <w:t xml:space="preserve">-year follow-up ATOS participants had received </w:t>
      </w:r>
      <w:r w:rsidRPr="00FB60E5">
        <w:lastRenderedPageBreak/>
        <w:t>a median of two treatment episodes since their baseline interview. There were reductions in heroin use</w:t>
      </w:r>
      <w:r w:rsidR="00084E6F" w:rsidRPr="00FB60E5">
        <w:t xml:space="preserve"> in the past month</w:t>
      </w:r>
      <w:r w:rsidRPr="00FB60E5">
        <w:t xml:space="preserve"> from baseline to </w:t>
      </w:r>
      <w:r w:rsidR="00084E6F" w:rsidRPr="00FB60E5">
        <w:t xml:space="preserve">12-month follow-up </w:t>
      </w:r>
      <w:r w:rsidRPr="00FB60E5">
        <w:t xml:space="preserve">(99% </w:t>
      </w:r>
      <w:r w:rsidR="00084E6F" w:rsidRPr="00FB60E5">
        <w:t>to 41</w:t>
      </w:r>
      <w:r w:rsidRPr="00FB60E5">
        <w:t>%</w:t>
      </w:r>
      <w:r w:rsidR="00084E6F" w:rsidRPr="00FB60E5">
        <w:t xml:space="preserve">) which were sustained at </w:t>
      </w:r>
      <w:r w:rsidR="003147FC" w:rsidRPr="00FB60E5">
        <w:t>two-</w:t>
      </w:r>
      <w:r w:rsidR="00084E6F" w:rsidRPr="00FB60E5">
        <w:t>year (35%) and</w:t>
      </w:r>
      <w:r w:rsidRPr="00FB60E5">
        <w:t xml:space="preserve"> </w:t>
      </w:r>
      <w:r w:rsidR="003147FC" w:rsidRPr="00FB60E5">
        <w:t>three-</w:t>
      </w:r>
      <w:r w:rsidRPr="00FB60E5">
        <w:t>year follow-up (</w:t>
      </w:r>
      <w:proofErr w:type="spellStart"/>
      <w:r w:rsidRPr="00FB60E5">
        <w:t>Teesson</w:t>
      </w:r>
      <w:proofErr w:type="spellEnd"/>
      <w:r w:rsidRPr="00FB60E5">
        <w:t xml:space="preserve"> et </w:t>
      </w:r>
      <w:r w:rsidR="007F568F" w:rsidRPr="00FB60E5">
        <w:t>al.,</w:t>
      </w:r>
      <w:r w:rsidRPr="00FB60E5">
        <w:t xml:space="preserve"> 2008). Reductions in heroin use were accompanied by reductions in needle sharing and injection-related health problems. There were also substantial reductions in criminal involvement and improvements in general physical and mental health. Positive outcomes were associated with more time in maintenance therapies and residential rehabilitation and fewer treatment episodes. As in other studies, ATOS drew attention to the importance of stable retention in treatment as a consistent predictor of superior treatment outcome (</w:t>
      </w:r>
      <w:proofErr w:type="spellStart"/>
      <w:r w:rsidRPr="00FB60E5">
        <w:t>Darke</w:t>
      </w:r>
      <w:proofErr w:type="spellEnd"/>
      <w:r w:rsidRPr="00FB60E5">
        <w:t xml:space="preserve"> et </w:t>
      </w:r>
      <w:r w:rsidR="007F568F" w:rsidRPr="00FB60E5">
        <w:t>al.,</w:t>
      </w:r>
      <w:r w:rsidRPr="00FB60E5">
        <w:t xml:space="preserve"> 2007). The second Australian study, the Methamphetamines Treatment Evaluation Study (MATES) </w:t>
      </w:r>
      <w:r w:rsidR="00A93CBE" w:rsidRPr="00FB60E5">
        <w:t>of</w:t>
      </w:r>
      <w:r w:rsidRPr="00FB60E5">
        <w:t xml:space="preserve"> 360 methamphetamine or amphetamine users from Sydney and Brisbane (</w:t>
      </w:r>
      <w:proofErr w:type="spellStart"/>
      <w:r w:rsidRPr="00FB60E5">
        <w:t>McKetin</w:t>
      </w:r>
      <w:proofErr w:type="spellEnd"/>
      <w:r w:rsidRPr="00FB60E5">
        <w:t xml:space="preserve"> et al., 2012) with both 1 and 3 year follow-ups, had similar findings to ATOS. Almost half of the MATES participants received additional treatment in the three months </w:t>
      </w:r>
      <w:r w:rsidR="00A93CBE" w:rsidRPr="00FB60E5">
        <w:t xml:space="preserve">following their index episode. </w:t>
      </w:r>
      <w:r w:rsidRPr="00FB60E5">
        <w:t>Recovery in the MATES study was defined as continued abstinence, with</w:t>
      </w:r>
      <w:r w:rsidR="003147FC" w:rsidRPr="00FB60E5">
        <w:t xml:space="preserve"> reported rates of 33% at the three-</w:t>
      </w:r>
      <w:r w:rsidRPr="00FB60E5">
        <w:t xml:space="preserve">month follow-up, 14% at the </w:t>
      </w:r>
      <w:r w:rsidR="003147FC" w:rsidRPr="00FB60E5">
        <w:t>one</w:t>
      </w:r>
      <w:r w:rsidRPr="00FB60E5">
        <w:t xml:space="preserve">-year follow-up and only 6% at the </w:t>
      </w:r>
      <w:r w:rsidR="003147FC" w:rsidRPr="00FB60E5">
        <w:t>three</w:t>
      </w:r>
      <w:r w:rsidRPr="00FB60E5">
        <w:t>-year foll</w:t>
      </w:r>
      <w:r w:rsidR="001B38B8">
        <w:t>ow-up (</w:t>
      </w:r>
      <w:proofErr w:type="spellStart"/>
      <w:r w:rsidR="001B38B8">
        <w:t>McKetin</w:t>
      </w:r>
      <w:proofErr w:type="spellEnd"/>
      <w:r w:rsidR="001B38B8">
        <w:t xml:space="preserve"> et al., 2012).</w:t>
      </w:r>
    </w:p>
    <w:p w14:paraId="38A45CE4" w14:textId="36ADCB84" w:rsidR="00777F47" w:rsidRPr="00FB60E5" w:rsidRDefault="00777F47" w:rsidP="00FB60E5">
      <w:pPr>
        <w:ind w:left="0"/>
      </w:pPr>
      <w:r w:rsidRPr="00FB60E5">
        <w:t>In addition to substance dependence, both studies gathered information on current problems, alcohol and drug treatment experience, and past involvement with the criminal justice system. ATOS showed that mental health and social issues were common</w:t>
      </w:r>
      <w:r w:rsidR="00471551" w:rsidRPr="00FB60E5">
        <w:t>,</w:t>
      </w:r>
      <w:r w:rsidRPr="00FB60E5">
        <w:t xml:space="preserve"> </w:t>
      </w:r>
      <w:r w:rsidR="00471551" w:rsidRPr="00FB60E5">
        <w:t xml:space="preserve">including </w:t>
      </w:r>
      <w:r w:rsidRPr="00FB60E5">
        <w:t xml:space="preserve">anti-social (72%) and borderline personality disorders (47%), along with high rates of attempted suicide (37%). Similarly, many of the participants in MATES had psychiatric problems, for example major depression (38%) and panic disorder (29%). Participants had a number of broader concerns. At baseline, half the ATOS participants were receiving social security allowances (50%) and 41% had a prison history (Ross et </w:t>
      </w:r>
      <w:r w:rsidR="007F568F" w:rsidRPr="00FB60E5">
        <w:t>al.,</w:t>
      </w:r>
      <w:r w:rsidRPr="00FB60E5">
        <w:t xml:space="preserve"> 2005). Just over half the MATES participants were unemployed (54%) and a substantial propo</w:t>
      </w:r>
      <w:r w:rsidR="00A93CBE" w:rsidRPr="00FB60E5">
        <w:t xml:space="preserve">rtion (31%) had been in prison </w:t>
      </w:r>
      <w:r w:rsidRPr="00FB60E5">
        <w:t>(</w:t>
      </w:r>
      <w:proofErr w:type="spellStart"/>
      <w:r w:rsidRPr="00FB60E5">
        <w:t>McKetin</w:t>
      </w:r>
      <w:proofErr w:type="spellEnd"/>
      <w:r w:rsidRPr="00FB60E5">
        <w:t xml:space="preserve"> et al., 2012). Whilst both studies demonstrated benefits from AOD treatment despite </w:t>
      </w:r>
      <w:r w:rsidR="00A93CBE" w:rsidRPr="00FB60E5">
        <w:t xml:space="preserve">the </w:t>
      </w:r>
      <w:r w:rsidRPr="00FB60E5">
        <w:t>high severity and complexity</w:t>
      </w:r>
      <w:r w:rsidR="00A93CBE" w:rsidRPr="00FB60E5">
        <w:t xml:space="preserve"> of these cases</w:t>
      </w:r>
      <w:r w:rsidRPr="00FB60E5">
        <w:t xml:space="preserve">, with substantial need for </w:t>
      </w:r>
      <w:r w:rsidR="001F2298" w:rsidRPr="00FB60E5">
        <w:t>community service engagement</w:t>
      </w:r>
      <w:r w:rsidRPr="00FB60E5">
        <w:t>, those with a larger treatment ‘dose’ had better outcomes in t</w:t>
      </w:r>
      <w:r w:rsidR="001F2298" w:rsidRPr="00FB60E5">
        <w:t xml:space="preserve">he ATOS study, </w:t>
      </w:r>
      <w:r w:rsidRPr="00FB60E5">
        <w:t>a single episode of drug treatment had only short-term benefits in the MATES study, with a large but time-limited decrease in use of methamphetamine among clients in residen</w:t>
      </w:r>
      <w:r w:rsidR="0071715D">
        <w:t>tial rehabilitation.</w:t>
      </w:r>
    </w:p>
    <w:p w14:paraId="38A45CE5" w14:textId="0867267B" w:rsidR="00DF4F77" w:rsidRPr="00D15EAE" w:rsidRDefault="0071715D" w:rsidP="00D15EAE">
      <w:pPr>
        <w:pStyle w:val="Heading2"/>
        <w:rPr>
          <w:b w:val="0"/>
          <w:i/>
        </w:rPr>
      </w:pPr>
      <w:r w:rsidRPr="00D15EAE">
        <w:rPr>
          <w:b w:val="0"/>
          <w:i/>
        </w:rPr>
        <w:t>The move to a systems model</w:t>
      </w:r>
    </w:p>
    <w:p w14:paraId="6B2741BF" w14:textId="77777777" w:rsidR="002C27A8" w:rsidRDefault="006F77B8" w:rsidP="00FB60E5">
      <w:pPr>
        <w:ind w:left="0"/>
      </w:pPr>
      <w:r w:rsidRPr="00FB60E5">
        <w:t>Systems research can help to improve access, efficiency, economy, continuity of care, and effectiveness, thereby improving the population impact of treatment services (</w:t>
      </w:r>
      <w:proofErr w:type="spellStart"/>
      <w:r w:rsidRPr="00FB60E5">
        <w:t>Babor</w:t>
      </w:r>
      <w:proofErr w:type="spellEnd"/>
      <w:r w:rsidRPr="00FB60E5">
        <w:t xml:space="preserve"> et </w:t>
      </w:r>
      <w:r w:rsidR="007F568F" w:rsidRPr="00FB60E5">
        <w:t>al.,</w:t>
      </w:r>
      <w:r w:rsidRPr="00FB60E5">
        <w:t xml:space="preserve"> 2008). </w:t>
      </w:r>
      <w:r w:rsidR="00777F47" w:rsidRPr="00FB60E5">
        <w:t xml:space="preserve">As highlighted by </w:t>
      </w:r>
      <w:proofErr w:type="spellStart"/>
      <w:r w:rsidR="00777F47" w:rsidRPr="00FB60E5">
        <w:t>Babor</w:t>
      </w:r>
      <w:proofErr w:type="spellEnd"/>
      <w:r w:rsidR="00777F47" w:rsidRPr="00FB60E5">
        <w:t xml:space="preserve"> et al (200</w:t>
      </w:r>
      <w:r w:rsidR="00471551" w:rsidRPr="00FB60E5">
        <w:t>8)</w:t>
      </w:r>
      <w:r w:rsidR="00777F47" w:rsidRPr="00FB60E5">
        <w:t>, most of the treatment research to date has focussed on the efficacy of various psychotherapies</w:t>
      </w:r>
      <w:r w:rsidRPr="00FB60E5">
        <w:t xml:space="preserve"> (and pharmacotherapies)</w:t>
      </w:r>
      <w:r w:rsidR="00777F47" w:rsidRPr="00FB60E5">
        <w:t xml:space="preserve"> and client factors or treatment process characteristics that mediate response to treatment. Most outcome studies have been concerned with abstinence/reduced substance use and acute health in the short-term, focussed on a specific modality (e.g. inpatient detoxification) or a specific drug, with very limited data gathered on the impact of providing optimal treatment pathways for longer-term outcomes. While exposure to treatment is an important variable in determining alcohol/drug treatment outcomes (</w:t>
      </w:r>
      <w:proofErr w:type="spellStart"/>
      <w:r w:rsidR="00777F47" w:rsidRPr="00FB60E5">
        <w:t>Tee</w:t>
      </w:r>
      <w:r w:rsidRPr="00FB60E5">
        <w:t>s</w:t>
      </w:r>
      <w:r w:rsidR="00777F47" w:rsidRPr="00FB60E5">
        <w:t>son</w:t>
      </w:r>
      <w:proofErr w:type="spellEnd"/>
      <w:r w:rsidR="00777F47" w:rsidRPr="00FB60E5">
        <w:t xml:space="preserve"> et </w:t>
      </w:r>
      <w:r w:rsidR="007F568F" w:rsidRPr="00FB60E5">
        <w:t>al.,</w:t>
      </w:r>
      <w:r w:rsidR="00777F47" w:rsidRPr="00FB60E5">
        <w:t xml:space="preserve"> 2008; </w:t>
      </w:r>
      <w:proofErr w:type="spellStart"/>
      <w:r w:rsidR="00777F47" w:rsidRPr="00FB60E5">
        <w:t>McKetin</w:t>
      </w:r>
      <w:proofErr w:type="spellEnd"/>
      <w:r w:rsidR="00777F47" w:rsidRPr="00FB60E5">
        <w:t xml:space="preserve"> et </w:t>
      </w:r>
      <w:r w:rsidR="007F568F" w:rsidRPr="00FB60E5">
        <w:t>al.,</w:t>
      </w:r>
      <w:r w:rsidR="00777F47" w:rsidRPr="00FB60E5">
        <w:t xml:space="preserve"> 2012), few studies have examined service utilisation within the broader social and welfare system, hence we have limited knowledge of the optimal dose and combination of services that best serve this complex and challenging population</w:t>
      </w:r>
      <w:r w:rsidR="002C27A8">
        <w:t>.</w:t>
      </w:r>
    </w:p>
    <w:p w14:paraId="38A45CE7" w14:textId="53F14D17" w:rsidR="00777F47" w:rsidRPr="00FB60E5" w:rsidRDefault="00777F47" w:rsidP="00FB60E5">
      <w:pPr>
        <w:ind w:left="0"/>
      </w:pPr>
      <w:r w:rsidRPr="00FB60E5">
        <w:t xml:space="preserve">An optimal treatment pathway might include intake and assessment, inpatient withdrawal, counselling and residential rehabilitation and care and recovery co-ordination, and links with mental health and employment services for severely dependent clients with multiple </w:t>
      </w:r>
      <w:r w:rsidRPr="00FB60E5">
        <w:lastRenderedPageBreak/>
        <w:t>complex needs</w:t>
      </w:r>
      <w:r w:rsidR="00A93CBE" w:rsidRPr="00FB60E5">
        <w:t>,</w:t>
      </w:r>
      <w:r w:rsidRPr="00FB60E5">
        <w:t xml:space="preserve"> or brief psychosocial interventions for lower severity clients without additional life complexities. Spearheading this body of research is a group of US researchers (</w:t>
      </w:r>
      <w:proofErr w:type="spellStart"/>
      <w:r w:rsidRPr="00FB60E5">
        <w:t>Weisner</w:t>
      </w:r>
      <w:proofErr w:type="spellEnd"/>
      <w:r w:rsidRPr="00FB60E5">
        <w:t xml:space="preserve">, </w:t>
      </w:r>
      <w:proofErr w:type="spellStart"/>
      <w:r w:rsidRPr="00FB60E5">
        <w:t>Parthasarathy</w:t>
      </w:r>
      <w:proofErr w:type="spellEnd"/>
      <w:r w:rsidRPr="00FB60E5">
        <w:t xml:space="preserve"> and colleagues) demonstrating how contact with medical, mental health, welfare and legal systems predicts clinical outcomes for this population. Engagement with such services predicted reduced consumption in a sample of problem drinkers (</w:t>
      </w:r>
      <w:proofErr w:type="spellStart"/>
      <w:r w:rsidRPr="00FB60E5">
        <w:t>Weisner</w:t>
      </w:r>
      <w:proofErr w:type="spellEnd"/>
      <w:r w:rsidRPr="00FB60E5">
        <w:t xml:space="preserve"> et </w:t>
      </w:r>
      <w:r w:rsidR="007F568F" w:rsidRPr="00FB60E5">
        <w:t>al.,</w:t>
      </w:r>
      <w:r w:rsidRPr="00FB60E5">
        <w:t xml:space="preserve"> 2003), and in a longitudinal observational study clients receiving continuing care (defined as having yearly primary care and speciality substance abuse treatment and psychiatric services when needed) had twice the odds of achieving remission at follow-ups (p&lt;.001) as those without (Chi </w:t>
      </w:r>
      <w:r w:rsidR="0085618F" w:rsidRPr="00FB60E5">
        <w:t xml:space="preserve">et </w:t>
      </w:r>
      <w:r w:rsidR="007F568F" w:rsidRPr="00FB60E5">
        <w:t>al.,</w:t>
      </w:r>
      <w:r w:rsidRPr="00FB60E5">
        <w:t xml:space="preserve"> 2011). Another US study involving </w:t>
      </w:r>
      <w:proofErr w:type="spellStart"/>
      <w:r w:rsidRPr="00FB60E5">
        <w:t>Weisner</w:t>
      </w:r>
      <w:proofErr w:type="spellEnd"/>
      <w:r w:rsidRPr="00FB60E5">
        <w:t xml:space="preserve">, which compared service use among private and public health clients over a </w:t>
      </w:r>
      <w:r w:rsidR="001F2298" w:rsidRPr="00FB60E5">
        <w:t>seven</w:t>
      </w:r>
      <w:r w:rsidRPr="00FB60E5">
        <w:t>-year period, had similar findings. However, service use predicted remission only for private clients, and the pattern of service use varied according to clients’ private / public status. Specifically, private clients used more primary health and psychiatric services, while public clients tended to cycle back into alcohol and drug treatment (</w:t>
      </w:r>
      <w:proofErr w:type="spellStart"/>
      <w:r w:rsidRPr="00FB60E5">
        <w:t>Delucchi</w:t>
      </w:r>
      <w:proofErr w:type="spellEnd"/>
      <w:r w:rsidRPr="00FB60E5">
        <w:t xml:space="preserve"> et </w:t>
      </w:r>
      <w:r w:rsidR="007F568F" w:rsidRPr="00FB60E5">
        <w:t>al.,</w:t>
      </w:r>
      <w:r w:rsidRPr="00FB60E5">
        <w:t xml:space="preserve"> 2012), a finding proba</w:t>
      </w:r>
      <w:r w:rsidR="001F2298" w:rsidRPr="00FB60E5">
        <w:t>bly influenced by the US health</w:t>
      </w:r>
      <w:r w:rsidRPr="00FB60E5">
        <w:t>care financing system</w:t>
      </w:r>
      <w:r w:rsidR="003F3E02" w:rsidRPr="00FB60E5">
        <w:t>.</w:t>
      </w:r>
    </w:p>
    <w:p w14:paraId="38A45CE8" w14:textId="72E2CA86" w:rsidR="00777F47" w:rsidRPr="00FB60E5" w:rsidRDefault="00777F47" w:rsidP="00FB60E5">
      <w:pPr>
        <w:ind w:left="0"/>
      </w:pPr>
      <w:r w:rsidRPr="00FB60E5">
        <w:t xml:space="preserve">Research by </w:t>
      </w:r>
      <w:proofErr w:type="spellStart"/>
      <w:r w:rsidRPr="00FB60E5">
        <w:t>Weisner</w:t>
      </w:r>
      <w:proofErr w:type="spellEnd"/>
      <w:r w:rsidRPr="00FB60E5">
        <w:t xml:space="preserve"> and colleagues also shows the pivotal role of general practitioners in reducing </w:t>
      </w:r>
      <w:r w:rsidR="001F2298" w:rsidRPr="00FB60E5">
        <w:t>AOD</w:t>
      </w:r>
      <w:r w:rsidRPr="00FB60E5">
        <w:t xml:space="preserve"> clients’ use of acute services. A longitudinal observational study involving </w:t>
      </w:r>
      <w:r w:rsidR="00A93CBE" w:rsidRPr="00FB60E5">
        <w:t>AOD</w:t>
      </w:r>
      <w:r w:rsidRPr="00FB60E5">
        <w:t xml:space="preserve"> clients in an integrated managed health care plan matched client need to services and examined service utilisation at 18 mont</w:t>
      </w:r>
      <w:r w:rsidR="001F2298" w:rsidRPr="00FB60E5">
        <w:t>hs, and then periodically over nine</w:t>
      </w:r>
      <w:r w:rsidRPr="00FB60E5">
        <w:t xml:space="preserve"> years. In the year before treatment, the clients’ use of acute services was high, because of co-morbid health conditions and extreme events such as injuries and overdose. In the year following treatment entry, clients used primary health services a lot (</w:t>
      </w:r>
      <w:proofErr w:type="spellStart"/>
      <w:r w:rsidRPr="00FB60E5">
        <w:t>Parthasarathy</w:t>
      </w:r>
      <w:proofErr w:type="spellEnd"/>
      <w:r w:rsidRPr="00FB60E5">
        <w:t xml:space="preserve"> et </w:t>
      </w:r>
      <w:r w:rsidR="007F568F" w:rsidRPr="00FB60E5">
        <w:t>al.,</w:t>
      </w:r>
      <w:r w:rsidRPr="00FB60E5">
        <w:t xml:space="preserve"> 2012), possibly a consequence of unattended-to health problems that had been overtaken and impacted by substance use problems. Interestingly, the frequency of presentations to emergency departments and hospitals decreased substantially in associati</w:t>
      </w:r>
      <w:r w:rsidR="001F2298" w:rsidRPr="00FB60E5">
        <w:t>on with ongoing GP visits. At five-</w:t>
      </w:r>
      <w:r w:rsidRPr="00FB60E5">
        <w:t xml:space="preserve">years, clients with 2-10 GP visits per annum had better alcohol and drug treatment outcomes than clients with fewer than </w:t>
      </w:r>
      <w:r w:rsidR="001F2298" w:rsidRPr="00FB60E5">
        <w:t>two</w:t>
      </w:r>
      <w:r w:rsidRPr="00FB60E5">
        <w:t xml:space="preserve"> visits (</w:t>
      </w:r>
      <w:proofErr w:type="spellStart"/>
      <w:r w:rsidRPr="00FB60E5">
        <w:t>Mertens</w:t>
      </w:r>
      <w:proofErr w:type="spellEnd"/>
      <w:r w:rsidRPr="00FB60E5">
        <w:t xml:space="preserve"> et </w:t>
      </w:r>
      <w:r w:rsidR="007F568F" w:rsidRPr="00FB60E5">
        <w:t>al.,</w:t>
      </w:r>
      <w:r w:rsidR="001F2298" w:rsidRPr="00FB60E5">
        <w:t xml:space="preserve"> 2008). At nine-</w:t>
      </w:r>
      <w:r w:rsidRPr="00FB60E5">
        <w:t>years, clients with a service pattern</w:t>
      </w:r>
      <w:r w:rsidR="001F2298" w:rsidRPr="00FB60E5">
        <w:t>,</w:t>
      </w:r>
      <w:r w:rsidRPr="00FB60E5">
        <w:t xml:space="preserve"> including at least one GP session per annum and specialist treatment as needed had lower overall health care costs (Chi </w:t>
      </w:r>
      <w:r w:rsidR="003A033E" w:rsidRPr="00FB60E5">
        <w:t xml:space="preserve">et </w:t>
      </w:r>
      <w:r w:rsidR="007F568F" w:rsidRPr="00FB60E5">
        <w:t>al.,</w:t>
      </w:r>
      <w:r w:rsidR="003A033E" w:rsidRPr="00FB60E5">
        <w:t xml:space="preserve"> 2011</w:t>
      </w:r>
      <w:r w:rsidRPr="00FB60E5">
        <w:t>). A ‘continui</w:t>
      </w:r>
      <w:r w:rsidR="003F3E02" w:rsidRPr="00FB60E5">
        <w:t xml:space="preserve">ng care’ pattern of service use - </w:t>
      </w:r>
      <w:r w:rsidRPr="00FB60E5">
        <w:t>defined as regular primary care with refer</w:t>
      </w:r>
      <w:r w:rsidR="001F2298" w:rsidRPr="00FB60E5">
        <w:t xml:space="preserve">ral to specialty care as needed, </w:t>
      </w:r>
      <w:r w:rsidRPr="00FB60E5">
        <w:t>(</w:t>
      </w:r>
      <w:proofErr w:type="spellStart"/>
      <w:r w:rsidRPr="00FB60E5">
        <w:t>Parthasarathy</w:t>
      </w:r>
      <w:proofErr w:type="spellEnd"/>
      <w:r w:rsidRPr="00FB60E5">
        <w:t xml:space="preserve"> et </w:t>
      </w:r>
      <w:r w:rsidR="007F568F" w:rsidRPr="00FB60E5">
        <w:t>al.,</w:t>
      </w:r>
      <w:r w:rsidR="0084455C" w:rsidRPr="00FB60E5">
        <w:t xml:space="preserve"> 2012), </w:t>
      </w:r>
      <w:r w:rsidRPr="00FB60E5">
        <w:t>reduced overall cost, because demand for expensive serv</w:t>
      </w:r>
      <w:r w:rsidR="000D2716">
        <w:t>ices was substantially reduced.</w:t>
      </w:r>
    </w:p>
    <w:p w14:paraId="38A45CE9" w14:textId="08FACE9E" w:rsidR="00777F47" w:rsidRPr="00FB60E5" w:rsidRDefault="00777F47" w:rsidP="00FB60E5">
      <w:pPr>
        <w:ind w:left="0"/>
      </w:pPr>
      <w:r w:rsidRPr="00FB60E5">
        <w:t>Research involving clients</w:t>
      </w:r>
      <w:r w:rsidR="00A93CBE" w:rsidRPr="00FB60E5">
        <w:t xml:space="preserve"> in US managed-care health plans</w:t>
      </w:r>
      <w:r w:rsidRPr="00FB60E5">
        <w:t xml:space="preserve"> has shown that when </w:t>
      </w:r>
      <w:r w:rsidR="001F2298" w:rsidRPr="00FB60E5">
        <w:t>AOD</w:t>
      </w:r>
      <w:r w:rsidRPr="00FB60E5">
        <w:t xml:space="preserve"> treatment is successful, medical costs for family members are also reduced (</w:t>
      </w:r>
      <w:proofErr w:type="spellStart"/>
      <w:r w:rsidRPr="00FB60E5">
        <w:t>Weisner</w:t>
      </w:r>
      <w:proofErr w:type="spellEnd"/>
      <w:r w:rsidRPr="00FB60E5">
        <w:t xml:space="preserve"> et </w:t>
      </w:r>
      <w:r w:rsidR="007F568F" w:rsidRPr="00FB60E5">
        <w:t>al.,</w:t>
      </w:r>
      <w:r w:rsidRPr="00FB60E5">
        <w:t xml:space="preserve"> 2010). This work reinforces the importance of service models that provide ongoing</w:t>
      </w:r>
      <w:r w:rsidR="00B94A96" w:rsidRPr="00FB60E5">
        <w:t xml:space="preserve"> </w:t>
      </w:r>
      <w:r w:rsidRPr="00FB60E5">
        <w:t xml:space="preserve">or continuing care, maintaining a general level of support for clients and enabling their access to more intensive services on detection of elevated need. There are substantial benefits for </w:t>
      </w:r>
      <w:r w:rsidR="001F2298" w:rsidRPr="00FB60E5">
        <w:t>AOD</w:t>
      </w:r>
      <w:r w:rsidRPr="00FB60E5">
        <w:t xml:space="preserve"> clients, their families and society (in terms b</w:t>
      </w:r>
      <w:r w:rsidR="0071715D">
        <w:t>oth of costs and net benefits).</w:t>
      </w:r>
    </w:p>
    <w:p w14:paraId="38A45CEA" w14:textId="77777777" w:rsidR="00777F47" w:rsidRPr="00FB60E5" w:rsidRDefault="00777F47" w:rsidP="00FB60E5">
      <w:pPr>
        <w:ind w:left="0"/>
      </w:pPr>
      <w:r w:rsidRPr="00FB60E5">
        <w:t xml:space="preserve">But while findings from the US suggest important directions for health system development, the findings are not easily transferable to the Australian context given funding, client, and health system variations. What is evident is the need for longitudinal research within an Australian health services context to examine the net result of </w:t>
      </w:r>
      <w:r w:rsidR="001F2298" w:rsidRPr="00FB60E5">
        <w:t>AOD</w:t>
      </w:r>
      <w:r w:rsidRPr="00FB60E5">
        <w:t xml:space="preserve"> on service usage and identify service models that reduce inappropriate use of acute services while providing appropriate care. Such research will inform the design and placement of </w:t>
      </w:r>
      <w:r w:rsidR="001F2298" w:rsidRPr="00FB60E5">
        <w:t>AOD</w:t>
      </w:r>
      <w:r w:rsidRPr="00FB60E5">
        <w:t xml:space="preserve"> treatment in terms of integration with other parts of health service as well as in terms of intersection with welfare services. It provides an opportunity to move beyond an episodic, crisis-oriented approach to substance use problems to engaging in ongoing support models that are inclusive of different parts of health, and include consideration of the role of welfare </w:t>
      </w:r>
      <w:r w:rsidRPr="00FB60E5">
        <w:lastRenderedPageBreak/>
        <w:t>services in responding to client concerns associated with marginalisation rather than dependence.</w:t>
      </w:r>
    </w:p>
    <w:p w14:paraId="38A45CEB" w14:textId="3572359A" w:rsidR="00143847" w:rsidRPr="00FB60E5" w:rsidRDefault="00777F47" w:rsidP="00FB60E5">
      <w:pPr>
        <w:ind w:left="0"/>
      </w:pPr>
      <w:r w:rsidRPr="00FB60E5">
        <w:t>It is evident that, once in treatment, many clients improve. However, questions remain about what combination of service use is associated with these improvements and how systems can be configured to optimise and maintain these treatment outcomes. The literature on treatment effectiveness to date is limited in that outcome studies typically describe the response to an isolated episode of care within a particular treatment modality, e.g. inpatient detoxification, which represents only a fraction of the overall treatment episode. In addition, while Australian outcome studies typically involve participants using major illicit drugs (heroin, amphetamines), there has been no cohort study of alcohol and cannabis users in Australia, despite these being the most commonly abused substances and the two most frequent primary drugs of concern among 659 AOD services across Australia (AIHW, 2013), accounting for 70% of treatment episodes in 2009-10 (48% alcohol and 23% cannabis) (AIHW, 2011). Whilst there is increasing recognition that specialist AOD services are merely one component of a larger interconnected system which includes health and welfare services, the extent of inter and intra-sectorial linkage and the resulting pathways of care for clients accessing AOD specialist services remain poorly understood.</w:t>
      </w:r>
    </w:p>
    <w:p w14:paraId="38A45CEC" w14:textId="02E07D5E" w:rsidR="003C46C9" w:rsidRPr="00FB60E5" w:rsidRDefault="00143847" w:rsidP="00FB60E5">
      <w:pPr>
        <w:ind w:left="0"/>
      </w:pPr>
      <w:r w:rsidRPr="00FB60E5">
        <w:t xml:space="preserve">Nevertheless, </w:t>
      </w:r>
      <w:proofErr w:type="spellStart"/>
      <w:r w:rsidRPr="00FB60E5">
        <w:t>Babor</w:t>
      </w:r>
      <w:proofErr w:type="spellEnd"/>
      <w:r w:rsidRPr="00FB60E5">
        <w:t xml:space="preserve"> et al. (2008; 2010) suggest that the cumulative impact of engaging with AOD services and non-specialist AOD services in the community should translate into population health benefits, such as reduced mortality, morbidity, disability, suicide, crime, une</w:t>
      </w:r>
      <w:r w:rsidR="009D6482">
        <w:t>mployment and healthcare costs.</w:t>
      </w:r>
    </w:p>
    <w:p w14:paraId="38A45CED" w14:textId="5DA1B063" w:rsidR="00EB318C" w:rsidRPr="00FB60E5" w:rsidRDefault="00EB318C" w:rsidP="00882917">
      <w:pPr>
        <w:pStyle w:val="Heading2"/>
        <w:numPr>
          <w:ilvl w:val="1"/>
          <w:numId w:val="6"/>
        </w:numPr>
      </w:pPr>
      <w:bookmarkStart w:id="62" w:name="_Toc398105038"/>
      <w:bookmarkStart w:id="63" w:name="_Toc531696240"/>
      <w:r w:rsidRPr="00FB60E5">
        <w:t xml:space="preserve">Study </w:t>
      </w:r>
      <w:r w:rsidR="001A14D1" w:rsidRPr="00FB60E5">
        <w:t>r</w:t>
      </w:r>
      <w:r w:rsidRPr="00FB60E5">
        <w:t>ationale</w:t>
      </w:r>
      <w:bookmarkEnd w:id="62"/>
      <w:bookmarkEnd w:id="63"/>
    </w:p>
    <w:p w14:paraId="38A45CEE" w14:textId="6ED2AEA3" w:rsidR="000524F1" w:rsidRPr="00FB60E5" w:rsidRDefault="00777F47" w:rsidP="00FB60E5">
      <w:pPr>
        <w:ind w:left="0"/>
      </w:pPr>
      <w:r w:rsidRPr="00FB60E5">
        <w:t>The overarching aim of the current ‘Patient Pathways’ p</w:t>
      </w:r>
      <w:r w:rsidR="00AB04D9" w:rsidRPr="00FB60E5">
        <w:t xml:space="preserve">roject is to examine treatment </w:t>
      </w:r>
      <w:r w:rsidRPr="00FB60E5">
        <w:t xml:space="preserve">outcomes as they relate to trajectories of clients as they move through the AOD system, </w:t>
      </w:r>
      <w:r w:rsidR="000524F1" w:rsidRPr="00FB60E5">
        <w:t>the</w:t>
      </w:r>
      <w:r w:rsidR="0084455C" w:rsidRPr="00FB60E5">
        <w:t>ir</w:t>
      </w:r>
      <w:r w:rsidRPr="00FB60E5">
        <w:t xml:space="preserve"> intersection</w:t>
      </w:r>
      <w:r w:rsidR="000524F1" w:rsidRPr="00FB60E5">
        <w:t xml:space="preserve"> between AOD services and </w:t>
      </w:r>
      <w:r w:rsidRPr="00FB60E5">
        <w:t xml:space="preserve">other health and welfare services and </w:t>
      </w:r>
      <w:r w:rsidR="000524F1" w:rsidRPr="00FB60E5">
        <w:t xml:space="preserve">the </w:t>
      </w:r>
      <w:r w:rsidRPr="00FB60E5">
        <w:t>resulting demand on acute services</w:t>
      </w:r>
      <w:r w:rsidR="00152B2E" w:rsidRPr="00FB60E5">
        <w:t xml:space="preserve"> (see </w:t>
      </w:r>
      <w:r w:rsidR="006E247E">
        <w:fldChar w:fldCharType="begin"/>
      </w:r>
      <w:r w:rsidR="006E247E">
        <w:instrText xml:space="preserve"> REF _Ref531618735 \h </w:instrText>
      </w:r>
      <w:r w:rsidR="006E247E">
        <w:fldChar w:fldCharType="separate"/>
      </w:r>
      <w:r w:rsidR="006E247E">
        <w:t xml:space="preserve">Figure </w:t>
      </w:r>
      <w:r w:rsidR="006E247E">
        <w:rPr>
          <w:noProof/>
        </w:rPr>
        <w:t>1</w:t>
      </w:r>
      <w:r w:rsidR="006E247E">
        <w:t>.</w:t>
      </w:r>
      <w:r w:rsidR="006E247E">
        <w:rPr>
          <w:noProof/>
        </w:rPr>
        <w:t>1</w:t>
      </w:r>
      <w:r w:rsidR="006E247E">
        <w:fldChar w:fldCharType="end"/>
      </w:r>
      <w:r w:rsidR="00152B2E" w:rsidRPr="00FB60E5">
        <w:t>)</w:t>
      </w:r>
      <w:r w:rsidRPr="00FB60E5">
        <w:t xml:space="preserve">. The research aims to examine how and when service integration occurs, identify pertinent gaps between services, and outline optimal patient pathways in relation to multiple treatment goals and desired outcomes (e.g. abstinence, reduced problem severity, </w:t>
      </w:r>
      <w:r w:rsidR="001F2298" w:rsidRPr="00FB60E5">
        <w:t xml:space="preserve">quality of life </w:t>
      </w:r>
      <w:r w:rsidRPr="00FB60E5">
        <w:t>and treatment satisfaction)</w:t>
      </w:r>
      <w:r w:rsidR="000524F1" w:rsidRPr="00FB60E5">
        <w:t xml:space="preserve"> and the extent to which these vary according to patient population (i.e</w:t>
      </w:r>
      <w:r w:rsidR="001F2298" w:rsidRPr="00FB60E5">
        <w:t>.</w:t>
      </w:r>
      <w:r w:rsidR="000524F1" w:rsidRPr="00FB60E5">
        <w:t xml:space="preserve"> primary drug of concern, severity and client complexity).</w:t>
      </w:r>
    </w:p>
    <w:p w14:paraId="38A45CEF" w14:textId="17D93544" w:rsidR="003F3E02" w:rsidRPr="00FB60E5" w:rsidRDefault="00777F47" w:rsidP="00FB60E5">
      <w:pPr>
        <w:ind w:left="0"/>
      </w:pPr>
      <w:r w:rsidRPr="00FB60E5">
        <w:t xml:space="preserve">This is achieved through the amalgamation of findings arising from multiple research methodologies. The first is a review of the AOD treatment system at a national level (system description) which provides a snapshot of the AOD treatment system in each state and territory, using two data sources: document review and key informant interviews. The second uses quantitative research methods in the form of a longitudinal cohort study of clients entering the AOD </w:t>
      </w:r>
      <w:r w:rsidR="001F2298" w:rsidRPr="00FB60E5">
        <w:t>treatment system in two states of Victoria and Western Australia</w:t>
      </w:r>
      <w:r w:rsidRPr="00FB60E5">
        <w:t xml:space="preserve">, starting with baseline interviews which delineate the characteristics of those entering treatment, and the extent to which they engage with primary care, mental health acute and welfare services in the year prior to study recruitment. A one-year follow-up enables typical treatment trajectories to be mapped out, and reports on level of satisfaction, and the extent of subsequent engagement in health and welfare services, as well as measuring treatment outcomes and the impact on acute service use with different treatment pathways. These findings </w:t>
      </w:r>
      <w:r w:rsidR="00B94A96" w:rsidRPr="00FB60E5">
        <w:t xml:space="preserve">are </w:t>
      </w:r>
      <w:r w:rsidRPr="00FB60E5">
        <w:t>complement</w:t>
      </w:r>
      <w:r w:rsidR="00B94A96" w:rsidRPr="00FB60E5">
        <w:t>ed with</w:t>
      </w:r>
      <w:r w:rsidRPr="00FB60E5">
        <w:t xml:space="preserve"> data derived from the third component, </w:t>
      </w:r>
      <w:r w:rsidR="003F3E02" w:rsidRPr="00FB60E5">
        <w:t xml:space="preserve">involving </w:t>
      </w:r>
      <w:r w:rsidRPr="00FB60E5">
        <w:t xml:space="preserve">qualitative interviews capturing the clients’ personal experiences of their journey through the AOD treatment system, what worked for them, and how the system can be improved to provide greater </w:t>
      </w:r>
      <w:r w:rsidR="00B0749B">
        <w:t>continuity and integrated care.</w:t>
      </w:r>
    </w:p>
    <w:p w14:paraId="38A45CF0" w14:textId="3B703854" w:rsidR="000F4F92" w:rsidRPr="00FB60E5" w:rsidRDefault="000F4F92" w:rsidP="00FB60E5">
      <w:pPr>
        <w:ind w:left="0"/>
      </w:pPr>
      <w:r w:rsidRPr="00FB60E5">
        <w:lastRenderedPageBreak/>
        <w:t xml:space="preserve">Whilst longitudinal client interviews are important for determining long-term outcomes, such approaches are reliant on the accuracy of participant recall, as well as successful retention at each subsequent wave of assessment. Use of population level administrative data collected by health and community service systems provides an invaluable source of information regarding AOD harms and impacts on services, due to its capacity to capture hidden populations and to record more detailed data than can be obtained through primary data collection methods (Matthews et al., 2013; Lloyd and </w:t>
      </w:r>
      <w:proofErr w:type="spellStart"/>
      <w:r w:rsidRPr="00FB60E5">
        <w:t>McElwee</w:t>
      </w:r>
      <w:proofErr w:type="spellEnd"/>
      <w:r w:rsidRPr="00FB60E5">
        <w:t>, 2011). Therefore the fourth component to the research uses record linkage data across systems to generate a more complete picture of service utilisation without the time and recall bias inherent in client-derived data (see ‘A study of patient pathways in alcohol and other drug treatment - supplementary linkage component report’ (</w:t>
      </w:r>
      <w:proofErr w:type="spellStart"/>
      <w:r w:rsidRPr="00FB60E5">
        <w:t>Lubman</w:t>
      </w:r>
      <w:proofErr w:type="spellEnd"/>
      <w:r w:rsidRPr="00FB60E5">
        <w:t xml:space="preserve"> et al., 2014)) for detailed analyses for high risk populations’). The findings from all four study components are synthesised in a final chapter which highlights the key findings, implications for policy and practice, and provides a series of recommendations for Commonwealth and state governments, many of whom are currently reviewing the model of AOD </w:t>
      </w:r>
      <w:r w:rsidR="009D6482">
        <w:t>service provision in Australia.</w:t>
      </w:r>
    </w:p>
    <w:p w14:paraId="38A45CF1" w14:textId="5B48FD61" w:rsidR="00895610" w:rsidRPr="00FB60E5" w:rsidRDefault="00777F47" w:rsidP="00FB60E5">
      <w:pPr>
        <w:ind w:left="0"/>
      </w:pPr>
      <w:r w:rsidRPr="00FB60E5">
        <w:t>The Patient Pathways study is Australia’s largest prospective alcohol and drug treatment outcome study, and is unique in its focus on treatment pathways and coordinated care in the year prior to treatment entry, as well as continuity of care in the year following treatment initiation. The Pathways stu</w:t>
      </w:r>
      <w:r w:rsidR="005B4859" w:rsidRPr="00FB60E5">
        <w:t>dy examines frequency of health</w:t>
      </w:r>
      <w:r w:rsidRPr="00FB60E5">
        <w:t xml:space="preserve">care service use (including subsequent AOD specialist service use, engagement with </w:t>
      </w:r>
      <w:r w:rsidR="005B4859" w:rsidRPr="00FB60E5">
        <w:t>GPs</w:t>
      </w:r>
      <w:r w:rsidRPr="00FB60E5">
        <w:t xml:space="preserve">, mental health etc.), as well as social/welfare service use (housing, employment), criminal justice and acute service use (presentations to ambulances, emergency departments, inpatient hospitalisation, etc.), providing a </w:t>
      </w:r>
      <w:r w:rsidR="005B4859" w:rsidRPr="00FB60E5">
        <w:t>one</w:t>
      </w:r>
      <w:r w:rsidRPr="00FB60E5">
        <w:t>-year snapshot of pathways of specialist AOD treatment and non-specialist wraparound packages of care, with the year of experience linked to patient outcomes.</w:t>
      </w:r>
    </w:p>
    <w:p w14:paraId="38A45CF2" w14:textId="77777777" w:rsidR="00FD2002" w:rsidRPr="00FB60E5" w:rsidRDefault="00FD2002" w:rsidP="000D2716">
      <w:pPr>
        <w:ind w:left="0"/>
        <w:jc w:val="center"/>
      </w:pPr>
      <w:r w:rsidRPr="00FB60E5">
        <w:rPr>
          <w:noProof/>
          <w:lang w:eastAsia="en-AU"/>
        </w:rPr>
        <w:drawing>
          <wp:inline distT="0" distB="0" distL="0" distR="0" wp14:anchorId="38A475EB" wp14:editId="36F1073A">
            <wp:extent cx="4121150" cy="3090863"/>
            <wp:effectExtent l="0" t="0" r="0" b="0"/>
            <wp:docPr id="26" name="Picture 1" descr="Figure 1.1 is a circular flowchart showing the AOD specialist treatment. The following sectors connect to the patient pathways:  financial/legal counselling, workplace/employment programs, harm reduction e.g. NSP, mutual aid organisations, emergency services, general medicine and chronic disease treatment, social/welfare services, criminal justice, housing/homeless services, primary care, mental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32878" cy="3099659"/>
                    </a:xfrm>
                    <a:prstGeom prst="rect">
                      <a:avLst/>
                    </a:prstGeom>
                  </pic:spPr>
                </pic:pic>
              </a:graphicData>
            </a:graphic>
          </wp:inline>
        </w:drawing>
      </w:r>
    </w:p>
    <w:p w14:paraId="38A45CF3" w14:textId="5A51FAA9" w:rsidR="00FD2002" w:rsidRPr="00FB60E5" w:rsidRDefault="00B0749B" w:rsidP="00B0749B">
      <w:pPr>
        <w:pStyle w:val="Caption"/>
      </w:pPr>
      <w:bookmarkStart w:id="64" w:name="_Ref531618735"/>
      <w:bookmarkStart w:id="65" w:name="_Toc531625763"/>
      <w:proofErr w:type="gramStart"/>
      <w:r>
        <w:t xml:space="preserve">Figure </w:t>
      </w:r>
      <w:r w:rsidR="00BD7BD8">
        <w:fldChar w:fldCharType="begin"/>
      </w:r>
      <w:r w:rsidR="00BD7BD8">
        <w:instrText xml:space="preserve"> STYLEREF 1 \s </w:instrText>
      </w:r>
      <w:r w:rsidR="00BD7BD8">
        <w:fldChar w:fldCharType="separate"/>
      </w:r>
      <w:r w:rsidR="00BD7BD8">
        <w:rPr>
          <w:noProof/>
        </w:rPr>
        <w:t>1</w:t>
      </w:r>
      <w:r w:rsidR="00BD7BD8">
        <w:fldChar w:fldCharType="end"/>
      </w:r>
      <w:r w:rsidR="00BD7BD8">
        <w:t>.</w:t>
      </w:r>
      <w:proofErr w:type="gramEnd"/>
      <w:r w:rsidR="00BD7BD8">
        <w:fldChar w:fldCharType="begin"/>
      </w:r>
      <w:r w:rsidR="00BD7BD8">
        <w:instrText xml:space="preserve"> SEQ Figure \* ARABIC \s 1 </w:instrText>
      </w:r>
      <w:r w:rsidR="00BD7BD8">
        <w:fldChar w:fldCharType="separate"/>
      </w:r>
      <w:r w:rsidR="00BD7BD8">
        <w:rPr>
          <w:noProof/>
        </w:rPr>
        <w:t>1</w:t>
      </w:r>
      <w:r w:rsidR="00BD7BD8">
        <w:fldChar w:fldCharType="end"/>
      </w:r>
      <w:bookmarkEnd w:id="64"/>
      <w:r w:rsidR="00561263" w:rsidRPr="00FB60E5">
        <w:t xml:space="preserve"> </w:t>
      </w:r>
      <w:r w:rsidR="0084455C" w:rsidRPr="00FB60E5">
        <w:t xml:space="preserve">Conceptual model of </w:t>
      </w:r>
      <w:r w:rsidR="00D57802" w:rsidRPr="00FB60E5">
        <w:t xml:space="preserve">AOD </w:t>
      </w:r>
      <w:r w:rsidR="0084455C" w:rsidRPr="00FB60E5">
        <w:t xml:space="preserve">treatment system and its connections with other sectors examined as part of the patient pathway in the current study (adapted from </w:t>
      </w:r>
      <w:proofErr w:type="spellStart"/>
      <w:r w:rsidR="0084455C" w:rsidRPr="00FB60E5">
        <w:t>Babor</w:t>
      </w:r>
      <w:proofErr w:type="spellEnd"/>
      <w:r w:rsidR="0084455C" w:rsidRPr="00FB60E5">
        <w:t xml:space="preserve"> et al., 2008)</w:t>
      </w:r>
      <w:bookmarkEnd w:id="65"/>
    </w:p>
    <w:p w14:paraId="38A45D03" w14:textId="2B71CF5F" w:rsidR="009C2FDB" w:rsidRPr="00FB60E5" w:rsidRDefault="00882917" w:rsidP="00214785">
      <w:pPr>
        <w:pStyle w:val="Caption"/>
        <w:pageBreakBefore/>
      </w:pPr>
      <w:bookmarkStart w:id="66" w:name="_Ref531626012"/>
      <w:bookmarkStart w:id="67" w:name="_Toc531625773"/>
      <w:proofErr w:type="gramStart"/>
      <w:r>
        <w:lastRenderedPageBreak/>
        <w:t xml:space="preserve">Table </w:t>
      </w:r>
      <w:r w:rsidR="00552239">
        <w:fldChar w:fldCharType="begin"/>
      </w:r>
      <w:r w:rsidR="00552239">
        <w:instrText xml:space="preserve"> STYLEREF 1 \s </w:instrText>
      </w:r>
      <w:r w:rsidR="00552239">
        <w:fldChar w:fldCharType="separate"/>
      </w:r>
      <w:r w:rsidR="00552239">
        <w:rPr>
          <w:noProof/>
        </w:rPr>
        <w:t>1</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w:t>
      </w:r>
      <w:r w:rsidR="00552239">
        <w:fldChar w:fldCharType="end"/>
      </w:r>
      <w:bookmarkEnd w:id="66"/>
      <w:r w:rsidR="006244F5" w:rsidRPr="00FB60E5">
        <w:t xml:space="preserve"> </w:t>
      </w:r>
      <w:r w:rsidR="005E640F" w:rsidRPr="00FB60E5">
        <w:t xml:space="preserve">Summary of the major international AOD </w:t>
      </w:r>
      <w:r w:rsidR="00B94A96" w:rsidRPr="00FB60E5">
        <w:t xml:space="preserve">treatment system </w:t>
      </w:r>
      <w:r w:rsidR="005E640F" w:rsidRPr="00FB60E5">
        <w:t>outcome studies to date</w:t>
      </w:r>
      <w:bookmarkEnd w:id="67"/>
    </w:p>
    <w:tbl>
      <w:tblPr>
        <w:tblStyle w:val="LightList-Accent1"/>
        <w:tblW w:w="5057" w:type="pct"/>
        <w:tblLayout w:type="fixed"/>
        <w:tblLook w:val="04A0" w:firstRow="1" w:lastRow="0" w:firstColumn="1" w:lastColumn="0" w:noHBand="0" w:noVBand="1"/>
        <w:tblDescription w:val="Table 1.1 Summary of the major international AOD treatment system outcome studies to date"/>
      </w:tblPr>
      <w:tblGrid>
        <w:gridCol w:w="1784"/>
        <w:gridCol w:w="1784"/>
        <w:gridCol w:w="1785"/>
        <w:gridCol w:w="1785"/>
        <w:gridCol w:w="2209"/>
      </w:tblGrid>
      <w:tr w:rsidR="006C4481" w:rsidRPr="00B0749B" w14:paraId="38A45D09" w14:textId="77777777" w:rsidTr="00BB0E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5" w:type="dxa"/>
          </w:tcPr>
          <w:p w14:paraId="38A45D04" w14:textId="77777777" w:rsidR="006C4481" w:rsidRPr="00B0749B" w:rsidRDefault="006C4481" w:rsidP="00B0749B">
            <w:pPr>
              <w:ind w:left="0"/>
            </w:pPr>
            <w:r w:rsidRPr="00B0749B">
              <w:t>Name</w:t>
            </w:r>
          </w:p>
        </w:tc>
        <w:tc>
          <w:tcPr>
            <w:tcW w:w="1784" w:type="dxa"/>
          </w:tcPr>
          <w:p w14:paraId="38A45D05" w14:textId="77777777" w:rsidR="006C4481" w:rsidRPr="00B0749B" w:rsidRDefault="006C4481" w:rsidP="00B0749B">
            <w:pPr>
              <w:ind w:left="0"/>
              <w:cnfStyle w:val="100000000000" w:firstRow="1" w:lastRow="0" w:firstColumn="0" w:lastColumn="0" w:oddVBand="0" w:evenVBand="0" w:oddHBand="0" w:evenHBand="0" w:firstRowFirstColumn="0" w:firstRowLastColumn="0" w:lastRowFirstColumn="0" w:lastRowLastColumn="0"/>
            </w:pPr>
            <w:r w:rsidRPr="00B0749B">
              <w:t>Country</w:t>
            </w:r>
          </w:p>
        </w:tc>
        <w:tc>
          <w:tcPr>
            <w:tcW w:w="1785" w:type="dxa"/>
          </w:tcPr>
          <w:p w14:paraId="38A45D06" w14:textId="77777777" w:rsidR="006C4481" w:rsidRPr="00B0749B" w:rsidRDefault="006C4481" w:rsidP="00B0749B">
            <w:pPr>
              <w:ind w:left="0"/>
              <w:cnfStyle w:val="100000000000" w:firstRow="1" w:lastRow="0" w:firstColumn="0" w:lastColumn="0" w:oddVBand="0" w:evenVBand="0" w:oddHBand="0" w:evenHBand="0" w:firstRowFirstColumn="0" w:firstRowLastColumn="0" w:lastRowFirstColumn="0" w:lastRowLastColumn="0"/>
            </w:pPr>
            <w:r w:rsidRPr="00B0749B">
              <w:t xml:space="preserve">Dates </w:t>
            </w:r>
          </w:p>
        </w:tc>
        <w:tc>
          <w:tcPr>
            <w:tcW w:w="1785" w:type="dxa"/>
          </w:tcPr>
          <w:p w14:paraId="38A45D07" w14:textId="77777777" w:rsidR="006C4481" w:rsidRPr="00B0749B" w:rsidRDefault="006C4481" w:rsidP="00B0749B">
            <w:pPr>
              <w:ind w:left="0"/>
              <w:cnfStyle w:val="100000000000" w:firstRow="1" w:lastRow="0" w:firstColumn="0" w:lastColumn="0" w:oddVBand="0" w:evenVBand="0" w:oddHBand="0" w:evenHBand="0" w:firstRowFirstColumn="0" w:firstRowLastColumn="0" w:lastRowFirstColumn="0" w:lastRowLastColumn="0"/>
            </w:pPr>
            <w:r w:rsidRPr="00B0749B">
              <w:t>Sample</w:t>
            </w:r>
          </w:p>
        </w:tc>
        <w:tc>
          <w:tcPr>
            <w:tcW w:w="2209" w:type="dxa"/>
          </w:tcPr>
          <w:p w14:paraId="38A45D08" w14:textId="7722A019" w:rsidR="006C4481" w:rsidRPr="00B0749B" w:rsidRDefault="006C4481" w:rsidP="00B0749B">
            <w:pPr>
              <w:ind w:left="0"/>
              <w:cnfStyle w:val="100000000000" w:firstRow="1" w:lastRow="0" w:firstColumn="0" w:lastColumn="0" w:oddVBand="0" w:evenVBand="0" w:oddHBand="0" w:evenHBand="0" w:firstRowFirstColumn="0" w:firstRowLastColumn="0" w:lastRowFirstColumn="0" w:lastRowLastColumn="0"/>
            </w:pPr>
            <w:r w:rsidRPr="00B0749B">
              <w:t>Study populati</w:t>
            </w:r>
            <w:r w:rsidR="00B0749B">
              <w:t>on drawn from these modalities:</w:t>
            </w:r>
          </w:p>
        </w:tc>
      </w:tr>
      <w:tr w:rsidR="006C4481" w:rsidRPr="00B0749B" w14:paraId="38A45D0F" w14:textId="77777777" w:rsidTr="00BB0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A45D0A" w14:textId="7571271A" w:rsidR="006C4481" w:rsidRPr="00B0749B" w:rsidRDefault="006C4481" w:rsidP="00455131">
            <w:pPr>
              <w:pStyle w:val="tabletext"/>
              <w:rPr>
                <w:b w:val="0"/>
              </w:rPr>
            </w:pPr>
            <w:r w:rsidRPr="00B0749B">
              <w:rPr>
                <w:b w:val="0"/>
              </w:rPr>
              <w:t>Drug Abuse Reporting Programme (DARP)</w:t>
            </w:r>
            <w:bookmarkStart w:id="68" w:name="source1"/>
            <w:r w:rsidR="003A647F" w:rsidRPr="003A647F">
              <w:rPr>
                <w:b w:val="0"/>
                <w:vertAlign w:val="superscript"/>
              </w:rPr>
              <w:t>1</w:t>
            </w:r>
            <w:bookmarkEnd w:id="68"/>
            <w:r w:rsidR="00455131">
              <w:rPr>
                <w:b w:val="0"/>
              </w:rPr>
              <w:t xml:space="preserve"> </w:t>
            </w:r>
          </w:p>
        </w:tc>
        <w:tc>
          <w:tcPr>
            <w:tcW w:w="1784" w:type="dxa"/>
          </w:tcPr>
          <w:p w14:paraId="38A45D0B"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USA</w:t>
            </w:r>
          </w:p>
        </w:tc>
        <w:tc>
          <w:tcPr>
            <w:tcW w:w="1785" w:type="dxa"/>
          </w:tcPr>
          <w:p w14:paraId="38A45D0C"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1968-1980 (12 year follow-ups)</w:t>
            </w:r>
          </w:p>
        </w:tc>
        <w:tc>
          <w:tcPr>
            <w:tcW w:w="1785" w:type="dxa"/>
          </w:tcPr>
          <w:p w14:paraId="38A45D0D"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44,000 at intake; over 6,000 followed up; 697 at 12 years</w:t>
            </w:r>
          </w:p>
        </w:tc>
        <w:tc>
          <w:tcPr>
            <w:tcW w:w="2209" w:type="dxa"/>
          </w:tcPr>
          <w:p w14:paraId="38A45D0E"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Methadone maintenance, therapeutic community, out-patient drug free, out-patient detoxification</w:t>
            </w:r>
          </w:p>
        </w:tc>
      </w:tr>
      <w:tr w:rsidR="006C4481" w:rsidRPr="00B0749B" w14:paraId="38A45D15" w14:textId="77777777" w:rsidTr="00BB0E5E">
        <w:tc>
          <w:tcPr>
            <w:cnfStyle w:val="001000000000" w:firstRow="0" w:lastRow="0" w:firstColumn="1" w:lastColumn="0" w:oddVBand="0" w:evenVBand="0" w:oddHBand="0" w:evenHBand="0" w:firstRowFirstColumn="0" w:firstRowLastColumn="0" w:lastRowFirstColumn="0" w:lastRowLastColumn="0"/>
            <w:tcW w:w="1785" w:type="dxa"/>
          </w:tcPr>
          <w:p w14:paraId="38A45D10" w14:textId="4581417C" w:rsidR="006C4481" w:rsidRPr="00B0749B" w:rsidRDefault="006C4481" w:rsidP="00455131">
            <w:pPr>
              <w:pStyle w:val="tabletext"/>
              <w:rPr>
                <w:b w:val="0"/>
              </w:rPr>
            </w:pPr>
            <w:r w:rsidRPr="00B0749B">
              <w:rPr>
                <w:b w:val="0"/>
              </w:rPr>
              <w:t>Treatment Outcome Prospective Study (TOPS)</w:t>
            </w:r>
            <w:bookmarkStart w:id="69" w:name="source2"/>
            <w:r w:rsidR="003A647F" w:rsidRPr="003A647F">
              <w:rPr>
                <w:b w:val="0"/>
                <w:vertAlign w:val="superscript"/>
              </w:rPr>
              <w:t>2</w:t>
            </w:r>
            <w:bookmarkEnd w:id="69"/>
            <w:r w:rsidR="00455131">
              <w:rPr>
                <w:b w:val="0"/>
              </w:rPr>
              <w:t xml:space="preserve"> </w:t>
            </w:r>
          </w:p>
        </w:tc>
        <w:tc>
          <w:tcPr>
            <w:tcW w:w="1784" w:type="dxa"/>
          </w:tcPr>
          <w:p w14:paraId="38A45D11"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USA</w:t>
            </w:r>
          </w:p>
        </w:tc>
        <w:tc>
          <w:tcPr>
            <w:tcW w:w="1785" w:type="dxa"/>
          </w:tcPr>
          <w:p w14:paraId="38A45D12"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1979 – 1986 (2 waves with 3-5 year follow-up)</w:t>
            </w:r>
          </w:p>
        </w:tc>
        <w:tc>
          <w:tcPr>
            <w:tcW w:w="1785" w:type="dxa"/>
          </w:tcPr>
          <w:p w14:paraId="38A45D13"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11,750 patients at enrolment</w:t>
            </w:r>
          </w:p>
        </w:tc>
        <w:tc>
          <w:tcPr>
            <w:tcW w:w="2209" w:type="dxa"/>
          </w:tcPr>
          <w:p w14:paraId="38A45D14"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Methadone maintenance, residential treatment and outpatient drug-free treatment</w:t>
            </w:r>
          </w:p>
        </w:tc>
      </w:tr>
      <w:tr w:rsidR="006C4481" w:rsidRPr="00B0749B" w14:paraId="38A45D1B" w14:textId="77777777" w:rsidTr="00BB0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A45D16" w14:textId="3442B7C2" w:rsidR="006C4481" w:rsidRPr="00B0749B" w:rsidRDefault="006C4481" w:rsidP="00455131">
            <w:pPr>
              <w:pStyle w:val="tabletext"/>
              <w:rPr>
                <w:b w:val="0"/>
              </w:rPr>
            </w:pPr>
            <w:r w:rsidRPr="00B0749B">
              <w:rPr>
                <w:b w:val="0"/>
              </w:rPr>
              <w:t>Drug Abuse Treatment Outcome Study (DATOS)</w:t>
            </w:r>
            <w:bookmarkStart w:id="70" w:name="source3"/>
            <w:r w:rsidR="003A647F" w:rsidRPr="003A647F">
              <w:rPr>
                <w:b w:val="0"/>
                <w:vertAlign w:val="superscript"/>
              </w:rPr>
              <w:t>3</w:t>
            </w:r>
            <w:bookmarkEnd w:id="70"/>
          </w:p>
        </w:tc>
        <w:tc>
          <w:tcPr>
            <w:tcW w:w="1784" w:type="dxa"/>
          </w:tcPr>
          <w:p w14:paraId="38A45D17"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USA</w:t>
            </w:r>
          </w:p>
        </w:tc>
        <w:tc>
          <w:tcPr>
            <w:tcW w:w="1785" w:type="dxa"/>
          </w:tcPr>
          <w:p w14:paraId="38A45D18"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1989 – 1991 (measures at 1 and 3 months in treatment and 12 months after)</w:t>
            </w:r>
          </w:p>
        </w:tc>
        <w:tc>
          <w:tcPr>
            <w:tcW w:w="1785" w:type="dxa"/>
          </w:tcPr>
          <w:p w14:paraId="38A45D19"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 xml:space="preserve">10,010 at intake –4,500 followed up at 12 months </w:t>
            </w:r>
          </w:p>
        </w:tc>
        <w:tc>
          <w:tcPr>
            <w:tcW w:w="2209" w:type="dxa"/>
          </w:tcPr>
          <w:p w14:paraId="38A45D1A"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Long-term residential; short-term inpatient; methadone maintenance and outpatient drug free</w:t>
            </w:r>
          </w:p>
        </w:tc>
      </w:tr>
      <w:tr w:rsidR="006C4481" w:rsidRPr="00B0749B" w14:paraId="38A45D26" w14:textId="77777777" w:rsidTr="00BB0E5E">
        <w:tc>
          <w:tcPr>
            <w:cnfStyle w:val="001000000000" w:firstRow="0" w:lastRow="0" w:firstColumn="1" w:lastColumn="0" w:oddVBand="0" w:evenVBand="0" w:oddHBand="0" w:evenHBand="0" w:firstRowFirstColumn="0" w:firstRowLastColumn="0" w:lastRowFirstColumn="0" w:lastRowLastColumn="0"/>
            <w:tcW w:w="1785" w:type="dxa"/>
          </w:tcPr>
          <w:p w14:paraId="38A45D1C" w14:textId="77777777" w:rsidR="006C4481" w:rsidRPr="00B0749B" w:rsidRDefault="006C4481" w:rsidP="00B0749B">
            <w:pPr>
              <w:pStyle w:val="tabletext"/>
              <w:rPr>
                <w:b w:val="0"/>
              </w:rPr>
            </w:pPr>
            <w:r w:rsidRPr="00B0749B">
              <w:rPr>
                <w:b w:val="0"/>
              </w:rPr>
              <w:t>Project MATCH</w:t>
            </w:r>
            <w:bookmarkStart w:id="71" w:name="source4"/>
            <w:r w:rsidRPr="003A647F">
              <w:rPr>
                <w:b w:val="0"/>
                <w:vertAlign w:val="superscript"/>
              </w:rPr>
              <w:t>4</w:t>
            </w:r>
            <w:bookmarkEnd w:id="71"/>
          </w:p>
        </w:tc>
        <w:tc>
          <w:tcPr>
            <w:tcW w:w="1784" w:type="dxa"/>
          </w:tcPr>
          <w:p w14:paraId="38A45D1D"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USA</w:t>
            </w:r>
          </w:p>
        </w:tc>
        <w:tc>
          <w:tcPr>
            <w:tcW w:w="1785" w:type="dxa"/>
          </w:tcPr>
          <w:p w14:paraId="38A45D1E"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1989-1997</w:t>
            </w:r>
          </w:p>
        </w:tc>
        <w:tc>
          <w:tcPr>
            <w:tcW w:w="1785" w:type="dxa"/>
          </w:tcPr>
          <w:p w14:paraId="38A45D21" w14:textId="25599443"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952 outpatients &amp; 774 aftercare patients (recently completed inpatient or intensive day hospital treatment) followed up at 1 1 and 3 years</w:t>
            </w:r>
          </w:p>
        </w:tc>
        <w:tc>
          <w:tcPr>
            <w:tcW w:w="2209" w:type="dxa"/>
          </w:tcPr>
          <w:p w14:paraId="38A45D25" w14:textId="7A2527D9"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Alcohol dependent Undergoing Motivational Enhancement Therapy, Cognitive-</w:t>
            </w:r>
            <w:proofErr w:type="spellStart"/>
            <w:r w:rsidRPr="00B0749B">
              <w:t>Behavioral</w:t>
            </w:r>
            <w:proofErr w:type="spellEnd"/>
            <w:r w:rsidRPr="00B0749B">
              <w:t xml:space="preserve"> Therapy (CBT) or Twelve-Step Facilitation (TSF)</w:t>
            </w:r>
          </w:p>
        </w:tc>
      </w:tr>
      <w:tr w:rsidR="006C4481" w:rsidRPr="00B0749B" w14:paraId="38A45D2C" w14:textId="77777777" w:rsidTr="00BB0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A45D27" w14:textId="77777777" w:rsidR="006C4481" w:rsidRPr="00B0749B" w:rsidRDefault="006C4481" w:rsidP="00B0749B">
            <w:pPr>
              <w:pStyle w:val="tabletext"/>
              <w:rPr>
                <w:b w:val="0"/>
              </w:rPr>
            </w:pPr>
            <w:r w:rsidRPr="00B0749B">
              <w:rPr>
                <w:b w:val="0"/>
              </w:rPr>
              <w:t>National Treatment Outcome Research Study (NTORS</w:t>
            </w:r>
            <w:r w:rsidRPr="003A647F">
              <w:rPr>
                <w:b w:val="0"/>
                <w:vertAlign w:val="superscript"/>
              </w:rPr>
              <w:t>)</w:t>
            </w:r>
            <w:bookmarkStart w:id="72" w:name="source5"/>
            <w:r w:rsidRPr="003A647F">
              <w:rPr>
                <w:b w:val="0"/>
                <w:vertAlign w:val="superscript"/>
              </w:rPr>
              <w:t>5</w:t>
            </w:r>
            <w:bookmarkEnd w:id="72"/>
          </w:p>
        </w:tc>
        <w:tc>
          <w:tcPr>
            <w:tcW w:w="1784" w:type="dxa"/>
          </w:tcPr>
          <w:p w14:paraId="38A45D28"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ENGLAND</w:t>
            </w:r>
          </w:p>
        </w:tc>
        <w:tc>
          <w:tcPr>
            <w:tcW w:w="1785" w:type="dxa"/>
          </w:tcPr>
          <w:p w14:paraId="38A45D29"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Initiated in 1995 with one year, two year and five year outcomes</w:t>
            </w:r>
          </w:p>
        </w:tc>
        <w:tc>
          <w:tcPr>
            <w:tcW w:w="1785" w:type="dxa"/>
          </w:tcPr>
          <w:p w14:paraId="38A45D2A" w14:textId="77777777" w:rsidR="006C4481" w:rsidRPr="00B0749B" w:rsidRDefault="006C4481" w:rsidP="00B0749B">
            <w:pPr>
              <w:ind w:left="0"/>
              <w:cnfStyle w:val="000000100000" w:firstRow="0" w:lastRow="0" w:firstColumn="0" w:lastColumn="0" w:oddVBand="0" w:evenVBand="0" w:oddHBand="1" w:evenHBand="0" w:firstRowFirstColumn="0" w:firstRowLastColumn="0" w:lastRowFirstColumn="0" w:lastRowLastColumn="0"/>
            </w:pPr>
            <w:r w:rsidRPr="00B0749B">
              <w:t>1,075 at intake from 54 programmes; 769 at one-year follow-up</w:t>
            </w:r>
          </w:p>
        </w:tc>
        <w:tc>
          <w:tcPr>
            <w:tcW w:w="2209" w:type="dxa"/>
          </w:tcPr>
          <w:p w14:paraId="38A45D2B" w14:textId="77777777" w:rsidR="006C4481" w:rsidRPr="00B0749B" w:rsidRDefault="006C4481" w:rsidP="00B0749B">
            <w:pPr>
              <w:ind w:left="0"/>
              <w:cnfStyle w:val="000000100000" w:firstRow="0" w:lastRow="0" w:firstColumn="0" w:lastColumn="0" w:oddVBand="0" w:evenVBand="0" w:oddHBand="1" w:evenHBand="0" w:firstRowFirstColumn="0" w:firstRowLastColumn="0" w:lastRowFirstColumn="0" w:lastRowLastColumn="0"/>
            </w:pPr>
            <w:r w:rsidRPr="00B0749B">
              <w:t>Methadone maintenance; inpatient withdrawal and residential rehabilitation</w:t>
            </w:r>
          </w:p>
        </w:tc>
      </w:tr>
      <w:tr w:rsidR="006C4481" w:rsidRPr="00B0749B" w14:paraId="38A45D32" w14:textId="77777777" w:rsidTr="00BB0E5E">
        <w:tc>
          <w:tcPr>
            <w:cnfStyle w:val="001000000000" w:firstRow="0" w:lastRow="0" w:firstColumn="1" w:lastColumn="0" w:oddVBand="0" w:evenVBand="0" w:oddHBand="0" w:evenHBand="0" w:firstRowFirstColumn="0" w:firstRowLastColumn="0" w:lastRowFirstColumn="0" w:lastRowLastColumn="0"/>
            <w:tcW w:w="1785" w:type="dxa"/>
          </w:tcPr>
          <w:p w14:paraId="38A45D2D" w14:textId="77777777" w:rsidR="006C4481" w:rsidRPr="001D4A46" w:rsidRDefault="006C4481" w:rsidP="001D4A46">
            <w:pPr>
              <w:pStyle w:val="tabletext"/>
              <w:rPr>
                <w:b w:val="0"/>
              </w:rPr>
            </w:pPr>
            <w:r w:rsidRPr="001D4A46">
              <w:rPr>
                <w:b w:val="0"/>
              </w:rPr>
              <w:t>Drug Treatment Outcome Research Study (DTORS)</w:t>
            </w:r>
            <w:bookmarkStart w:id="73" w:name="source6"/>
            <w:r w:rsidRPr="003A647F">
              <w:rPr>
                <w:b w:val="0"/>
                <w:vertAlign w:val="superscript"/>
              </w:rPr>
              <w:t>6</w:t>
            </w:r>
            <w:bookmarkEnd w:id="73"/>
          </w:p>
        </w:tc>
        <w:tc>
          <w:tcPr>
            <w:tcW w:w="1784" w:type="dxa"/>
          </w:tcPr>
          <w:p w14:paraId="38A45D2E"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ENGLAND</w:t>
            </w:r>
          </w:p>
        </w:tc>
        <w:tc>
          <w:tcPr>
            <w:tcW w:w="1785" w:type="dxa"/>
          </w:tcPr>
          <w:p w14:paraId="38A45D2F"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2006-2007, using a 12-month window;</w:t>
            </w:r>
          </w:p>
        </w:tc>
        <w:tc>
          <w:tcPr>
            <w:tcW w:w="1785" w:type="dxa"/>
          </w:tcPr>
          <w:p w14:paraId="38A45D30" w14:textId="77777777" w:rsidR="006C4481" w:rsidRPr="00B0749B" w:rsidRDefault="006C4481" w:rsidP="00B0749B">
            <w:pPr>
              <w:ind w:left="0"/>
              <w:cnfStyle w:val="000000000000" w:firstRow="0" w:lastRow="0" w:firstColumn="0" w:lastColumn="0" w:oddVBand="0" w:evenVBand="0" w:oddHBand="0" w:evenHBand="0" w:firstRowFirstColumn="0" w:firstRowLastColumn="0" w:lastRowFirstColumn="0" w:lastRowLastColumn="0"/>
            </w:pPr>
            <w:r w:rsidRPr="00B0749B">
              <w:t>1,796 baseline interviews; 886interviewed at 3-5 months and 504 at 12 months</w:t>
            </w:r>
          </w:p>
        </w:tc>
        <w:tc>
          <w:tcPr>
            <w:tcW w:w="2209" w:type="dxa"/>
          </w:tcPr>
          <w:p w14:paraId="38A45D31" w14:textId="77777777" w:rsidR="006C4481" w:rsidRPr="00B0749B" w:rsidRDefault="006C4481" w:rsidP="00B0749B">
            <w:pPr>
              <w:ind w:left="0"/>
              <w:cnfStyle w:val="000000000000" w:firstRow="0" w:lastRow="0" w:firstColumn="0" w:lastColumn="0" w:oddVBand="0" w:evenVBand="0" w:oddHBand="0" w:evenHBand="0" w:firstRowFirstColumn="0" w:firstRowLastColumn="0" w:lastRowFirstColumn="0" w:lastRowLastColumn="0"/>
            </w:pPr>
            <w:r w:rsidRPr="00B0749B">
              <w:t>342 structured community or residential drug treatment services</w:t>
            </w:r>
          </w:p>
        </w:tc>
      </w:tr>
      <w:tr w:rsidR="006C4481" w:rsidRPr="00B0749B" w14:paraId="38A45D38" w14:textId="77777777" w:rsidTr="00BB0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A45D33" w14:textId="03E40B18" w:rsidR="006C4481" w:rsidRPr="001D4A46" w:rsidRDefault="006C4481" w:rsidP="001D4A46">
            <w:pPr>
              <w:pStyle w:val="tabletext"/>
              <w:rPr>
                <w:b w:val="0"/>
              </w:rPr>
            </w:pPr>
            <w:r w:rsidRPr="001D4A46">
              <w:rPr>
                <w:b w:val="0"/>
              </w:rPr>
              <w:t xml:space="preserve">Australian </w:t>
            </w:r>
            <w:r w:rsidR="003A647F">
              <w:rPr>
                <w:b w:val="0"/>
              </w:rPr>
              <w:t>Treatment Outcome Study (ATOS)</w:t>
            </w:r>
            <w:bookmarkStart w:id="74" w:name="source7"/>
            <w:r w:rsidR="003A647F" w:rsidRPr="003A647F">
              <w:rPr>
                <w:b w:val="0"/>
                <w:vertAlign w:val="superscript"/>
              </w:rPr>
              <w:t>7</w:t>
            </w:r>
            <w:bookmarkEnd w:id="74"/>
          </w:p>
        </w:tc>
        <w:tc>
          <w:tcPr>
            <w:tcW w:w="1784" w:type="dxa"/>
          </w:tcPr>
          <w:p w14:paraId="38A45D34"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AUSTRALIA</w:t>
            </w:r>
          </w:p>
        </w:tc>
        <w:tc>
          <w:tcPr>
            <w:tcW w:w="1785" w:type="dxa"/>
          </w:tcPr>
          <w:p w14:paraId="38A45D35" w14:textId="77777777" w:rsidR="006C4481" w:rsidRPr="00B0749B"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B0749B">
              <w:t>Baseline, 3 and 12 month follow-ups; 2 and 3 year outcomes in one site (2001-2002)</w:t>
            </w:r>
          </w:p>
        </w:tc>
        <w:tc>
          <w:tcPr>
            <w:tcW w:w="1785" w:type="dxa"/>
          </w:tcPr>
          <w:p w14:paraId="38A45D36" w14:textId="77777777" w:rsidR="006C4481" w:rsidRPr="00B0749B" w:rsidRDefault="006C4481" w:rsidP="00B0749B">
            <w:pPr>
              <w:ind w:left="0"/>
              <w:cnfStyle w:val="000000100000" w:firstRow="0" w:lastRow="0" w:firstColumn="0" w:lastColumn="0" w:oddVBand="0" w:evenVBand="0" w:oddHBand="1" w:evenHBand="0" w:firstRowFirstColumn="0" w:firstRowLastColumn="0" w:lastRowFirstColumn="0" w:lastRowLastColumn="0"/>
            </w:pPr>
            <w:r w:rsidRPr="00B0749B">
              <w:t>745 treatment sample and 80 non-treatment heroin controls</w:t>
            </w:r>
          </w:p>
        </w:tc>
        <w:tc>
          <w:tcPr>
            <w:tcW w:w="2209" w:type="dxa"/>
          </w:tcPr>
          <w:p w14:paraId="38A45D37" w14:textId="77777777" w:rsidR="006C4481" w:rsidRPr="00B0749B" w:rsidRDefault="006C4481" w:rsidP="00B0749B">
            <w:pPr>
              <w:ind w:left="0"/>
              <w:cnfStyle w:val="000000100000" w:firstRow="0" w:lastRow="0" w:firstColumn="0" w:lastColumn="0" w:oddVBand="0" w:evenVBand="0" w:oddHBand="1" w:evenHBand="0" w:firstRowFirstColumn="0" w:firstRowLastColumn="0" w:lastRowFirstColumn="0" w:lastRowLastColumn="0"/>
            </w:pPr>
            <w:r w:rsidRPr="00B0749B">
              <w:t xml:space="preserve">Methadone or buprenorphine maintenance; inpatient withdrawal and residential rehabilitation; small </w:t>
            </w:r>
            <w:r w:rsidRPr="00B0749B">
              <w:lastRenderedPageBreak/>
              <w:t>non-treatment control group</w:t>
            </w:r>
          </w:p>
        </w:tc>
      </w:tr>
      <w:tr w:rsidR="006C4481" w:rsidRPr="00B0749B" w14:paraId="38A45D3F" w14:textId="77777777" w:rsidTr="00BB0E5E">
        <w:tc>
          <w:tcPr>
            <w:cnfStyle w:val="001000000000" w:firstRow="0" w:lastRow="0" w:firstColumn="1" w:lastColumn="0" w:oddVBand="0" w:evenVBand="0" w:oddHBand="0" w:evenHBand="0" w:firstRowFirstColumn="0" w:firstRowLastColumn="0" w:lastRowFirstColumn="0" w:lastRowLastColumn="0"/>
            <w:tcW w:w="1785" w:type="dxa"/>
          </w:tcPr>
          <w:p w14:paraId="38A45D39" w14:textId="77777777" w:rsidR="006C4481" w:rsidRPr="001D4A46" w:rsidRDefault="006C4481" w:rsidP="001D4A46">
            <w:pPr>
              <w:pStyle w:val="tabletext"/>
              <w:rPr>
                <w:b w:val="0"/>
              </w:rPr>
            </w:pPr>
            <w:r w:rsidRPr="001D4A46">
              <w:rPr>
                <w:b w:val="0"/>
              </w:rPr>
              <w:lastRenderedPageBreak/>
              <w:t>Drug Outcome Research in Scotland (DORIS)</w:t>
            </w:r>
            <w:bookmarkStart w:id="75" w:name="source8"/>
            <w:r w:rsidRPr="003A647F">
              <w:rPr>
                <w:b w:val="0"/>
                <w:vertAlign w:val="superscript"/>
              </w:rPr>
              <w:t>8</w:t>
            </w:r>
            <w:bookmarkEnd w:id="75"/>
          </w:p>
        </w:tc>
        <w:tc>
          <w:tcPr>
            <w:tcW w:w="1784" w:type="dxa"/>
          </w:tcPr>
          <w:p w14:paraId="38A45D3A"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SCOTLAND</w:t>
            </w:r>
          </w:p>
        </w:tc>
        <w:tc>
          <w:tcPr>
            <w:tcW w:w="1785" w:type="dxa"/>
          </w:tcPr>
          <w:p w14:paraId="38A45D3B" w14:textId="77777777" w:rsidR="006C4481" w:rsidRPr="00B0749B"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B0749B">
              <w:t>Initiated in 2001 with 8, 16 and 33 month follow-ups</w:t>
            </w:r>
          </w:p>
        </w:tc>
        <w:tc>
          <w:tcPr>
            <w:tcW w:w="1785" w:type="dxa"/>
          </w:tcPr>
          <w:p w14:paraId="38A45D3C" w14:textId="77777777" w:rsidR="006C4481" w:rsidRPr="00B0749B" w:rsidRDefault="006C4481" w:rsidP="00B0749B">
            <w:pPr>
              <w:ind w:left="0"/>
              <w:cnfStyle w:val="000000000000" w:firstRow="0" w:lastRow="0" w:firstColumn="0" w:lastColumn="0" w:oddVBand="0" w:evenVBand="0" w:oddHBand="0" w:evenHBand="0" w:firstRowFirstColumn="0" w:firstRowLastColumn="0" w:lastRowFirstColumn="0" w:lastRowLastColumn="0"/>
            </w:pPr>
            <w:r w:rsidRPr="00B0749B">
              <w:t>1,007 individuals from 28 specialist treatment agencies (community and residential) and five prisons delivering drug treatment</w:t>
            </w:r>
          </w:p>
        </w:tc>
        <w:tc>
          <w:tcPr>
            <w:tcW w:w="2209" w:type="dxa"/>
          </w:tcPr>
          <w:p w14:paraId="38A45D3E" w14:textId="2F556A40" w:rsidR="006C4481" w:rsidRPr="00B0749B" w:rsidRDefault="006C4481" w:rsidP="00214785">
            <w:pPr>
              <w:ind w:left="0"/>
              <w:cnfStyle w:val="000000000000" w:firstRow="0" w:lastRow="0" w:firstColumn="0" w:lastColumn="0" w:oddVBand="0" w:evenVBand="0" w:oddHBand="0" w:evenHBand="0" w:firstRowFirstColumn="0" w:firstRowLastColumn="0" w:lastRowFirstColumn="0" w:lastRowLastColumn="0"/>
            </w:pPr>
            <w:r w:rsidRPr="00B0749B">
              <w:t>Substitute prescribing; non-substitute</w:t>
            </w:r>
            <w:r w:rsidR="00214785">
              <w:t xml:space="preserve"> </w:t>
            </w:r>
            <w:r w:rsidRPr="00B0749B">
              <w:t>prescribing; counselling; residential rehabilitation and prison</w:t>
            </w:r>
          </w:p>
        </w:tc>
      </w:tr>
      <w:tr w:rsidR="006C4481" w:rsidRPr="00FB60E5" w14:paraId="38A45D55" w14:textId="77777777" w:rsidTr="00BB0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A45D50" w14:textId="77777777" w:rsidR="006C4481" w:rsidRPr="001D4A46" w:rsidRDefault="006C4481" w:rsidP="001D4A46">
            <w:pPr>
              <w:pStyle w:val="tabletext"/>
              <w:rPr>
                <w:b w:val="0"/>
              </w:rPr>
            </w:pPr>
            <w:r w:rsidRPr="001D4A46">
              <w:rPr>
                <w:b w:val="0"/>
              </w:rPr>
              <w:t>Research Outcome Study in Ireland (ROSIE)</w:t>
            </w:r>
            <w:bookmarkStart w:id="76" w:name="source9"/>
            <w:r w:rsidRPr="003A647F">
              <w:rPr>
                <w:b w:val="0"/>
                <w:vertAlign w:val="superscript"/>
              </w:rPr>
              <w:t>9</w:t>
            </w:r>
            <w:bookmarkEnd w:id="76"/>
          </w:p>
        </w:tc>
        <w:tc>
          <w:tcPr>
            <w:tcW w:w="1784" w:type="dxa"/>
          </w:tcPr>
          <w:p w14:paraId="38A45D51" w14:textId="77777777" w:rsidR="006C4481" w:rsidRPr="00FB60E5"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IRELAND </w:t>
            </w:r>
          </w:p>
        </w:tc>
        <w:tc>
          <w:tcPr>
            <w:tcW w:w="1785" w:type="dxa"/>
          </w:tcPr>
          <w:p w14:paraId="38A45D52" w14:textId="77777777" w:rsidR="006C4481" w:rsidRPr="00FB60E5"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FB60E5">
              <w:t>Started in 2003 with a 6-month, 1-year and 3-year follow-up window</w:t>
            </w:r>
          </w:p>
        </w:tc>
        <w:tc>
          <w:tcPr>
            <w:tcW w:w="1785" w:type="dxa"/>
          </w:tcPr>
          <w:p w14:paraId="38A45D53" w14:textId="77777777" w:rsidR="006C4481" w:rsidRPr="00FB60E5" w:rsidRDefault="006C4481" w:rsidP="00FB60E5">
            <w:pPr>
              <w:cnfStyle w:val="000000100000" w:firstRow="0" w:lastRow="0" w:firstColumn="0" w:lastColumn="0" w:oddVBand="0" w:evenVBand="0" w:oddHBand="1" w:evenHBand="0" w:firstRowFirstColumn="0" w:firstRowLastColumn="0" w:lastRowFirstColumn="0" w:lastRowLastColumn="0"/>
            </w:pPr>
            <w:r w:rsidRPr="00FB60E5">
              <w:t>404 active treatment group with a subsample of 26 needle exchange users</w:t>
            </w:r>
          </w:p>
        </w:tc>
        <w:tc>
          <w:tcPr>
            <w:tcW w:w="2209" w:type="dxa"/>
          </w:tcPr>
          <w:p w14:paraId="38A45D54" w14:textId="77777777" w:rsidR="006C4481" w:rsidRPr="00FB60E5" w:rsidRDefault="006C4481" w:rsidP="00FB60E5">
            <w:pPr>
              <w:cnfStyle w:val="000000100000" w:firstRow="0" w:lastRow="0" w:firstColumn="0" w:lastColumn="0" w:oddVBand="0" w:evenVBand="0" w:oddHBand="1" w:evenHBand="0" w:firstRowFirstColumn="0" w:firstRowLastColumn="0" w:lastRowFirstColumn="0" w:lastRowLastColumn="0"/>
            </w:pPr>
            <w:r w:rsidRPr="00FB60E5">
              <w:t>Methadone maintenance /detoxification; structured detoxification; abstinence treatment</w:t>
            </w:r>
          </w:p>
        </w:tc>
      </w:tr>
      <w:tr w:rsidR="006C4481" w:rsidRPr="00FB60E5" w14:paraId="38A45D5C" w14:textId="77777777" w:rsidTr="00BB0E5E">
        <w:tc>
          <w:tcPr>
            <w:cnfStyle w:val="001000000000" w:firstRow="0" w:lastRow="0" w:firstColumn="1" w:lastColumn="0" w:oddVBand="0" w:evenVBand="0" w:oddHBand="0" w:evenHBand="0" w:firstRowFirstColumn="0" w:firstRowLastColumn="0" w:lastRowFirstColumn="0" w:lastRowLastColumn="0"/>
            <w:tcW w:w="1785" w:type="dxa"/>
          </w:tcPr>
          <w:p w14:paraId="38A45D56" w14:textId="77777777" w:rsidR="006C4481" w:rsidRPr="001D4A46" w:rsidRDefault="006C4481" w:rsidP="001D4A46">
            <w:pPr>
              <w:pStyle w:val="tabletext"/>
              <w:rPr>
                <w:b w:val="0"/>
              </w:rPr>
            </w:pPr>
            <w:r w:rsidRPr="001D4A46">
              <w:rPr>
                <w:b w:val="0"/>
              </w:rPr>
              <w:t>Methamphetamine Treatment Evaluation Study (MATES)</w:t>
            </w:r>
            <w:bookmarkStart w:id="77" w:name="source10"/>
            <w:r w:rsidRPr="003A647F">
              <w:rPr>
                <w:b w:val="0"/>
                <w:vertAlign w:val="superscript"/>
              </w:rPr>
              <w:t>10</w:t>
            </w:r>
            <w:bookmarkEnd w:id="77"/>
            <w:r w:rsidRPr="001D4A46">
              <w:rPr>
                <w:b w:val="0"/>
              </w:rPr>
              <w:t xml:space="preserve"> </w:t>
            </w:r>
          </w:p>
        </w:tc>
        <w:tc>
          <w:tcPr>
            <w:tcW w:w="1784" w:type="dxa"/>
          </w:tcPr>
          <w:p w14:paraId="38A45D57" w14:textId="77777777" w:rsidR="006C4481" w:rsidRPr="00FB60E5"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FB60E5">
              <w:t>AUSTRALIA</w:t>
            </w:r>
          </w:p>
        </w:tc>
        <w:tc>
          <w:tcPr>
            <w:tcW w:w="1785" w:type="dxa"/>
          </w:tcPr>
          <w:p w14:paraId="38A45D58" w14:textId="77777777" w:rsidR="006C4481" w:rsidRPr="00FB60E5"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FB60E5">
              <w:t>Initiated in 2006 (Sydney &amp; Brisbane) with 3-month, 12-month and 3 year follow-ups</w:t>
            </w:r>
          </w:p>
        </w:tc>
        <w:tc>
          <w:tcPr>
            <w:tcW w:w="1785" w:type="dxa"/>
          </w:tcPr>
          <w:p w14:paraId="38A45D59" w14:textId="77777777" w:rsidR="006C4481" w:rsidRPr="00FB60E5" w:rsidRDefault="006C4481" w:rsidP="00FB60E5">
            <w:pPr>
              <w:cnfStyle w:val="000000000000" w:firstRow="0" w:lastRow="0" w:firstColumn="0" w:lastColumn="0" w:oddVBand="0" w:evenVBand="0" w:oddHBand="0" w:evenHBand="0" w:firstRowFirstColumn="0" w:firstRowLastColumn="0" w:lastRowFirstColumn="0" w:lastRowLastColumn="0"/>
            </w:pPr>
            <w:r w:rsidRPr="00FB60E5">
              <w:t xml:space="preserve">300 entrants to methamphetamine drug treatment and 101 non-treatment comparison group </w:t>
            </w:r>
          </w:p>
        </w:tc>
        <w:tc>
          <w:tcPr>
            <w:tcW w:w="2209" w:type="dxa"/>
          </w:tcPr>
          <w:p w14:paraId="3E1DBFFF" w14:textId="77777777" w:rsidR="00BB0E5E" w:rsidRDefault="006C4481" w:rsidP="00FB60E5">
            <w:pPr>
              <w:cnfStyle w:val="000000000000" w:firstRow="0" w:lastRow="0" w:firstColumn="0" w:lastColumn="0" w:oddVBand="0" w:evenVBand="0" w:oddHBand="0" w:evenHBand="0" w:firstRowFirstColumn="0" w:firstRowLastColumn="0" w:lastRowFirstColumn="0" w:lastRowLastColumn="0"/>
            </w:pPr>
            <w:r w:rsidRPr="00FB60E5">
              <w:t>Residential rehabilitation, &amp; detoxification</w:t>
            </w:r>
          </w:p>
          <w:p w14:paraId="38A45D5B" w14:textId="3CFC8241" w:rsidR="006C4481" w:rsidRPr="00FB60E5" w:rsidRDefault="006C4481" w:rsidP="00FB60E5">
            <w:pPr>
              <w:cnfStyle w:val="000000000000" w:firstRow="0" w:lastRow="0" w:firstColumn="0" w:lastColumn="0" w:oddVBand="0" w:evenVBand="0" w:oddHBand="0" w:evenHBand="0" w:firstRowFirstColumn="0" w:firstRowLastColumn="0" w:lastRowFirstColumn="0" w:lastRowLastColumn="0"/>
            </w:pPr>
          </w:p>
        </w:tc>
      </w:tr>
      <w:tr w:rsidR="006C4481" w:rsidRPr="00FB60E5" w14:paraId="38A45D62" w14:textId="77777777" w:rsidTr="00BB0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38A45D5D" w14:textId="77777777" w:rsidR="006C4481" w:rsidRPr="001D4A46" w:rsidRDefault="006C4481" w:rsidP="001D4A46">
            <w:pPr>
              <w:pStyle w:val="tabletext"/>
              <w:rPr>
                <w:b w:val="0"/>
              </w:rPr>
            </w:pPr>
            <w:r w:rsidRPr="001D4A46">
              <w:rPr>
                <w:b w:val="0"/>
              </w:rPr>
              <w:t>UKATT</w:t>
            </w:r>
            <w:bookmarkStart w:id="78" w:name="source11"/>
            <w:r w:rsidRPr="003A647F">
              <w:rPr>
                <w:b w:val="0"/>
                <w:vertAlign w:val="superscript"/>
              </w:rPr>
              <w:t>11</w:t>
            </w:r>
            <w:bookmarkEnd w:id="78"/>
          </w:p>
        </w:tc>
        <w:tc>
          <w:tcPr>
            <w:tcW w:w="1784" w:type="dxa"/>
          </w:tcPr>
          <w:p w14:paraId="38A45D5E" w14:textId="77777777" w:rsidR="006C4481" w:rsidRPr="00FB60E5"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FB60E5">
              <w:t>ENGLAND</w:t>
            </w:r>
          </w:p>
        </w:tc>
        <w:tc>
          <w:tcPr>
            <w:tcW w:w="1785" w:type="dxa"/>
          </w:tcPr>
          <w:p w14:paraId="38A45D5F" w14:textId="77777777" w:rsidR="006C4481" w:rsidRPr="00FB60E5" w:rsidRDefault="006C4481" w:rsidP="00AF6D9B">
            <w:pPr>
              <w:pStyle w:val="tabletext"/>
              <w:cnfStyle w:val="000000100000" w:firstRow="0" w:lastRow="0" w:firstColumn="0" w:lastColumn="0" w:oddVBand="0" w:evenVBand="0" w:oddHBand="1" w:evenHBand="0" w:firstRowFirstColumn="0" w:firstRowLastColumn="0" w:lastRowFirstColumn="0" w:lastRowLastColumn="0"/>
            </w:pPr>
            <w:r w:rsidRPr="00FB60E5">
              <w:t>Initiated in 1999, social behaviour and network therapy versus motivational enhancement therapy with three-month and 1-year follow-ups</w:t>
            </w:r>
          </w:p>
        </w:tc>
        <w:tc>
          <w:tcPr>
            <w:tcW w:w="1785" w:type="dxa"/>
          </w:tcPr>
          <w:p w14:paraId="38A45D60" w14:textId="77777777" w:rsidR="006C4481" w:rsidRPr="00FB60E5" w:rsidRDefault="006C4481" w:rsidP="00FB60E5">
            <w:pPr>
              <w:cnfStyle w:val="000000100000" w:firstRow="0" w:lastRow="0" w:firstColumn="0" w:lastColumn="0" w:oddVBand="0" w:evenVBand="0" w:oddHBand="1" w:evenHBand="0" w:firstRowFirstColumn="0" w:firstRowLastColumn="0" w:lastRowFirstColumn="0" w:lastRowLastColumn="0"/>
            </w:pPr>
            <w:r w:rsidRPr="00FB60E5">
              <w:t>742 clients with alcohol problems</w:t>
            </w:r>
          </w:p>
        </w:tc>
        <w:tc>
          <w:tcPr>
            <w:tcW w:w="2209" w:type="dxa"/>
          </w:tcPr>
          <w:p w14:paraId="38A45D61" w14:textId="77777777" w:rsidR="006C4481" w:rsidRPr="00FB60E5" w:rsidRDefault="006C4481" w:rsidP="00FB60E5">
            <w:pPr>
              <w:cnfStyle w:val="000000100000" w:firstRow="0" w:lastRow="0" w:firstColumn="0" w:lastColumn="0" w:oddVBand="0" w:evenVBand="0" w:oddHBand="1" w:evenHBand="0" w:firstRowFirstColumn="0" w:firstRowLastColumn="0" w:lastRowFirstColumn="0" w:lastRowLastColumn="0"/>
            </w:pPr>
            <w:r w:rsidRPr="00FB60E5">
              <w:t>Specialist community alcohol treatment services</w:t>
            </w:r>
          </w:p>
        </w:tc>
      </w:tr>
      <w:tr w:rsidR="006C4481" w:rsidRPr="00FB60E5" w14:paraId="38A45D68" w14:textId="77777777" w:rsidTr="00BB0E5E">
        <w:tc>
          <w:tcPr>
            <w:cnfStyle w:val="001000000000" w:firstRow="0" w:lastRow="0" w:firstColumn="1" w:lastColumn="0" w:oddVBand="0" w:evenVBand="0" w:oddHBand="0" w:evenHBand="0" w:firstRowFirstColumn="0" w:firstRowLastColumn="0" w:lastRowFirstColumn="0" w:lastRowLastColumn="0"/>
            <w:tcW w:w="1785" w:type="dxa"/>
          </w:tcPr>
          <w:p w14:paraId="38A45D63" w14:textId="77777777" w:rsidR="006C4481" w:rsidRPr="001D4A46" w:rsidRDefault="006C4481" w:rsidP="001D4A46">
            <w:pPr>
              <w:pStyle w:val="tabletext"/>
              <w:rPr>
                <w:b w:val="0"/>
              </w:rPr>
            </w:pPr>
            <w:r w:rsidRPr="001D4A46">
              <w:rPr>
                <w:b w:val="0"/>
              </w:rPr>
              <w:t>COMBINE</w:t>
            </w:r>
            <w:bookmarkStart w:id="79" w:name="source12"/>
            <w:r w:rsidRPr="003A647F">
              <w:rPr>
                <w:b w:val="0"/>
                <w:vertAlign w:val="superscript"/>
              </w:rPr>
              <w:t>12</w:t>
            </w:r>
            <w:bookmarkEnd w:id="79"/>
          </w:p>
        </w:tc>
        <w:tc>
          <w:tcPr>
            <w:tcW w:w="1784" w:type="dxa"/>
          </w:tcPr>
          <w:p w14:paraId="38A45D64" w14:textId="77777777" w:rsidR="006C4481" w:rsidRPr="00FB60E5"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FB60E5">
              <w:t>USA</w:t>
            </w:r>
          </w:p>
        </w:tc>
        <w:tc>
          <w:tcPr>
            <w:tcW w:w="1785" w:type="dxa"/>
          </w:tcPr>
          <w:p w14:paraId="38A45D65" w14:textId="77777777" w:rsidR="006C4481" w:rsidRPr="00FB60E5" w:rsidRDefault="006C4481" w:rsidP="00AF6D9B">
            <w:pPr>
              <w:pStyle w:val="tabletext"/>
              <w:cnfStyle w:val="000000000000" w:firstRow="0" w:lastRow="0" w:firstColumn="0" w:lastColumn="0" w:oddVBand="0" w:evenVBand="0" w:oddHBand="0" w:evenHBand="0" w:firstRowFirstColumn="0" w:firstRowLastColumn="0" w:lastRowFirstColumn="0" w:lastRowLastColumn="0"/>
            </w:pPr>
            <w:r w:rsidRPr="00FB60E5">
              <w:t xml:space="preserve">2001-2004 A double-blind, randomized placebo-controlled trial of naltrexone and </w:t>
            </w:r>
            <w:proofErr w:type="spellStart"/>
            <w:r w:rsidRPr="00FB60E5">
              <w:t>acamprosate</w:t>
            </w:r>
            <w:proofErr w:type="spellEnd"/>
            <w:r w:rsidRPr="00FB60E5">
              <w:t xml:space="preserve">, both alone and in combination with medical management </w:t>
            </w:r>
            <w:r w:rsidRPr="00FB60E5">
              <w:lastRenderedPageBreak/>
              <w:t xml:space="preserve">with and without a Combined </w:t>
            </w:r>
            <w:proofErr w:type="spellStart"/>
            <w:r w:rsidRPr="00FB60E5">
              <w:t>Behavioral</w:t>
            </w:r>
            <w:proofErr w:type="spellEnd"/>
            <w:r w:rsidRPr="00FB60E5">
              <w:t xml:space="preserve"> Intervention (CBT, MI &amp; TSF). Followed up to 1 year after treatment</w:t>
            </w:r>
          </w:p>
        </w:tc>
        <w:tc>
          <w:tcPr>
            <w:tcW w:w="1785" w:type="dxa"/>
          </w:tcPr>
          <w:p w14:paraId="38A45D66" w14:textId="77777777" w:rsidR="006C4481" w:rsidRPr="00FB60E5" w:rsidRDefault="006C4481" w:rsidP="00FB60E5">
            <w:pPr>
              <w:cnfStyle w:val="000000000000" w:firstRow="0" w:lastRow="0" w:firstColumn="0" w:lastColumn="0" w:oddVBand="0" w:evenVBand="0" w:oddHBand="0" w:evenHBand="0" w:firstRowFirstColumn="0" w:firstRowLastColumn="0" w:lastRowFirstColumn="0" w:lastRowLastColumn="0"/>
            </w:pPr>
            <w:r w:rsidRPr="00FB60E5">
              <w:lastRenderedPageBreak/>
              <w:t>1383 recently-abstinent alcohol dependent patients</w:t>
            </w:r>
          </w:p>
        </w:tc>
        <w:tc>
          <w:tcPr>
            <w:tcW w:w="2209" w:type="dxa"/>
          </w:tcPr>
          <w:p w14:paraId="38A45D67" w14:textId="76032126" w:rsidR="006C4481" w:rsidRPr="00FB60E5" w:rsidRDefault="006C4481" w:rsidP="00FB60E5">
            <w:pPr>
              <w:cnfStyle w:val="000000000000" w:firstRow="0" w:lastRow="0" w:firstColumn="0" w:lastColumn="0" w:oddVBand="0" w:evenVBand="0" w:oddHBand="0" w:evenHBand="0" w:firstRowFirstColumn="0" w:firstRowLastColumn="0" w:lastRowFirstColumn="0" w:lastRowLastColumn="0"/>
            </w:pPr>
            <w:r w:rsidRPr="00FB60E5">
              <w:t>Community and referrals from clinical services (detoxification)</w:t>
            </w:r>
            <w:r w:rsidR="002C27A8">
              <w:t xml:space="preserve"> </w:t>
            </w:r>
          </w:p>
        </w:tc>
      </w:tr>
    </w:tbl>
    <w:p w14:paraId="5E70CB8D" w14:textId="77777777" w:rsidR="003A647F" w:rsidRDefault="003A647F" w:rsidP="003A647F">
      <w:pPr>
        <w:pStyle w:val="FootnoteText"/>
      </w:pPr>
      <w:bookmarkStart w:id="80" w:name="_Toc398105039"/>
      <w:r>
        <w:lastRenderedPageBreak/>
        <w:t>Sources:</w:t>
      </w:r>
    </w:p>
    <w:p w14:paraId="524A0F08" w14:textId="77777777" w:rsidR="00E175B0" w:rsidRDefault="00E175B0" w:rsidP="00E175B0">
      <w:pPr>
        <w:pStyle w:val="FootnoteText"/>
      </w:pPr>
      <w:r>
        <w:fldChar w:fldCharType="begin"/>
      </w:r>
      <w:r>
        <w:instrText xml:space="preserve"> REF source1 \h </w:instrText>
      </w:r>
      <w:r>
        <w:fldChar w:fldCharType="separate"/>
      </w:r>
      <w:r w:rsidRPr="003A647F">
        <w:rPr>
          <w:b/>
          <w:vertAlign w:val="superscript"/>
        </w:rPr>
        <w:t>1</w:t>
      </w:r>
      <w:r>
        <w:fldChar w:fldCharType="end"/>
      </w:r>
      <w:r>
        <w:t xml:space="preserve"> </w:t>
      </w:r>
      <w:r w:rsidRPr="00E175B0">
        <w:t>Simpson &amp; Sells, 1983</w:t>
      </w:r>
    </w:p>
    <w:p w14:paraId="648D78AC" w14:textId="67759617" w:rsidR="003A647F" w:rsidRPr="00E175B0" w:rsidRDefault="00E175B0" w:rsidP="00E175B0">
      <w:pPr>
        <w:pStyle w:val="FootnoteText"/>
      </w:pPr>
      <w:r>
        <w:fldChar w:fldCharType="begin"/>
      </w:r>
      <w:r>
        <w:instrText xml:space="preserve"> REF source2 \h </w:instrText>
      </w:r>
      <w:r>
        <w:fldChar w:fldCharType="separate"/>
      </w:r>
      <w:r w:rsidRPr="003A647F">
        <w:rPr>
          <w:b/>
          <w:vertAlign w:val="superscript"/>
        </w:rPr>
        <w:t>2</w:t>
      </w:r>
      <w:r>
        <w:fldChar w:fldCharType="end"/>
      </w:r>
      <w:r>
        <w:t xml:space="preserve"> </w:t>
      </w:r>
      <w:r w:rsidR="003A647F" w:rsidRPr="00E175B0">
        <w:t>Hubbard et al., 1989</w:t>
      </w:r>
    </w:p>
    <w:p w14:paraId="225B393A" w14:textId="702F0660" w:rsidR="003A647F" w:rsidRPr="00E175B0" w:rsidRDefault="00E175B0" w:rsidP="00E175B0">
      <w:pPr>
        <w:pStyle w:val="FootnoteText"/>
      </w:pPr>
      <w:r>
        <w:fldChar w:fldCharType="begin"/>
      </w:r>
      <w:r>
        <w:instrText xml:space="preserve"> REF source3 \h </w:instrText>
      </w:r>
      <w:r>
        <w:fldChar w:fldCharType="separate"/>
      </w:r>
      <w:r w:rsidRPr="003A647F">
        <w:rPr>
          <w:b/>
          <w:vertAlign w:val="superscript"/>
        </w:rPr>
        <w:t>3</w:t>
      </w:r>
      <w:r>
        <w:fldChar w:fldCharType="end"/>
      </w:r>
      <w:r w:rsidR="003A647F" w:rsidRPr="00E175B0">
        <w:t xml:space="preserve"> Simpson &amp; Brown, 1999</w:t>
      </w:r>
    </w:p>
    <w:p w14:paraId="20AF1846" w14:textId="06A3B90A" w:rsidR="003A647F" w:rsidRPr="00E175B0" w:rsidRDefault="00E175B0" w:rsidP="00E175B0">
      <w:pPr>
        <w:pStyle w:val="FootnoteText"/>
      </w:pPr>
      <w:r>
        <w:fldChar w:fldCharType="begin"/>
      </w:r>
      <w:r>
        <w:instrText xml:space="preserve"> REF source4 \h </w:instrText>
      </w:r>
      <w:r>
        <w:fldChar w:fldCharType="separate"/>
      </w:r>
      <w:r w:rsidRPr="003A647F">
        <w:rPr>
          <w:b/>
          <w:vertAlign w:val="superscript"/>
        </w:rPr>
        <w:t>4</w:t>
      </w:r>
      <w:r>
        <w:fldChar w:fldCharType="end"/>
      </w:r>
      <w:r w:rsidR="003A647F" w:rsidRPr="00E175B0">
        <w:t xml:space="preserve"> Project Match Research Group, 1998</w:t>
      </w:r>
    </w:p>
    <w:p w14:paraId="784303BA" w14:textId="54C3AEB7" w:rsidR="003A647F" w:rsidRPr="00E175B0" w:rsidRDefault="00E175B0" w:rsidP="00E175B0">
      <w:pPr>
        <w:pStyle w:val="FootnoteText"/>
      </w:pPr>
      <w:r>
        <w:fldChar w:fldCharType="begin"/>
      </w:r>
      <w:r>
        <w:instrText xml:space="preserve"> REF source5 \h </w:instrText>
      </w:r>
      <w:r>
        <w:fldChar w:fldCharType="separate"/>
      </w:r>
      <w:r w:rsidRPr="003A647F">
        <w:rPr>
          <w:b/>
          <w:vertAlign w:val="superscript"/>
        </w:rPr>
        <w:t>5</w:t>
      </w:r>
      <w:r>
        <w:fldChar w:fldCharType="end"/>
      </w:r>
      <w:r w:rsidR="003A647F" w:rsidRPr="00E175B0">
        <w:t xml:space="preserve"> </w:t>
      </w:r>
      <w:proofErr w:type="spellStart"/>
      <w:r w:rsidR="003A647F" w:rsidRPr="00E175B0">
        <w:t>Gossop</w:t>
      </w:r>
      <w:proofErr w:type="spellEnd"/>
      <w:r w:rsidR="003A647F" w:rsidRPr="00E175B0">
        <w:t>, Marsden, Stewart, &amp; Kidd, 2003</w:t>
      </w:r>
    </w:p>
    <w:p w14:paraId="3DF2EFA8" w14:textId="7BE592C2" w:rsidR="003A647F" w:rsidRPr="00E175B0" w:rsidRDefault="00E175B0" w:rsidP="00E175B0">
      <w:pPr>
        <w:pStyle w:val="FootnoteText"/>
      </w:pPr>
      <w:r>
        <w:fldChar w:fldCharType="begin"/>
      </w:r>
      <w:r>
        <w:instrText xml:space="preserve"> REF source6 \h </w:instrText>
      </w:r>
      <w:r>
        <w:fldChar w:fldCharType="separate"/>
      </w:r>
      <w:r w:rsidRPr="003A647F">
        <w:rPr>
          <w:b/>
          <w:vertAlign w:val="superscript"/>
        </w:rPr>
        <w:t>6</w:t>
      </w:r>
      <w:r>
        <w:fldChar w:fldCharType="end"/>
      </w:r>
      <w:r w:rsidR="003A647F" w:rsidRPr="00E175B0">
        <w:t xml:space="preserve"> </w:t>
      </w:r>
      <w:proofErr w:type="spellStart"/>
      <w:r w:rsidR="003A647F" w:rsidRPr="00E175B0">
        <w:t>Donmall</w:t>
      </w:r>
      <w:proofErr w:type="spellEnd"/>
      <w:r w:rsidR="003A647F" w:rsidRPr="00E175B0">
        <w:t>, Jones, Davies, &amp; Barnard, 2009</w:t>
      </w:r>
    </w:p>
    <w:p w14:paraId="2BE0C7E4" w14:textId="39634597" w:rsidR="003A647F" w:rsidRPr="00E175B0" w:rsidRDefault="00E175B0" w:rsidP="00E175B0">
      <w:pPr>
        <w:pStyle w:val="FootnoteText"/>
      </w:pPr>
      <w:r>
        <w:fldChar w:fldCharType="begin"/>
      </w:r>
      <w:r>
        <w:instrText xml:space="preserve"> REF source7 \h </w:instrText>
      </w:r>
      <w:r>
        <w:fldChar w:fldCharType="separate"/>
      </w:r>
      <w:r w:rsidRPr="003A647F">
        <w:rPr>
          <w:b/>
          <w:vertAlign w:val="superscript"/>
        </w:rPr>
        <w:t>7</w:t>
      </w:r>
      <w:r>
        <w:fldChar w:fldCharType="end"/>
      </w:r>
      <w:r w:rsidR="003A647F" w:rsidRPr="00E175B0">
        <w:t xml:space="preserve"> </w:t>
      </w:r>
      <w:proofErr w:type="spellStart"/>
      <w:r w:rsidR="003A647F" w:rsidRPr="00E175B0">
        <w:t>Teeson</w:t>
      </w:r>
      <w:proofErr w:type="spellEnd"/>
      <w:r w:rsidR="003A647F" w:rsidRPr="00E175B0">
        <w:t xml:space="preserve"> et al., 2008</w:t>
      </w:r>
    </w:p>
    <w:p w14:paraId="696130B8" w14:textId="2102D3E3" w:rsidR="003A647F" w:rsidRPr="00E175B0" w:rsidRDefault="00E175B0" w:rsidP="00E175B0">
      <w:pPr>
        <w:pStyle w:val="FootnoteText"/>
      </w:pPr>
      <w:r>
        <w:fldChar w:fldCharType="begin"/>
      </w:r>
      <w:r>
        <w:instrText xml:space="preserve"> REF source8 \h </w:instrText>
      </w:r>
      <w:r>
        <w:fldChar w:fldCharType="separate"/>
      </w:r>
      <w:r w:rsidRPr="003A647F">
        <w:rPr>
          <w:b/>
          <w:vertAlign w:val="superscript"/>
        </w:rPr>
        <w:t>8</w:t>
      </w:r>
      <w:r>
        <w:fldChar w:fldCharType="end"/>
      </w:r>
      <w:r w:rsidR="003A647F" w:rsidRPr="00E175B0">
        <w:t xml:space="preserve"> </w:t>
      </w:r>
      <w:proofErr w:type="spellStart"/>
      <w:r w:rsidR="003A647F" w:rsidRPr="00E175B0">
        <w:t>McKeganey</w:t>
      </w:r>
      <w:proofErr w:type="spellEnd"/>
      <w:r w:rsidR="003A647F" w:rsidRPr="00E175B0">
        <w:t>, Bloor, Robertson, Neale, &amp; MacDougall, 1996</w:t>
      </w:r>
    </w:p>
    <w:p w14:paraId="495E86AB" w14:textId="7D043634" w:rsidR="003A647F" w:rsidRPr="00E175B0" w:rsidRDefault="00E175B0" w:rsidP="00E175B0">
      <w:pPr>
        <w:pStyle w:val="FootnoteText"/>
      </w:pPr>
      <w:r>
        <w:fldChar w:fldCharType="begin"/>
      </w:r>
      <w:r>
        <w:instrText xml:space="preserve"> REF source9 \h </w:instrText>
      </w:r>
      <w:r>
        <w:fldChar w:fldCharType="separate"/>
      </w:r>
      <w:proofErr w:type="gramStart"/>
      <w:r w:rsidRPr="003A647F">
        <w:rPr>
          <w:b/>
          <w:vertAlign w:val="superscript"/>
        </w:rPr>
        <w:t>9</w:t>
      </w:r>
      <w:r>
        <w:fldChar w:fldCharType="end"/>
      </w:r>
      <w:r w:rsidR="003A647F" w:rsidRPr="00E175B0">
        <w:t xml:space="preserve"> Cox</w:t>
      </w:r>
      <w:proofErr w:type="gramEnd"/>
      <w:r w:rsidR="003A647F" w:rsidRPr="00E175B0">
        <w:t>, 2007</w:t>
      </w:r>
    </w:p>
    <w:p w14:paraId="4A612A82" w14:textId="3C5DDB0E" w:rsidR="003A647F" w:rsidRPr="00E175B0" w:rsidRDefault="00E175B0" w:rsidP="00E175B0">
      <w:pPr>
        <w:pStyle w:val="FootnoteText"/>
      </w:pPr>
      <w:r>
        <w:fldChar w:fldCharType="begin"/>
      </w:r>
      <w:r>
        <w:instrText xml:space="preserve"> REF source10 \h </w:instrText>
      </w:r>
      <w:r>
        <w:fldChar w:fldCharType="separate"/>
      </w:r>
      <w:r w:rsidRPr="003A647F">
        <w:rPr>
          <w:b/>
          <w:vertAlign w:val="superscript"/>
        </w:rPr>
        <w:t>10</w:t>
      </w:r>
      <w:r>
        <w:fldChar w:fldCharType="end"/>
      </w:r>
      <w:r w:rsidR="003A647F" w:rsidRPr="00E175B0">
        <w:t xml:space="preserve"> </w:t>
      </w:r>
      <w:proofErr w:type="spellStart"/>
      <w:r w:rsidR="003A647F" w:rsidRPr="00E175B0">
        <w:t>McKetin</w:t>
      </w:r>
      <w:proofErr w:type="spellEnd"/>
      <w:r w:rsidR="003A647F" w:rsidRPr="00E175B0">
        <w:t xml:space="preserve"> et al., 2012</w:t>
      </w:r>
    </w:p>
    <w:p w14:paraId="0CA895A5" w14:textId="6594320B" w:rsidR="003A647F" w:rsidRPr="00E175B0" w:rsidRDefault="00E175B0" w:rsidP="00E175B0">
      <w:pPr>
        <w:pStyle w:val="FootnoteText"/>
      </w:pPr>
      <w:r>
        <w:fldChar w:fldCharType="begin"/>
      </w:r>
      <w:r>
        <w:instrText xml:space="preserve"> REF source11 \h </w:instrText>
      </w:r>
      <w:r>
        <w:fldChar w:fldCharType="separate"/>
      </w:r>
      <w:r w:rsidRPr="003A647F">
        <w:rPr>
          <w:b/>
          <w:vertAlign w:val="superscript"/>
        </w:rPr>
        <w:t>11</w:t>
      </w:r>
      <w:r>
        <w:fldChar w:fldCharType="end"/>
      </w:r>
      <w:r w:rsidR="003A647F" w:rsidRPr="00E175B0">
        <w:t xml:space="preserve"> Orford, 2006</w:t>
      </w:r>
    </w:p>
    <w:p w14:paraId="26D02AD3" w14:textId="5DCEDF55" w:rsidR="003A647F" w:rsidRPr="00E175B0" w:rsidRDefault="00E175B0" w:rsidP="00E175B0">
      <w:pPr>
        <w:pStyle w:val="FootnoteText"/>
      </w:pPr>
      <w:r>
        <w:fldChar w:fldCharType="begin"/>
      </w:r>
      <w:r>
        <w:instrText xml:space="preserve"> REF source12 \h </w:instrText>
      </w:r>
      <w:r>
        <w:fldChar w:fldCharType="separate"/>
      </w:r>
      <w:r w:rsidRPr="003A647F">
        <w:rPr>
          <w:b/>
          <w:vertAlign w:val="superscript"/>
        </w:rPr>
        <w:t>12</w:t>
      </w:r>
      <w:r>
        <w:fldChar w:fldCharType="end"/>
      </w:r>
      <w:r w:rsidR="003A647F" w:rsidRPr="00E175B0">
        <w:t xml:space="preserve"> </w:t>
      </w:r>
      <w:proofErr w:type="spellStart"/>
      <w:r w:rsidR="003A647F" w:rsidRPr="00E175B0">
        <w:t>Pettinati</w:t>
      </w:r>
      <w:proofErr w:type="spellEnd"/>
      <w:r w:rsidR="003A647F" w:rsidRPr="00E175B0">
        <w:t xml:space="preserve">, Anton &amp; </w:t>
      </w:r>
      <w:proofErr w:type="spellStart"/>
      <w:r w:rsidR="003A647F" w:rsidRPr="00E175B0">
        <w:t>Willenbring</w:t>
      </w:r>
      <w:proofErr w:type="spellEnd"/>
      <w:r w:rsidR="003A647F" w:rsidRPr="00E175B0">
        <w:t>, 2006</w:t>
      </w:r>
    </w:p>
    <w:p w14:paraId="38A45D70" w14:textId="7DE64F96" w:rsidR="00EF463D" w:rsidRPr="00FB60E5" w:rsidRDefault="001D4A46" w:rsidP="00882917">
      <w:pPr>
        <w:pStyle w:val="Heading1"/>
        <w:numPr>
          <w:ilvl w:val="0"/>
          <w:numId w:val="20"/>
        </w:numPr>
      </w:pPr>
      <w:bookmarkStart w:id="81" w:name="_Toc531696241"/>
      <w:r>
        <w:lastRenderedPageBreak/>
        <w:t>S</w:t>
      </w:r>
      <w:r w:rsidR="00EF463D" w:rsidRPr="00FB60E5">
        <w:t>ystem description</w:t>
      </w:r>
      <w:bookmarkEnd w:id="80"/>
      <w:bookmarkEnd w:id="81"/>
    </w:p>
    <w:p w14:paraId="38A45D71" w14:textId="36638829" w:rsidR="005E4BA1" w:rsidRPr="00FB60E5" w:rsidRDefault="005E4BA1" w:rsidP="00FB60E5">
      <w:pPr>
        <w:ind w:left="0"/>
      </w:pPr>
      <w:r w:rsidRPr="00FB60E5">
        <w:t>This section addresses priority 1 of the overall study which was to document the current AOD treatment system in Australia. This was achieved by using a mixed methods approach which included a review of existing documents on AOD states and territories, key informant interview</w:t>
      </w:r>
      <w:r w:rsidR="005B4859" w:rsidRPr="00FB60E5">
        <w:t>s</w:t>
      </w:r>
      <w:r w:rsidRPr="00FB60E5">
        <w:t xml:space="preserve"> focusing on features, strengths and challenges for these systems, along with key features of an effective systems approach and synthesis of results </w:t>
      </w:r>
      <w:r w:rsidR="005B4859" w:rsidRPr="00FB60E5">
        <w:t>to</w:t>
      </w:r>
      <w:r w:rsidRPr="00FB60E5">
        <w:t xml:space="preserve"> identif</w:t>
      </w:r>
      <w:r w:rsidR="005B4859" w:rsidRPr="00FB60E5">
        <w:t>y</w:t>
      </w:r>
      <w:r w:rsidRPr="00FB60E5">
        <w:t xml:space="preserve"> a set o</w:t>
      </w:r>
      <w:r w:rsidR="001D4A46">
        <w:t>f key findings for Australia.</w:t>
      </w:r>
    </w:p>
    <w:p w14:paraId="38A45D72" w14:textId="177521F9" w:rsidR="00DF4F77" w:rsidRPr="00FB60E5" w:rsidRDefault="00872CA8" w:rsidP="00882917">
      <w:pPr>
        <w:pStyle w:val="Heading2"/>
        <w:numPr>
          <w:ilvl w:val="1"/>
          <w:numId w:val="9"/>
        </w:numPr>
      </w:pPr>
      <w:bookmarkStart w:id="82" w:name="_Toc398105040"/>
      <w:bookmarkStart w:id="83" w:name="_Toc531696242"/>
      <w:r w:rsidRPr="00FB60E5">
        <w:t>Method</w:t>
      </w:r>
      <w:bookmarkEnd w:id="82"/>
      <w:bookmarkEnd w:id="83"/>
    </w:p>
    <w:p w14:paraId="38A45D73" w14:textId="77777777" w:rsidR="00DF4F77" w:rsidRPr="00FB60E5" w:rsidRDefault="00DF4F77" w:rsidP="00EF4E4E">
      <w:pPr>
        <w:pStyle w:val="Heading3"/>
      </w:pPr>
      <w:r w:rsidRPr="00FB60E5">
        <w:t>Documenting current AOD prevention and treatment systems in each Australian jurisdiction</w:t>
      </w:r>
    </w:p>
    <w:p w14:paraId="38A45D74" w14:textId="77777777" w:rsidR="00D51944" w:rsidRPr="00FB60E5" w:rsidRDefault="00D51944" w:rsidP="00FB60E5">
      <w:pPr>
        <w:ind w:left="0"/>
      </w:pPr>
      <w:r w:rsidRPr="00FB60E5">
        <w:t>In order to provide a ‘snapshot’ of the AOD prevention and treatment system in each state and territory, a system synopsis was developed for each jurisdiction. Two data sources were used to develop the synopses: document review and key informant interviews.</w:t>
      </w:r>
    </w:p>
    <w:p w14:paraId="38A45D75" w14:textId="77777777" w:rsidR="00DF4F77" w:rsidRPr="00FB60E5" w:rsidRDefault="00DF4F77" w:rsidP="000A1966">
      <w:pPr>
        <w:pStyle w:val="Heading3"/>
        <w:ind w:left="720" w:hanging="720"/>
      </w:pPr>
      <w:r w:rsidRPr="00FB60E5">
        <w:t>Document review (November</w:t>
      </w:r>
      <w:r w:rsidR="009B2423" w:rsidRPr="00FB60E5">
        <w:t xml:space="preserve"> </w:t>
      </w:r>
      <w:r w:rsidRPr="00FB60E5">
        <w:t>2011 – November 2013)</w:t>
      </w:r>
    </w:p>
    <w:p w14:paraId="38A45D76" w14:textId="77777777" w:rsidR="00D51944" w:rsidRPr="00FB60E5" w:rsidRDefault="00D51944" w:rsidP="00FB60E5">
      <w:pPr>
        <w:ind w:left="0"/>
      </w:pPr>
      <w:r w:rsidRPr="00FB60E5">
        <w:t xml:space="preserve">Publicly available material regarding the functions, resources and operation of each system was sought from government departments, AOD peak bodies and other sources as relevant. Material consulted included the </w:t>
      </w:r>
      <w:r w:rsidR="002856CC" w:rsidRPr="00FB60E5">
        <w:t xml:space="preserve">Alcohol and Other Drug Treatment Services </w:t>
      </w:r>
      <w:r w:rsidRPr="00FB60E5">
        <w:t>National Minimum D</w:t>
      </w:r>
      <w:r w:rsidR="00845AC6" w:rsidRPr="00FB60E5">
        <w:t>ata</w:t>
      </w:r>
      <w:r w:rsidR="002856CC" w:rsidRPr="00FB60E5">
        <w:t xml:space="preserve"> </w:t>
      </w:r>
      <w:r w:rsidRPr="00FB60E5">
        <w:t>Set</w:t>
      </w:r>
      <w:r w:rsidR="002856CC" w:rsidRPr="00FB60E5">
        <w:t xml:space="preserve"> (</w:t>
      </w:r>
      <w:r w:rsidR="007925F3" w:rsidRPr="00FB60E5">
        <w:t>AODTS-</w:t>
      </w:r>
      <w:r w:rsidR="002856CC" w:rsidRPr="00FB60E5">
        <w:t>NMD</w:t>
      </w:r>
      <w:r w:rsidR="007925F3" w:rsidRPr="00FB60E5">
        <w:t>S</w:t>
      </w:r>
      <w:r w:rsidR="002856CC" w:rsidRPr="00FB60E5">
        <w:t>)</w:t>
      </w:r>
      <w:r w:rsidRPr="00FB60E5">
        <w:t xml:space="preserve"> </w:t>
      </w:r>
      <w:r w:rsidR="002856CC" w:rsidRPr="00FB60E5">
        <w:t>2009-10</w:t>
      </w:r>
      <w:r w:rsidR="00A33370" w:rsidRPr="00FB60E5">
        <w:footnoteReference w:id="3"/>
      </w:r>
      <w:r w:rsidR="002856CC" w:rsidRPr="00FB60E5">
        <w:t xml:space="preserve"> (AIHW, 2011) </w:t>
      </w:r>
      <w:r w:rsidRPr="00FB60E5">
        <w:t>and policy documents from State/Territory and Commonwealth Governments over the time period 2008-2013. This information was used to prepare a brief synopsis of the AOD system in each jurisdiction, with any gaps or inconsistencies in the available information noted. Synopses were structured to cover the following areas:</w:t>
      </w:r>
    </w:p>
    <w:p w14:paraId="38A45D77" w14:textId="77777777" w:rsidR="00DF4F77" w:rsidRPr="00FB60E5" w:rsidRDefault="00DF4F77" w:rsidP="00882917">
      <w:pPr>
        <w:pStyle w:val="ListParagraph"/>
        <w:numPr>
          <w:ilvl w:val="0"/>
          <w:numId w:val="7"/>
        </w:numPr>
      </w:pPr>
      <w:r w:rsidRPr="00FB60E5">
        <w:t>System values and principles</w:t>
      </w:r>
    </w:p>
    <w:p w14:paraId="38A45D78" w14:textId="77777777" w:rsidR="00DF4F77" w:rsidRPr="00FB60E5" w:rsidRDefault="00DF4F77" w:rsidP="00882917">
      <w:pPr>
        <w:pStyle w:val="ListParagraph"/>
        <w:numPr>
          <w:ilvl w:val="0"/>
          <w:numId w:val="7"/>
        </w:numPr>
      </w:pPr>
      <w:r w:rsidRPr="00FB60E5">
        <w:t>Level and source of financial investment</w:t>
      </w:r>
    </w:p>
    <w:p w14:paraId="38A45D79" w14:textId="77777777" w:rsidR="00DF4F77" w:rsidRPr="00FB60E5" w:rsidRDefault="00DF4F77" w:rsidP="00882917">
      <w:pPr>
        <w:pStyle w:val="ListParagraph"/>
        <w:numPr>
          <w:ilvl w:val="0"/>
          <w:numId w:val="7"/>
        </w:numPr>
      </w:pPr>
      <w:r w:rsidRPr="00FB60E5">
        <w:t>Estimates of met and unmet need</w:t>
      </w:r>
    </w:p>
    <w:p w14:paraId="38A45D7A" w14:textId="77777777" w:rsidR="00DF4F77" w:rsidRPr="00FB60E5" w:rsidRDefault="00DF4F77" w:rsidP="00882917">
      <w:pPr>
        <w:pStyle w:val="ListParagraph"/>
        <w:numPr>
          <w:ilvl w:val="0"/>
          <w:numId w:val="7"/>
        </w:numPr>
      </w:pPr>
      <w:r w:rsidRPr="00FB60E5">
        <w:t>Client characteristics</w:t>
      </w:r>
    </w:p>
    <w:p w14:paraId="38A45D7B" w14:textId="77777777" w:rsidR="00DF4F77" w:rsidRPr="00FB60E5" w:rsidRDefault="00DF4F77" w:rsidP="00882917">
      <w:pPr>
        <w:pStyle w:val="ListParagraph"/>
        <w:numPr>
          <w:ilvl w:val="0"/>
          <w:numId w:val="7"/>
        </w:numPr>
      </w:pPr>
      <w:r w:rsidRPr="00FB60E5">
        <w:t>Service setting</w:t>
      </w:r>
    </w:p>
    <w:p w14:paraId="38A45D7C" w14:textId="77777777" w:rsidR="00DF4F77" w:rsidRPr="00FB60E5" w:rsidRDefault="00DF4F77" w:rsidP="00882917">
      <w:pPr>
        <w:pStyle w:val="ListParagraph"/>
        <w:numPr>
          <w:ilvl w:val="0"/>
          <w:numId w:val="7"/>
        </w:numPr>
      </w:pPr>
      <w:r w:rsidRPr="00FB60E5">
        <w:t>Monitoring and accountability</w:t>
      </w:r>
    </w:p>
    <w:p w14:paraId="38A45D7D" w14:textId="77777777" w:rsidR="00DF4F77" w:rsidRPr="00FB60E5" w:rsidRDefault="00DF4F77" w:rsidP="00882917">
      <w:pPr>
        <w:pStyle w:val="ListParagraph"/>
        <w:numPr>
          <w:ilvl w:val="0"/>
          <w:numId w:val="7"/>
        </w:numPr>
      </w:pPr>
      <w:r w:rsidRPr="00FB60E5">
        <w:t>Strengths and challenges</w:t>
      </w:r>
    </w:p>
    <w:p w14:paraId="38A45D7E" w14:textId="77777777" w:rsidR="007925F3" w:rsidRPr="00FB60E5" w:rsidRDefault="007925F3" w:rsidP="00FB60E5">
      <w:pPr>
        <w:ind w:left="0"/>
      </w:pPr>
      <w:r w:rsidRPr="00FB60E5">
        <w:t xml:space="preserve">These areas were identified </w:t>
      </w:r>
      <w:r w:rsidR="005719A1" w:rsidRPr="00FB60E5">
        <w:t>from a review of the literature</w:t>
      </w:r>
      <w:r w:rsidR="00CF6710" w:rsidRPr="00FB60E5">
        <w:t xml:space="preserve"> on</w:t>
      </w:r>
      <w:r w:rsidR="005719A1" w:rsidRPr="00FB60E5">
        <w:t xml:space="preserve"> health services research</w:t>
      </w:r>
      <w:r w:rsidR="00CF6710" w:rsidRPr="00FB60E5">
        <w:t xml:space="preserve"> -</w:t>
      </w:r>
      <w:r w:rsidR="005719A1" w:rsidRPr="00FB60E5">
        <w:t xml:space="preserve"> on how systems are organised, finan</w:t>
      </w:r>
      <w:r w:rsidR="006D68E6" w:rsidRPr="00FB60E5">
        <w:t xml:space="preserve">ced, and delivered (Mays, 2003). </w:t>
      </w:r>
      <w:r w:rsidR="005719A1" w:rsidRPr="00FB60E5">
        <w:t>This area has emerged as an important means of informing how services and systems operate, by examining “the organisation, financing and delivery of public health service in communities, and the impact of these services on public health” (Mays, 2003, p. 179).</w:t>
      </w:r>
    </w:p>
    <w:p w14:paraId="38A45D80" w14:textId="77777777" w:rsidR="00DF4F77" w:rsidRPr="00FB60E5" w:rsidRDefault="00DF4F77" w:rsidP="00FB60E5">
      <w:pPr>
        <w:ind w:left="0"/>
      </w:pPr>
      <w:r w:rsidRPr="00FB60E5">
        <w:t>Draft synopses were then distributed to key informants (described below) for input and comment. In some cases, key informants provided comments and additional information prior to the face-to-face consultations.</w:t>
      </w:r>
    </w:p>
    <w:p w14:paraId="38A45D81" w14:textId="77777777" w:rsidR="00DF4F77" w:rsidRPr="00FB60E5" w:rsidRDefault="00DF4F77" w:rsidP="000A1966">
      <w:pPr>
        <w:pStyle w:val="Heading3"/>
        <w:ind w:left="720" w:hanging="720"/>
      </w:pPr>
      <w:r w:rsidRPr="00FB60E5">
        <w:lastRenderedPageBreak/>
        <w:t>Key informant interviews (January 2012 – October 2012)</w:t>
      </w:r>
    </w:p>
    <w:p w14:paraId="38A45D82" w14:textId="48F33E91" w:rsidR="00DF4F77" w:rsidRPr="00FB60E5" w:rsidRDefault="00DF4F77" w:rsidP="00FB60E5">
      <w:pPr>
        <w:ind w:left="0"/>
      </w:pPr>
      <w:r w:rsidRPr="00FB60E5">
        <w:t xml:space="preserve">Key informants from each state and territory were approached to verify the system synopsis specific to their jurisdiction. Within each state and territory, the most senior government employee with direct responsibility for AOD policy and programmes and the head of the AOD sector peak body were sent an email to explain the project and inviting them to take part in an informal consultation interview (non-respondents were followed up with a second email request and then a telephone call). These key informants nominated other participants and group interviews were held. A total of </w:t>
      </w:r>
      <w:r w:rsidR="005719A1" w:rsidRPr="00FB60E5">
        <w:t>39</w:t>
      </w:r>
      <w:r w:rsidRPr="00FB60E5">
        <w:t xml:space="preserve"> key informants were involved (ACT = 5, NSW = 3, NT = 6, QLD = </w:t>
      </w:r>
      <w:r w:rsidR="005719A1" w:rsidRPr="00FB60E5">
        <w:t>4</w:t>
      </w:r>
      <w:r w:rsidRPr="00FB60E5">
        <w:t xml:space="preserve">, SA = </w:t>
      </w:r>
      <w:r w:rsidR="005719A1" w:rsidRPr="00FB60E5">
        <w:t>4</w:t>
      </w:r>
      <w:r w:rsidR="001D4A46">
        <w:t>, TAS = 9, VIC = 3, WA = 5).</w:t>
      </w:r>
    </w:p>
    <w:p w14:paraId="38A45D83" w14:textId="77777777" w:rsidR="00DF4F77" w:rsidRPr="00FB60E5" w:rsidRDefault="00DF4F77" w:rsidP="00FB60E5">
      <w:pPr>
        <w:ind w:left="0"/>
      </w:pPr>
      <w:r w:rsidRPr="00FB60E5">
        <w:t>Each key informant was provided with the relevant draft synopsis prior to meeting with the researchers. During the consultation</w:t>
      </w:r>
      <w:r w:rsidR="005B4859" w:rsidRPr="00FB60E5">
        <w:t>,</w:t>
      </w:r>
      <w:r w:rsidRPr="00FB60E5">
        <w:t xml:space="preserve"> participants were asked to indicate which aspects of the synopsis they regard</w:t>
      </w:r>
      <w:r w:rsidR="005B4859" w:rsidRPr="00FB60E5">
        <w:t>ed</w:t>
      </w:r>
      <w:r w:rsidRPr="00FB60E5">
        <w:t xml:space="preserve"> as accurately representing the AOD system in their jurisdiction, to challenge aspects which they consider</w:t>
      </w:r>
      <w:r w:rsidR="005B4859" w:rsidRPr="00FB60E5">
        <w:t>ed</w:t>
      </w:r>
      <w:r w:rsidRPr="00FB60E5">
        <w:t xml:space="preserve"> incorrect and, where possible, to provide information to fill any gaps. Key informants were also asked to comment on the strengths and challenges of the AOD system in which they work and to identify what they consider to be the key features of an effective system. Notes were taken during the interview and the conversations were digitally recorded to assist with ensuring the accuracy of the notes.</w:t>
      </w:r>
    </w:p>
    <w:p w14:paraId="38A45D84" w14:textId="77777777" w:rsidR="00DF4F77" w:rsidRPr="00FB60E5" w:rsidRDefault="00D51944" w:rsidP="00884518">
      <w:pPr>
        <w:pStyle w:val="Heading3"/>
      </w:pPr>
      <w:r w:rsidRPr="00FB60E5">
        <w:t xml:space="preserve">Refinement of synopses </w:t>
      </w:r>
      <w:r w:rsidR="00DF4F77" w:rsidRPr="00FB60E5">
        <w:t xml:space="preserve">(June </w:t>
      </w:r>
      <w:r w:rsidRPr="00FB60E5">
        <w:t>2012 – July 2013)</w:t>
      </w:r>
    </w:p>
    <w:p w14:paraId="38A45D85" w14:textId="77777777" w:rsidR="00DF4F77" w:rsidRPr="00FB60E5" w:rsidRDefault="00DF4F77" w:rsidP="00FB60E5">
      <w:pPr>
        <w:ind w:left="0"/>
      </w:pPr>
      <w:r w:rsidRPr="00FB60E5">
        <w:t>At the conclusion of the interviews</w:t>
      </w:r>
      <w:r w:rsidR="005B4859" w:rsidRPr="00FB60E5">
        <w:t xml:space="preserve">, </w:t>
      </w:r>
      <w:r w:rsidRPr="00FB60E5">
        <w:t>each jurisdictional synopsis was refined to incorporate information obtained during the consultation process. The research team received additional documentary material from key informants before, during and after the key informant interviews. The refined synopses were sent back to the state and territory government key informants for further comment and subsequently finalised.</w:t>
      </w:r>
    </w:p>
    <w:p w14:paraId="38A45D86" w14:textId="6D658B34" w:rsidR="00D51944" w:rsidRPr="00FB60E5" w:rsidRDefault="00D51944" w:rsidP="00FB60E5">
      <w:pPr>
        <w:ind w:left="0"/>
      </w:pPr>
      <w:r w:rsidRPr="00FB60E5">
        <w:t xml:space="preserve">It is important to recognise that the document review and interviews were conducted in </w:t>
      </w:r>
      <w:r w:rsidR="00997ADB" w:rsidRPr="00FB60E5">
        <w:t>2012</w:t>
      </w:r>
      <w:r w:rsidRPr="00FB60E5">
        <w:t xml:space="preserve"> and some jurisdictions have experienced major change since that time. Further, the Commonwealth commissioned a major review of AOD treatment in Australia in July 2013 and the review has some similarities with the development of synopses as part of the Pathways Project. As a consequence, the final synopses were provided to the Commonwealth rev</w:t>
      </w:r>
      <w:r w:rsidR="00CB3D98">
        <w:t>iew team, to inform their work.</w:t>
      </w:r>
    </w:p>
    <w:p w14:paraId="38A45D87" w14:textId="77777777" w:rsidR="00DF4F77" w:rsidRPr="00FB60E5" w:rsidRDefault="00DF4F77" w:rsidP="00884518">
      <w:pPr>
        <w:pStyle w:val="Heading3"/>
      </w:pPr>
      <w:r w:rsidRPr="00FB60E5">
        <w:t>Summary of synopses across jurisdictions</w:t>
      </w:r>
    </w:p>
    <w:p w14:paraId="38A45D88" w14:textId="77777777" w:rsidR="00DF4F77" w:rsidRPr="00FB60E5" w:rsidRDefault="00DF4F77" w:rsidP="00FB60E5">
      <w:pPr>
        <w:ind w:left="0"/>
      </w:pPr>
      <w:r w:rsidRPr="00FB60E5">
        <w:t xml:space="preserve">As the synopses for each jurisdiction were lengthy, a summary version for each was developed and is included in Appendix </w:t>
      </w:r>
      <w:r w:rsidR="005719A1" w:rsidRPr="00FB60E5">
        <w:t>1</w:t>
      </w:r>
      <w:r w:rsidRPr="00FB60E5">
        <w:t xml:space="preserve">. Given the sensitivity of the material regarding the funding arrangements for the provision of AOD services in each state and territory, </w:t>
      </w:r>
      <w:r w:rsidR="00997ADB" w:rsidRPr="00FB60E5">
        <w:t xml:space="preserve">and the time elapsed since consultations, </w:t>
      </w:r>
      <w:r w:rsidRPr="00FB60E5">
        <w:t>only very broad information concerning this aspect is provided. Summary synopses across all eight jurisdictions were examined</w:t>
      </w:r>
      <w:r w:rsidR="006D68E6" w:rsidRPr="00FB60E5">
        <w:t xml:space="preserve">, </w:t>
      </w:r>
      <w:r w:rsidRPr="00FB60E5">
        <w:t>and the commonalities and differences in AOD treatment systems across Australia noted.</w:t>
      </w:r>
    </w:p>
    <w:p w14:paraId="38A45D89" w14:textId="77777777" w:rsidR="00DF4F77" w:rsidRPr="000F03C3" w:rsidRDefault="00DF4F77" w:rsidP="00882917">
      <w:pPr>
        <w:pStyle w:val="Heading2"/>
        <w:numPr>
          <w:ilvl w:val="1"/>
          <w:numId w:val="9"/>
        </w:numPr>
      </w:pPr>
      <w:bookmarkStart w:id="84" w:name="_Toc386108186"/>
      <w:bookmarkStart w:id="85" w:name="_Toc387426326"/>
      <w:bookmarkStart w:id="86" w:name="_Toc398105041"/>
      <w:bookmarkStart w:id="87" w:name="_Toc531696243"/>
      <w:r w:rsidRPr="000F03C3">
        <w:t>System values and principles</w:t>
      </w:r>
      <w:bookmarkEnd w:id="84"/>
      <w:bookmarkEnd w:id="85"/>
      <w:bookmarkEnd w:id="86"/>
      <w:bookmarkEnd w:id="87"/>
    </w:p>
    <w:p w14:paraId="38A45D8A" w14:textId="77777777" w:rsidR="00DF4F77" w:rsidRPr="00FB60E5" w:rsidRDefault="00DF4F77" w:rsidP="00FB60E5">
      <w:pPr>
        <w:ind w:left="0"/>
      </w:pPr>
      <w:r w:rsidRPr="00FB60E5">
        <w:t>Information regarding system values and principles was primarily drawn from policy documents. For most jurisdictions (ACT, NT, SA, TAS, VIC, WA), a specific overarching policy or strategy was identified which articulated the principles underpinning the AOD service system in that state or territory. Although the specific wording differed between jurisdictions, most of the policies advocated five broad themes:</w:t>
      </w:r>
    </w:p>
    <w:p w14:paraId="38A45D8B" w14:textId="77777777" w:rsidR="00DF4F77" w:rsidRPr="00FB60E5" w:rsidRDefault="00DF4F77" w:rsidP="00882917">
      <w:pPr>
        <w:pStyle w:val="ListParagraph"/>
        <w:numPr>
          <w:ilvl w:val="0"/>
          <w:numId w:val="8"/>
        </w:numPr>
      </w:pPr>
      <w:r w:rsidRPr="00FB60E5">
        <w:t>Harm minimisation/harm reduction</w:t>
      </w:r>
    </w:p>
    <w:p w14:paraId="38A45D8C" w14:textId="77777777" w:rsidR="00DF4F77" w:rsidRPr="00FB60E5" w:rsidRDefault="00DF4F77" w:rsidP="00882917">
      <w:pPr>
        <w:pStyle w:val="ListParagraph"/>
        <w:numPr>
          <w:ilvl w:val="0"/>
          <w:numId w:val="8"/>
        </w:numPr>
      </w:pPr>
      <w:r w:rsidRPr="00FB60E5">
        <w:lastRenderedPageBreak/>
        <w:t>Accessibility of services</w:t>
      </w:r>
    </w:p>
    <w:p w14:paraId="38A45D8D" w14:textId="77777777" w:rsidR="00DF4F77" w:rsidRPr="00FB60E5" w:rsidRDefault="00DF4F77" w:rsidP="00882917">
      <w:pPr>
        <w:pStyle w:val="ListParagraph"/>
        <w:numPr>
          <w:ilvl w:val="0"/>
          <w:numId w:val="8"/>
        </w:numPr>
      </w:pPr>
      <w:r w:rsidRPr="00FB60E5">
        <w:t>Client-oriented/focussed services</w:t>
      </w:r>
    </w:p>
    <w:p w14:paraId="38A45D8E" w14:textId="77777777" w:rsidR="00DF4F77" w:rsidRPr="00FB60E5" w:rsidRDefault="00DF4F77" w:rsidP="00882917">
      <w:pPr>
        <w:pStyle w:val="ListParagraph"/>
        <w:numPr>
          <w:ilvl w:val="0"/>
          <w:numId w:val="8"/>
        </w:numPr>
      </w:pPr>
      <w:r w:rsidRPr="00FB60E5">
        <w:t>Evidence-based/informed approach, best practice</w:t>
      </w:r>
    </w:p>
    <w:p w14:paraId="38A45D8F" w14:textId="77777777" w:rsidR="00DF4F77" w:rsidRPr="00FB60E5" w:rsidRDefault="00DF4F77" w:rsidP="00882917">
      <w:pPr>
        <w:pStyle w:val="ListParagraph"/>
        <w:numPr>
          <w:ilvl w:val="0"/>
          <w:numId w:val="8"/>
        </w:numPr>
      </w:pPr>
      <w:r w:rsidRPr="00FB60E5">
        <w:t>Interconnectedness both within and beyond the AOD service system</w:t>
      </w:r>
      <w:r w:rsidR="006D68E6" w:rsidRPr="00FB60E5">
        <w:t>;</w:t>
      </w:r>
      <w:r w:rsidRPr="00FB60E5">
        <w:t xml:space="preserve"> e.g.</w:t>
      </w:r>
      <w:r w:rsidR="006D68E6" w:rsidRPr="00FB60E5">
        <w:t>,</w:t>
      </w:r>
      <w:r w:rsidRPr="00FB60E5">
        <w:t xml:space="preserve"> partnerships, collaboration</w:t>
      </w:r>
    </w:p>
    <w:p w14:paraId="38A45D90" w14:textId="4C0A8903" w:rsidR="00DF4F77" w:rsidRPr="00FB60E5" w:rsidRDefault="00DF4F77" w:rsidP="00FB60E5">
      <w:pPr>
        <w:ind w:left="0"/>
      </w:pPr>
      <w:r w:rsidRPr="00FB60E5">
        <w:t>Other values and principles identified in some but not most of the state and territory AOD policy documents related to the quality of service provision/workforce, emphasis on prevention and early intervention, comprehensiveness (across demand reduction, supply reduction and harm reduction), recognition of broader social factors, consistency of approach across the service system,</w:t>
      </w:r>
      <w:r w:rsidR="002C27A8">
        <w:t xml:space="preserve"> </w:t>
      </w:r>
      <w:r w:rsidRPr="00FB60E5">
        <w:t>sustainability, responsiveness and governance.</w:t>
      </w:r>
    </w:p>
    <w:p w14:paraId="38A45D91" w14:textId="77777777" w:rsidR="00D51944" w:rsidRPr="00FB60E5" w:rsidRDefault="00D51944" w:rsidP="00FB60E5">
      <w:pPr>
        <w:ind w:left="0"/>
      </w:pPr>
      <w:bookmarkStart w:id="88" w:name="_Toc386108187"/>
      <w:bookmarkStart w:id="89" w:name="_Toc387426327"/>
      <w:r w:rsidRPr="00FB60E5">
        <w:t>At the time of data collection, two jurisdictions did not have a specific government statement of system values or principles for the AOD sector (NSW, QLD). However, in each of these states there were documents outlining more generic, health system-wide values.</w:t>
      </w:r>
    </w:p>
    <w:p w14:paraId="38A45D92" w14:textId="77777777" w:rsidR="00DF4F77" w:rsidRPr="00FB60E5" w:rsidRDefault="00DF4F77" w:rsidP="00884518">
      <w:pPr>
        <w:pStyle w:val="Heading3"/>
      </w:pPr>
      <w:r w:rsidRPr="00FB60E5">
        <w:t>Level and source of financial investment</w:t>
      </w:r>
      <w:bookmarkEnd w:id="88"/>
      <w:bookmarkEnd w:id="89"/>
    </w:p>
    <w:p w14:paraId="2694378C" w14:textId="77777777" w:rsidR="002C27A8" w:rsidRDefault="00D51944" w:rsidP="00FB60E5">
      <w:pPr>
        <w:ind w:left="0"/>
      </w:pPr>
      <w:r w:rsidRPr="00FB60E5">
        <w:t>Both the Commonwealth and State/Territory governments invest in AOD services in every jurisdiction, although the funding ratios and totals differ by location</w:t>
      </w:r>
      <w:r w:rsidR="002C27A8">
        <w:t>.</w:t>
      </w:r>
    </w:p>
    <w:p w14:paraId="38A45D94" w14:textId="64803C3F" w:rsidR="00DF4F77" w:rsidRPr="00FB60E5" w:rsidRDefault="00DF4F77" w:rsidP="00884518">
      <w:pPr>
        <w:pStyle w:val="Heading3"/>
      </w:pPr>
      <w:bookmarkStart w:id="90" w:name="_Toc386108188"/>
      <w:bookmarkStart w:id="91" w:name="_Toc387426328"/>
      <w:r w:rsidRPr="00FB60E5">
        <w:t>Estimates of met and unmet need</w:t>
      </w:r>
      <w:bookmarkEnd w:id="90"/>
      <w:bookmarkEnd w:id="91"/>
    </w:p>
    <w:p w14:paraId="38A45D95" w14:textId="5DCE9CA7" w:rsidR="00DF4F77" w:rsidRPr="00FB60E5" w:rsidRDefault="00DF4F77" w:rsidP="00FB60E5">
      <w:pPr>
        <w:ind w:left="0"/>
      </w:pPr>
      <w:r w:rsidRPr="00FB60E5">
        <w:t>The document review did not yield a great deal of information regarding the extent to which current service provision in each state and territory met underlying need. This issue, including how to estimate demand, is now being extensively canvassed under the separate Commonwealth review of Australian AOD treatment system(s)</w:t>
      </w:r>
      <w:r w:rsidR="00997ADB" w:rsidRPr="00FB60E5">
        <w:t xml:space="preserve"> led by the Drug Policy Modelling Program (DPMP) team at the University of NSW (who have been provided with the Patient Pathways synopses)</w:t>
      </w:r>
      <w:r w:rsidRPr="00FB60E5">
        <w:t>. However, data were available from the Alcohol and Other Drug Treatment Services National Minimum Data Set (AODTS NMDS) for 2009-10</w:t>
      </w:r>
      <w:r w:rsidR="00A10181" w:rsidRPr="00FB60E5">
        <w:footnoteReference w:id="4"/>
      </w:r>
      <w:r w:rsidRPr="00FB60E5">
        <w:t xml:space="preserve"> regarding treatment episodes and type (although some key informants questioned the accuracy of this in some jurisdictions). </w:t>
      </w:r>
      <w:r w:rsidR="00D51944" w:rsidRPr="00FB60E5">
        <w:t>This data set summarises data for publicly funded alcohol and other drug services in each state and territory</w:t>
      </w:r>
      <w:r w:rsidR="00A10181" w:rsidRPr="00FB60E5">
        <w:t>, though may not include AOD services such as specialist prescribing of medically assisted treatment (e.g. methadone maintenance provided by GPs</w:t>
      </w:r>
      <w:r w:rsidR="005B4859" w:rsidRPr="00FB60E5">
        <w:t>)</w:t>
      </w:r>
      <w:r w:rsidR="00A10181" w:rsidRPr="00FB60E5">
        <w:t xml:space="preserve">. </w:t>
      </w:r>
      <w:r w:rsidR="00D51944" w:rsidRPr="00FB60E5">
        <w:t xml:space="preserve">The number of treatment episodes delivered in each state and territory is shown in </w:t>
      </w:r>
      <w:r w:rsidR="001B3CBD">
        <w:fldChar w:fldCharType="begin"/>
      </w:r>
      <w:r w:rsidR="001B3CBD">
        <w:instrText xml:space="preserve"> REF _Ref531191662 \h </w:instrText>
      </w:r>
      <w:r w:rsidR="001B3CBD">
        <w:fldChar w:fldCharType="separate"/>
      </w:r>
      <w:r w:rsidR="001B3CBD">
        <w:t xml:space="preserve">Table </w:t>
      </w:r>
      <w:r w:rsidR="001B3CBD">
        <w:rPr>
          <w:noProof/>
        </w:rPr>
        <w:t>2</w:t>
      </w:r>
      <w:r w:rsidR="001B3CBD">
        <w:t>.</w:t>
      </w:r>
      <w:r w:rsidR="001B3CBD">
        <w:rPr>
          <w:noProof/>
        </w:rPr>
        <w:t>1</w:t>
      </w:r>
      <w:r w:rsidR="001B3CBD">
        <w:fldChar w:fldCharType="end"/>
      </w:r>
      <w:r w:rsidR="00D51944" w:rsidRPr="00FB60E5">
        <w:t>. As would be expected, jurisdictions with larger populations recorded more treatment episodes than those with smaller populations.</w:t>
      </w:r>
    </w:p>
    <w:p w14:paraId="38A45D96" w14:textId="60CC7F96" w:rsidR="00DF4F77" w:rsidRPr="00FB60E5" w:rsidRDefault="00DF4F77" w:rsidP="00FB60E5">
      <w:pPr>
        <w:ind w:left="0"/>
      </w:pPr>
      <w:r w:rsidRPr="00FB60E5">
        <w:t xml:space="preserve">The proportion of treatment episodes by treatment type for each state and territory is shown in </w:t>
      </w:r>
      <w:r w:rsidR="006E247E">
        <w:fldChar w:fldCharType="begin"/>
      </w:r>
      <w:r w:rsidR="006E247E">
        <w:instrText xml:space="preserve"> REF _Ref531191662 \h </w:instrText>
      </w:r>
      <w:r w:rsidR="006E247E">
        <w:fldChar w:fldCharType="separate"/>
      </w:r>
      <w:r w:rsidR="006E247E">
        <w:t xml:space="preserve">Table </w:t>
      </w:r>
      <w:r w:rsidR="006E247E">
        <w:rPr>
          <w:noProof/>
        </w:rPr>
        <w:t>2</w:t>
      </w:r>
      <w:r w:rsidR="006E247E">
        <w:t>.</w:t>
      </w:r>
      <w:r w:rsidR="006E247E">
        <w:rPr>
          <w:noProof/>
        </w:rPr>
        <w:t>1</w:t>
      </w:r>
      <w:r w:rsidR="006E247E">
        <w:fldChar w:fldCharType="end"/>
      </w:r>
      <w:r w:rsidRPr="00FB60E5">
        <w:t xml:space="preserve"> below. </w:t>
      </w:r>
      <w:r w:rsidR="000F56EE" w:rsidRPr="00FB60E5">
        <w:t>Within each state, the top three treatment types are shaded blue (shading graded with most common darkest and third most common lightest). Although there is considerable variation between jurisdictions in the proportion in each treatment type, counselling is one of the more common treatment types across the country, followed by withdrawal and assessment. QLD and TAS are notable for their emphasis on education interventions.</w:t>
      </w:r>
    </w:p>
    <w:p w14:paraId="38A45D97" w14:textId="1F15F698" w:rsidR="00317CA2" w:rsidRPr="00FB60E5" w:rsidRDefault="00882917" w:rsidP="00882917">
      <w:pPr>
        <w:pStyle w:val="Caption"/>
      </w:pPr>
      <w:bookmarkStart w:id="92" w:name="_Ref531191662"/>
      <w:bookmarkStart w:id="93" w:name="_Toc388374616"/>
      <w:bookmarkStart w:id="94" w:name="_Toc531625774"/>
      <w:proofErr w:type="gramStart"/>
      <w:r>
        <w:t xml:space="preserve">Table </w:t>
      </w:r>
      <w:r w:rsidR="00552239">
        <w:fldChar w:fldCharType="begin"/>
      </w:r>
      <w:r w:rsidR="00552239">
        <w:instrText xml:space="preserve"> STYLEREF 1 \s </w:instrText>
      </w:r>
      <w:r w:rsidR="00552239">
        <w:fldChar w:fldCharType="separate"/>
      </w:r>
      <w:r w:rsidR="00552239">
        <w:rPr>
          <w:noProof/>
        </w:rPr>
        <w:t>2</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w:t>
      </w:r>
      <w:r w:rsidR="00552239">
        <w:fldChar w:fldCharType="end"/>
      </w:r>
      <w:bookmarkEnd w:id="92"/>
      <w:r w:rsidR="006244F5" w:rsidRPr="00FB60E5">
        <w:t xml:space="preserve"> </w:t>
      </w:r>
      <w:r w:rsidR="00317CA2" w:rsidRPr="00FB60E5">
        <w:t>Proportion of treatment episodes by treatment type and jurisdiction</w:t>
      </w:r>
      <w:bookmarkEnd w:id="93"/>
      <w:bookmarkEnd w:id="94"/>
    </w:p>
    <w:tbl>
      <w:tblPr>
        <w:tblStyle w:val="LightList-Accent1"/>
        <w:tblW w:w="9277" w:type="dxa"/>
        <w:tblLook w:val="04A0" w:firstRow="1" w:lastRow="0" w:firstColumn="1" w:lastColumn="0" w:noHBand="0" w:noVBand="1"/>
        <w:tblDescription w:val="Table 2.1 Proportion of treatment episodes by treatment type and jurisdiction"/>
      </w:tblPr>
      <w:tblGrid>
        <w:gridCol w:w="2495"/>
        <w:gridCol w:w="862"/>
        <w:gridCol w:w="862"/>
        <w:gridCol w:w="843"/>
        <w:gridCol w:w="843"/>
        <w:gridCol w:w="843"/>
        <w:gridCol w:w="843"/>
        <w:gridCol w:w="843"/>
        <w:gridCol w:w="843"/>
      </w:tblGrid>
      <w:tr w:rsidR="00B47369" w:rsidRPr="00B47369" w14:paraId="38A45DA1" w14:textId="77777777" w:rsidTr="00822F39">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495" w:type="dxa"/>
          </w:tcPr>
          <w:p w14:paraId="38A45D98" w14:textId="77777777" w:rsidR="00317CA2" w:rsidRPr="00B47369" w:rsidRDefault="00317CA2" w:rsidP="00B47369"/>
        </w:tc>
        <w:tc>
          <w:tcPr>
            <w:tcW w:w="862" w:type="dxa"/>
          </w:tcPr>
          <w:p w14:paraId="38A45D99"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ACT</w:t>
            </w:r>
          </w:p>
        </w:tc>
        <w:tc>
          <w:tcPr>
            <w:tcW w:w="862" w:type="dxa"/>
            <w:hideMark/>
          </w:tcPr>
          <w:p w14:paraId="38A45D9A"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NSW</w:t>
            </w:r>
          </w:p>
        </w:tc>
        <w:tc>
          <w:tcPr>
            <w:tcW w:w="843" w:type="dxa"/>
          </w:tcPr>
          <w:p w14:paraId="38A45D9B"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NT</w:t>
            </w:r>
          </w:p>
        </w:tc>
        <w:tc>
          <w:tcPr>
            <w:tcW w:w="843" w:type="dxa"/>
          </w:tcPr>
          <w:p w14:paraId="38A45D9C"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QLD</w:t>
            </w:r>
          </w:p>
        </w:tc>
        <w:tc>
          <w:tcPr>
            <w:tcW w:w="843" w:type="dxa"/>
          </w:tcPr>
          <w:p w14:paraId="38A45D9D"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SA</w:t>
            </w:r>
          </w:p>
        </w:tc>
        <w:tc>
          <w:tcPr>
            <w:tcW w:w="843" w:type="dxa"/>
          </w:tcPr>
          <w:p w14:paraId="38A45D9E"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TAS</w:t>
            </w:r>
          </w:p>
        </w:tc>
        <w:tc>
          <w:tcPr>
            <w:tcW w:w="843" w:type="dxa"/>
            <w:hideMark/>
          </w:tcPr>
          <w:p w14:paraId="38A45D9F"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VIC</w:t>
            </w:r>
          </w:p>
        </w:tc>
        <w:tc>
          <w:tcPr>
            <w:tcW w:w="843" w:type="dxa"/>
            <w:hideMark/>
          </w:tcPr>
          <w:p w14:paraId="38A45DA0" w14:textId="77777777" w:rsidR="00317CA2" w:rsidRPr="00B47369" w:rsidRDefault="00317CA2" w:rsidP="00B47369">
            <w:pPr>
              <w:cnfStyle w:val="100000000000" w:firstRow="1" w:lastRow="0" w:firstColumn="0" w:lastColumn="0" w:oddVBand="0" w:evenVBand="0" w:oddHBand="0" w:evenHBand="0" w:firstRowFirstColumn="0" w:firstRowLastColumn="0" w:lastRowFirstColumn="0" w:lastRowLastColumn="0"/>
            </w:pPr>
            <w:r w:rsidRPr="00B47369">
              <w:t>WA</w:t>
            </w:r>
          </w:p>
        </w:tc>
      </w:tr>
      <w:tr w:rsidR="00317CA2" w:rsidRPr="00B47369" w14:paraId="38A45DAB" w14:textId="77777777" w:rsidTr="00B4736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A2" w14:textId="77777777" w:rsidR="00317CA2" w:rsidRPr="00214785" w:rsidRDefault="00317CA2" w:rsidP="00AF6D9B">
            <w:pPr>
              <w:pStyle w:val="tabletext"/>
              <w:rPr>
                <w:b w:val="0"/>
              </w:rPr>
            </w:pPr>
            <w:r w:rsidRPr="00214785">
              <w:rPr>
                <w:b w:val="0"/>
              </w:rPr>
              <w:lastRenderedPageBreak/>
              <w:t>Withdrawal</w:t>
            </w:r>
          </w:p>
        </w:tc>
        <w:tc>
          <w:tcPr>
            <w:tcW w:w="862" w:type="dxa"/>
          </w:tcPr>
          <w:p w14:paraId="38A45DA3"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20.7</w:t>
            </w:r>
          </w:p>
        </w:tc>
        <w:tc>
          <w:tcPr>
            <w:tcW w:w="862" w:type="dxa"/>
            <w:hideMark/>
          </w:tcPr>
          <w:p w14:paraId="38A45DA4"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19.8</w:t>
            </w:r>
          </w:p>
        </w:tc>
        <w:tc>
          <w:tcPr>
            <w:tcW w:w="843" w:type="dxa"/>
          </w:tcPr>
          <w:p w14:paraId="38A45DA5"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7.3</w:t>
            </w:r>
          </w:p>
        </w:tc>
        <w:tc>
          <w:tcPr>
            <w:tcW w:w="843" w:type="dxa"/>
          </w:tcPr>
          <w:p w14:paraId="38A45DA6"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5.5</w:t>
            </w:r>
          </w:p>
        </w:tc>
        <w:tc>
          <w:tcPr>
            <w:tcW w:w="843" w:type="dxa"/>
          </w:tcPr>
          <w:p w14:paraId="38A45DA7"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18.8</w:t>
            </w:r>
          </w:p>
        </w:tc>
        <w:tc>
          <w:tcPr>
            <w:tcW w:w="843" w:type="dxa"/>
          </w:tcPr>
          <w:p w14:paraId="38A45DA8"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1.0</w:t>
            </w:r>
          </w:p>
        </w:tc>
        <w:tc>
          <w:tcPr>
            <w:tcW w:w="843" w:type="dxa"/>
            <w:hideMark/>
          </w:tcPr>
          <w:p w14:paraId="38A45DA9"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19.3</w:t>
            </w:r>
          </w:p>
        </w:tc>
        <w:tc>
          <w:tcPr>
            <w:tcW w:w="843" w:type="dxa"/>
            <w:hideMark/>
          </w:tcPr>
          <w:p w14:paraId="38A45DAA"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8.4</w:t>
            </w:r>
          </w:p>
        </w:tc>
      </w:tr>
      <w:tr w:rsidR="00317CA2" w:rsidRPr="00B47369" w14:paraId="38A45DB5" w14:textId="77777777" w:rsidTr="00B47369">
        <w:trPr>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AC" w14:textId="77777777" w:rsidR="00317CA2" w:rsidRPr="00214785" w:rsidRDefault="00317CA2" w:rsidP="00AF6D9B">
            <w:pPr>
              <w:pStyle w:val="tabletext"/>
              <w:rPr>
                <w:b w:val="0"/>
              </w:rPr>
            </w:pPr>
            <w:r w:rsidRPr="00214785">
              <w:rPr>
                <w:b w:val="0"/>
              </w:rPr>
              <w:t>Counselling</w:t>
            </w:r>
          </w:p>
        </w:tc>
        <w:tc>
          <w:tcPr>
            <w:tcW w:w="862" w:type="dxa"/>
          </w:tcPr>
          <w:p w14:paraId="38A45DAD"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29.9</w:t>
            </w:r>
          </w:p>
        </w:tc>
        <w:tc>
          <w:tcPr>
            <w:tcW w:w="862" w:type="dxa"/>
            <w:hideMark/>
          </w:tcPr>
          <w:p w14:paraId="38A45DAE"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34.1</w:t>
            </w:r>
          </w:p>
        </w:tc>
        <w:tc>
          <w:tcPr>
            <w:tcW w:w="843" w:type="dxa"/>
          </w:tcPr>
          <w:p w14:paraId="38A45DAF"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21.4</w:t>
            </w:r>
          </w:p>
        </w:tc>
        <w:tc>
          <w:tcPr>
            <w:tcW w:w="843" w:type="dxa"/>
          </w:tcPr>
          <w:p w14:paraId="38A45DB0"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27.8</w:t>
            </w:r>
          </w:p>
        </w:tc>
        <w:tc>
          <w:tcPr>
            <w:tcW w:w="843" w:type="dxa"/>
          </w:tcPr>
          <w:p w14:paraId="38A45DB1"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27.1</w:t>
            </w:r>
          </w:p>
        </w:tc>
        <w:tc>
          <w:tcPr>
            <w:tcW w:w="843" w:type="dxa"/>
          </w:tcPr>
          <w:p w14:paraId="38A45DB2"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50.3</w:t>
            </w:r>
          </w:p>
        </w:tc>
        <w:tc>
          <w:tcPr>
            <w:tcW w:w="843" w:type="dxa"/>
            <w:hideMark/>
          </w:tcPr>
          <w:p w14:paraId="38A45DB3"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50.7</w:t>
            </w:r>
          </w:p>
        </w:tc>
        <w:tc>
          <w:tcPr>
            <w:tcW w:w="843" w:type="dxa"/>
            <w:hideMark/>
          </w:tcPr>
          <w:p w14:paraId="38A45DB4"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62.9</w:t>
            </w:r>
          </w:p>
        </w:tc>
      </w:tr>
      <w:tr w:rsidR="00317CA2" w:rsidRPr="00B47369" w14:paraId="38A45DBF" w14:textId="77777777" w:rsidTr="00B4736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B6" w14:textId="77777777" w:rsidR="00317CA2" w:rsidRPr="00214785" w:rsidRDefault="00317CA2" w:rsidP="00AF6D9B">
            <w:pPr>
              <w:pStyle w:val="tabletext"/>
              <w:rPr>
                <w:b w:val="0"/>
              </w:rPr>
            </w:pPr>
            <w:r w:rsidRPr="00214785">
              <w:rPr>
                <w:b w:val="0"/>
              </w:rPr>
              <w:t>Rehabilitation</w:t>
            </w:r>
          </w:p>
        </w:tc>
        <w:tc>
          <w:tcPr>
            <w:tcW w:w="862" w:type="dxa"/>
          </w:tcPr>
          <w:p w14:paraId="38A45DB7"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6.7</w:t>
            </w:r>
          </w:p>
        </w:tc>
        <w:tc>
          <w:tcPr>
            <w:tcW w:w="862" w:type="dxa"/>
            <w:hideMark/>
          </w:tcPr>
          <w:p w14:paraId="38A45DB8"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6.3</w:t>
            </w:r>
          </w:p>
        </w:tc>
        <w:tc>
          <w:tcPr>
            <w:tcW w:w="843" w:type="dxa"/>
          </w:tcPr>
          <w:p w14:paraId="38A45DB9"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16.1</w:t>
            </w:r>
          </w:p>
        </w:tc>
        <w:tc>
          <w:tcPr>
            <w:tcW w:w="843" w:type="dxa"/>
          </w:tcPr>
          <w:p w14:paraId="38A45DBA"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1.9</w:t>
            </w:r>
          </w:p>
        </w:tc>
        <w:tc>
          <w:tcPr>
            <w:tcW w:w="843" w:type="dxa"/>
          </w:tcPr>
          <w:p w14:paraId="38A45DBB"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11.4</w:t>
            </w:r>
          </w:p>
        </w:tc>
        <w:tc>
          <w:tcPr>
            <w:tcW w:w="843" w:type="dxa"/>
          </w:tcPr>
          <w:p w14:paraId="38A45DBC"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7.4</w:t>
            </w:r>
          </w:p>
        </w:tc>
        <w:tc>
          <w:tcPr>
            <w:tcW w:w="843" w:type="dxa"/>
            <w:hideMark/>
          </w:tcPr>
          <w:p w14:paraId="38A45DBD"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3.4</w:t>
            </w:r>
          </w:p>
        </w:tc>
        <w:tc>
          <w:tcPr>
            <w:tcW w:w="843" w:type="dxa"/>
            <w:hideMark/>
          </w:tcPr>
          <w:p w14:paraId="38A45DBE"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6.3</w:t>
            </w:r>
          </w:p>
        </w:tc>
      </w:tr>
      <w:tr w:rsidR="00317CA2" w:rsidRPr="00B47369" w14:paraId="38A45DC9" w14:textId="77777777" w:rsidTr="00B47369">
        <w:trPr>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C0" w14:textId="77777777" w:rsidR="00317CA2" w:rsidRPr="00214785" w:rsidRDefault="00317CA2" w:rsidP="00AF6D9B">
            <w:pPr>
              <w:pStyle w:val="tabletext"/>
              <w:rPr>
                <w:b w:val="0"/>
              </w:rPr>
            </w:pPr>
            <w:r w:rsidRPr="00214785">
              <w:rPr>
                <w:b w:val="0"/>
              </w:rPr>
              <w:t>Case management only</w:t>
            </w:r>
          </w:p>
        </w:tc>
        <w:tc>
          <w:tcPr>
            <w:tcW w:w="862" w:type="dxa"/>
          </w:tcPr>
          <w:p w14:paraId="38A45DC1"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12.9</w:t>
            </w:r>
          </w:p>
        </w:tc>
        <w:tc>
          <w:tcPr>
            <w:tcW w:w="862" w:type="dxa"/>
            <w:hideMark/>
          </w:tcPr>
          <w:p w14:paraId="38A45DC2"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9.9</w:t>
            </w:r>
          </w:p>
        </w:tc>
        <w:tc>
          <w:tcPr>
            <w:tcW w:w="843" w:type="dxa"/>
          </w:tcPr>
          <w:p w14:paraId="38A45DC3"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1.6</w:t>
            </w:r>
          </w:p>
        </w:tc>
        <w:tc>
          <w:tcPr>
            <w:tcW w:w="843" w:type="dxa"/>
          </w:tcPr>
          <w:p w14:paraId="38A45DC4"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3.8</w:t>
            </w:r>
          </w:p>
        </w:tc>
        <w:tc>
          <w:tcPr>
            <w:tcW w:w="843" w:type="dxa"/>
          </w:tcPr>
          <w:p w14:paraId="38A45DC5"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2.8</w:t>
            </w:r>
          </w:p>
        </w:tc>
        <w:tc>
          <w:tcPr>
            <w:tcW w:w="843" w:type="dxa"/>
          </w:tcPr>
          <w:p w14:paraId="38A45DC6"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0.8</w:t>
            </w:r>
          </w:p>
        </w:tc>
        <w:tc>
          <w:tcPr>
            <w:tcW w:w="843" w:type="dxa"/>
            <w:hideMark/>
          </w:tcPr>
          <w:p w14:paraId="38A45DC7"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12.9</w:t>
            </w:r>
          </w:p>
        </w:tc>
        <w:tc>
          <w:tcPr>
            <w:tcW w:w="843" w:type="dxa"/>
            <w:hideMark/>
          </w:tcPr>
          <w:p w14:paraId="38A45DC8"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4.8</w:t>
            </w:r>
          </w:p>
        </w:tc>
      </w:tr>
      <w:tr w:rsidR="00317CA2" w:rsidRPr="00B47369" w14:paraId="38A45DD3" w14:textId="77777777" w:rsidTr="00B4736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CA" w14:textId="77777777" w:rsidR="00317CA2" w:rsidRPr="00214785" w:rsidRDefault="00317CA2" w:rsidP="00AF6D9B">
            <w:pPr>
              <w:pStyle w:val="tabletext"/>
              <w:rPr>
                <w:b w:val="0"/>
              </w:rPr>
            </w:pPr>
            <w:r w:rsidRPr="00214785">
              <w:rPr>
                <w:b w:val="0"/>
              </w:rPr>
              <w:t xml:space="preserve">Information/education </w:t>
            </w:r>
          </w:p>
        </w:tc>
        <w:tc>
          <w:tcPr>
            <w:tcW w:w="862" w:type="dxa"/>
          </w:tcPr>
          <w:p w14:paraId="38A45DCB"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10.9</w:t>
            </w:r>
          </w:p>
        </w:tc>
        <w:tc>
          <w:tcPr>
            <w:tcW w:w="862" w:type="dxa"/>
            <w:hideMark/>
          </w:tcPr>
          <w:p w14:paraId="38A45DCC"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1.2</w:t>
            </w:r>
          </w:p>
        </w:tc>
        <w:tc>
          <w:tcPr>
            <w:tcW w:w="843" w:type="dxa"/>
          </w:tcPr>
          <w:p w14:paraId="38A45DCD"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5.2</w:t>
            </w:r>
          </w:p>
        </w:tc>
        <w:tc>
          <w:tcPr>
            <w:tcW w:w="843" w:type="dxa"/>
          </w:tcPr>
          <w:p w14:paraId="38A45DCE"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41.7</w:t>
            </w:r>
          </w:p>
        </w:tc>
        <w:tc>
          <w:tcPr>
            <w:tcW w:w="843" w:type="dxa"/>
          </w:tcPr>
          <w:p w14:paraId="38A45DCF"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7.3</w:t>
            </w:r>
          </w:p>
        </w:tc>
        <w:tc>
          <w:tcPr>
            <w:tcW w:w="843" w:type="dxa"/>
          </w:tcPr>
          <w:p w14:paraId="38A45DD0"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30.8</w:t>
            </w:r>
          </w:p>
        </w:tc>
        <w:tc>
          <w:tcPr>
            <w:tcW w:w="843" w:type="dxa"/>
            <w:hideMark/>
          </w:tcPr>
          <w:p w14:paraId="38A45DD1"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0.7</w:t>
            </w:r>
          </w:p>
        </w:tc>
        <w:tc>
          <w:tcPr>
            <w:tcW w:w="843" w:type="dxa"/>
            <w:hideMark/>
          </w:tcPr>
          <w:p w14:paraId="38A45DD2"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5.6</w:t>
            </w:r>
          </w:p>
        </w:tc>
      </w:tr>
      <w:tr w:rsidR="00317CA2" w:rsidRPr="00B47369" w14:paraId="38A45DDD" w14:textId="77777777" w:rsidTr="00B47369">
        <w:trPr>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D4" w14:textId="77777777" w:rsidR="00317CA2" w:rsidRPr="00214785" w:rsidRDefault="00317CA2" w:rsidP="00AF6D9B">
            <w:pPr>
              <w:pStyle w:val="tabletext"/>
              <w:rPr>
                <w:b w:val="0"/>
              </w:rPr>
            </w:pPr>
            <w:r w:rsidRPr="00214785">
              <w:rPr>
                <w:b w:val="0"/>
              </w:rPr>
              <w:t>Assessment only</w:t>
            </w:r>
          </w:p>
        </w:tc>
        <w:tc>
          <w:tcPr>
            <w:tcW w:w="862" w:type="dxa"/>
          </w:tcPr>
          <w:p w14:paraId="38A45DD5"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13.1</w:t>
            </w:r>
          </w:p>
        </w:tc>
        <w:tc>
          <w:tcPr>
            <w:tcW w:w="862" w:type="dxa"/>
            <w:hideMark/>
          </w:tcPr>
          <w:p w14:paraId="38A45DD6"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15.5</w:t>
            </w:r>
          </w:p>
        </w:tc>
        <w:tc>
          <w:tcPr>
            <w:tcW w:w="843" w:type="dxa"/>
          </w:tcPr>
          <w:p w14:paraId="38A45DD7"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38.6</w:t>
            </w:r>
          </w:p>
        </w:tc>
        <w:tc>
          <w:tcPr>
            <w:tcW w:w="843" w:type="dxa"/>
          </w:tcPr>
          <w:p w14:paraId="38A45DD8"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17.3</w:t>
            </w:r>
          </w:p>
        </w:tc>
        <w:tc>
          <w:tcPr>
            <w:tcW w:w="843" w:type="dxa"/>
          </w:tcPr>
          <w:p w14:paraId="38A45DD9"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25.6</w:t>
            </w:r>
          </w:p>
        </w:tc>
        <w:tc>
          <w:tcPr>
            <w:tcW w:w="843" w:type="dxa"/>
          </w:tcPr>
          <w:p w14:paraId="38A45DDA"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5.1</w:t>
            </w:r>
          </w:p>
        </w:tc>
        <w:tc>
          <w:tcPr>
            <w:tcW w:w="843" w:type="dxa"/>
            <w:hideMark/>
          </w:tcPr>
          <w:p w14:paraId="38A45DDB"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10.0</w:t>
            </w:r>
          </w:p>
        </w:tc>
        <w:tc>
          <w:tcPr>
            <w:tcW w:w="843" w:type="dxa"/>
            <w:hideMark/>
          </w:tcPr>
          <w:p w14:paraId="38A45DDC"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4.9</w:t>
            </w:r>
          </w:p>
        </w:tc>
      </w:tr>
      <w:tr w:rsidR="00317CA2" w:rsidRPr="00B47369" w14:paraId="38A45DE7" w14:textId="77777777" w:rsidTr="00B4736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495" w:type="dxa"/>
            <w:hideMark/>
          </w:tcPr>
          <w:p w14:paraId="38A45DDE" w14:textId="77777777" w:rsidR="00317CA2" w:rsidRPr="00214785" w:rsidRDefault="00317CA2" w:rsidP="00AF6D9B">
            <w:pPr>
              <w:pStyle w:val="tabletext"/>
              <w:rPr>
                <w:b w:val="0"/>
              </w:rPr>
            </w:pPr>
            <w:r w:rsidRPr="00214785">
              <w:rPr>
                <w:b w:val="0"/>
              </w:rPr>
              <w:t>Other/pharmacotherapy</w:t>
            </w:r>
          </w:p>
        </w:tc>
        <w:tc>
          <w:tcPr>
            <w:tcW w:w="862" w:type="dxa"/>
          </w:tcPr>
          <w:p w14:paraId="38A45DDF"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5.9</w:t>
            </w:r>
          </w:p>
        </w:tc>
        <w:tc>
          <w:tcPr>
            <w:tcW w:w="862" w:type="dxa"/>
            <w:hideMark/>
          </w:tcPr>
          <w:p w14:paraId="38A45DE0"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13.2</w:t>
            </w:r>
          </w:p>
        </w:tc>
        <w:tc>
          <w:tcPr>
            <w:tcW w:w="843" w:type="dxa"/>
          </w:tcPr>
          <w:p w14:paraId="38A45DE1"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9.9</w:t>
            </w:r>
          </w:p>
        </w:tc>
        <w:tc>
          <w:tcPr>
            <w:tcW w:w="843" w:type="dxa"/>
          </w:tcPr>
          <w:p w14:paraId="38A45DE2"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2.1</w:t>
            </w:r>
          </w:p>
        </w:tc>
        <w:tc>
          <w:tcPr>
            <w:tcW w:w="843" w:type="dxa"/>
          </w:tcPr>
          <w:p w14:paraId="38A45DE3"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7.0</w:t>
            </w:r>
          </w:p>
        </w:tc>
        <w:tc>
          <w:tcPr>
            <w:tcW w:w="843" w:type="dxa"/>
          </w:tcPr>
          <w:p w14:paraId="38A45DE4"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4.6</w:t>
            </w:r>
          </w:p>
        </w:tc>
        <w:tc>
          <w:tcPr>
            <w:tcW w:w="843" w:type="dxa"/>
            <w:hideMark/>
          </w:tcPr>
          <w:p w14:paraId="38A45DE5"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3.0</w:t>
            </w:r>
          </w:p>
        </w:tc>
        <w:tc>
          <w:tcPr>
            <w:tcW w:w="843" w:type="dxa"/>
            <w:hideMark/>
          </w:tcPr>
          <w:p w14:paraId="38A45DE6" w14:textId="77777777" w:rsidR="00317CA2" w:rsidRPr="00B47369" w:rsidRDefault="00317CA2" w:rsidP="00AF6D9B">
            <w:pPr>
              <w:pStyle w:val="tabletext"/>
              <w:cnfStyle w:val="000000100000" w:firstRow="0" w:lastRow="0" w:firstColumn="0" w:lastColumn="0" w:oddVBand="0" w:evenVBand="0" w:oddHBand="1" w:evenHBand="0" w:firstRowFirstColumn="0" w:firstRowLastColumn="0" w:lastRowFirstColumn="0" w:lastRowLastColumn="0"/>
            </w:pPr>
            <w:r w:rsidRPr="00B47369">
              <w:t>7.1</w:t>
            </w:r>
          </w:p>
        </w:tc>
      </w:tr>
      <w:tr w:rsidR="00317CA2" w:rsidRPr="00B47369" w14:paraId="38A45DF1" w14:textId="77777777" w:rsidTr="00B47369">
        <w:trPr>
          <w:trHeight w:hRule="exact" w:val="624"/>
        </w:trPr>
        <w:tc>
          <w:tcPr>
            <w:cnfStyle w:val="001000000000" w:firstRow="0" w:lastRow="0" w:firstColumn="1" w:lastColumn="0" w:oddVBand="0" w:evenVBand="0" w:oddHBand="0" w:evenHBand="0" w:firstRowFirstColumn="0" w:firstRowLastColumn="0" w:lastRowFirstColumn="0" w:lastRowLastColumn="0"/>
            <w:tcW w:w="2495" w:type="dxa"/>
            <w:hideMark/>
          </w:tcPr>
          <w:p w14:paraId="38A45DE8" w14:textId="77777777" w:rsidR="00317CA2" w:rsidRPr="00214785" w:rsidRDefault="00317CA2" w:rsidP="00AF6D9B">
            <w:pPr>
              <w:pStyle w:val="tabletext"/>
              <w:rPr>
                <w:b w:val="0"/>
              </w:rPr>
            </w:pPr>
            <w:r w:rsidRPr="00214785">
              <w:rPr>
                <w:b w:val="0"/>
              </w:rPr>
              <w:t xml:space="preserve">Total number of treatment episodes </w:t>
            </w:r>
          </w:p>
        </w:tc>
        <w:tc>
          <w:tcPr>
            <w:tcW w:w="862" w:type="dxa"/>
          </w:tcPr>
          <w:p w14:paraId="38A45DE9"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3,585</w:t>
            </w:r>
          </w:p>
        </w:tc>
        <w:tc>
          <w:tcPr>
            <w:tcW w:w="862" w:type="dxa"/>
            <w:hideMark/>
          </w:tcPr>
          <w:p w14:paraId="38A45DEA"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35,202</w:t>
            </w:r>
          </w:p>
        </w:tc>
        <w:tc>
          <w:tcPr>
            <w:tcW w:w="843" w:type="dxa"/>
          </w:tcPr>
          <w:p w14:paraId="38A45DEB"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3,798</w:t>
            </w:r>
          </w:p>
        </w:tc>
        <w:tc>
          <w:tcPr>
            <w:tcW w:w="843" w:type="dxa"/>
          </w:tcPr>
          <w:p w14:paraId="38A45DEC"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23,090</w:t>
            </w:r>
          </w:p>
        </w:tc>
        <w:tc>
          <w:tcPr>
            <w:tcW w:w="843" w:type="dxa"/>
          </w:tcPr>
          <w:p w14:paraId="38A45DED"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9,092</w:t>
            </w:r>
          </w:p>
        </w:tc>
        <w:tc>
          <w:tcPr>
            <w:tcW w:w="843" w:type="dxa"/>
          </w:tcPr>
          <w:p w14:paraId="38A45DEE"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1,544</w:t>
            </w:r>
          </w:p>
        </w:tc>
        <w:tc>
          <w:tcPr>
            <w:tcW w:w="843" w:type="dxa"/>
            <w:hideMark/>
          </w:tcPr>
          <w:p w14:paraId="38A45DEF" w14:textId="77777777" w:rsidR="00317CA2" w:rsidRPr="00B47369" w:rsidRDefault="00317CA2" w:rsidP="00AF6D9B">
            <w:pPr>
              <w:pStyle w:val="tabletext"/>
              <w:cnfStyle w:val="000000000000" w:firstRow="0" w:lastRow="0" w:firstColumn="0" w:lastColumn="0" w:oddVBand="0" w:evenVBand="0" w:oddHBand="0" w:evenHBand="0" w:firstRowFirstColumn="0" w:firstRowLastColumn="0" w:lastRowFirstColumn="0" w:lastRowLastColumn="0"/>
            </w:pPr>
            <w:r w:rsidRPr="00B47369">
              <w:t>52,133</w:t>
            </w:r>
          </w:p>
        </w:tc>
        <w:tc>
          <w:tcPr>
            <w:tcW w:w="843" w:type="dxa"/>
            <w:hideMark/>
          </w:tcPr>
          <w:p w14:paraId="38A45DF0" w14:textId="77777777" w:rsidR="00317CA2" w:rsidRPr="00B47369" w:rsidRDefault="00431EC7" w:rsidP="00AF6D9B">
            <w:pPr>
              <w:pStyle w:val="tabletext"/>
              <w:cnfStyle w:val="000000000000" w:firstRow="0" w:lastRow="0" w:firstColumn="0" w:lastColumn="0" w:oddVBand="0" w:evenVBand="0" w:oddHBand="0" w:evenHBand="0" w:firstRowFirstColumn="0" w:firstRowLastColumn="0" w:lastRowFirstColumn="0" w:lastRowLastColumn="0"/>
            </w:pPr>
            <w:r w:rsidRPr="00B47369">
              <w:t>17,187</w:t>
            </w:r>
          </w:p>
        </w:tc>
      </w:tr>
    </w:tbl>
    <w:p w14:paraId="38A45DF2" w14:textId="77777777" w:rsidR="00317CA2" w:rsidRPr="005F195C" w:rsidRDefault="00317CA2" w:rsidP="00FB60E5">
      <w:pPr>
        <w:ind w:left="0"/>
        <w:rPr>
          <w:rStyle w:val="FootnoteReference"/>
          <w:sz w:val="24"/>
          <w:szCs w:val="24"/>
        </w:rPr>
      </w:pPr>
      <w:r w:rsidRPr="005F195C">
        <w:rPr>
          <w:rStyle w:val="FootnoteReference"/>
          <w:sz w:val="24"/>
          <w:szCs w:val="24"/>
        </w:rPr>
        <w:t xml:space="preserve">Source: AIHW AODTS NMDS, AOD treatment services in </w:t>
      </w:r>
      <w:r w:rsidR="005E57E8" w:rsidRPr="005F195C">
        <w:rPr>
          <w:rStyle w:val="FootnoteReference"/>
          <w:sz w:val="24"/>
          <w:szCs w:val="24"/>
        </w:rPr>
        <w:t xml:space="preserve">Australia </w:t>
      </w:r>
      <w:r w:rsidRPr="005F195C">
        <w:rPr>
          <w:rStyle w:val="FootnoteReference"/>
          <w:sz w:val="24"/>
          <w:szCs w:val="24"/>
        </w:rPr>
        <w:t>2009-10, Supplementary Table 12 and 15, 2011</w:t>
      </w:r>
    </w:p>
    <w:p w14:paraId="38A45DF3" w14:textId="5BDB2863" w:rsidR="00DF4F77" w:rsidRPr="00FB60E5" w:rsidRDefault="00DF4F77" w:rsidP="00FB60E5">
      <w:pPr>
        <w:ind w:left="0"/>
      </w:pPr>
      <w:r w:rsidRPr="00FB60E5">
        <w:t>The system profile varies significantly across states – thus counselling accounts for over half of all treatment episodes in Victoria and Tasmania and around two-thirds in WA, but less than one quarter in the Northern Territory. Similarly a treatment episode is more than eight times more likely to be rehabilitation in the NT than in Queensland. These profile differences and resulting system variations suggest considerable variations in system f</w:t>
      </w:r>
      <w:r w:rsidR="00B47369">
        <w:t>unction and target populations.</w:t>
      </w:r>
    </w:p>
    <w:p w14:paraId="38A45DF4" w14:textId="77777777" w:rsidR="00DF4F77" w:rsidRPr="00B47369" w:rsidRDefault="00DF4F77" w:rsidP="00B47369">
      <w:pPr>
        <w:pStyle w:val="Heading3"/>
      </w:pPr>
      <w:bookmarkStart w:id="95" w:name="_Toc386108189"/>
      <w:bookmarkStart w:id="96" w:name="_Toc387426329"/>
      <w:r w:rsidRPr="00B47369">
        <w:t>Client characteristics</w:t>
      </w:r>
      <w:bookmarkEnd w:id="95"/>
      <w:bookmarkEnd w:id="96"/>
    </w:p>
    <w:p w14:paraId="38A45DF5" w14:textId="77777777" w:rsidR="00DF4F77" w:rsidRPr="00FB60E5" w:rsidRDefault="00DF4F77" w:rsidP="00FB60E5">
      <w:pPr>
        <w:ind w:left="0"/>
      </w:pPr>
      <w:r w:rsidRPr="00FB60E5">
        <w:t xml:space="preserve">Information regarding client characteristics was </w:t>
      </w:r>
      <w:r w:rsidR="006D68E6" w:rsidRPr="00FB60E5">
        <w:t xml:space="preserve">also </w:t>
      </w:r>
      <w:r w:rsidRPr="00FB60E5">
        <w:t xml:space="preserve">sourced from the Alcohol and Other Drug Treatment Services National Minimum Data Set (AODTS NMDS) for 2009-10. Approximately two thirds of treatment episodes were for male clients (ranging from 65% in VIC to 71% in TAS). In all jurisdictions except TAS the age categories with the largest proportion were 20-29 years and 30-39 years, with each </w:t>
      </w:r>
      <w:r w:rsidR="006D68E6" w:rsidRPr="00FB60E5">
        <w:t xml:space="preserve">of these </w:t>
      </w:r>
      <w:r w:rsidRPr="00FB60E5">
        <w:t xml:space="preserve">accounting for approximately 25-30% of all treatment episodes. The next largest age category was generally 40-49 years. In TAS there </w:t>
      </w:r>
      <w:proofErr w:type="gramStart"/>
      <w:r w:rsidRPr="00FB60E5">
        <w:t>was</w:t>
      </w:r>
      <w:proofErr w:type="gramEnd"/>
      <w:r w:rsidRPr="00FB60E5">
        <w:t xml:space="preserve"> an unusually high proportion of people in the 10-19 year age group (24%). Ninety six percent of treatment episodes across the country were for ‘own drug use’ (compared to ‘others’ drug use’). This ranged from 89% in NT to 99% in QLD.</w:t>
      </w:r>
    </w:p>
    <w:p w14:paraId="38A45DF6" w14:textId="77777777" w:rsidR="00DF4F77" w:rsidRPr="00FB60E5" w:rsidRDefault="00DF4F77" w:rsidP="00FB60E5">
      <w:pPr>
        <w:ind w:left="0"/>
      </w:pPr>
      <w:r w:rsidRPr="00FB60E5">
        <w:t>Australia was the most common country of birth among clients in every jurisdiction (ranging from 83% in WA to 97% in TAS).There was considerable variability in the proportion of Indigenous clients between states and territories; 64% of treatment episodes in the NT were for Indigenous clients, 22% in WA, 10-15% in NSW, QLD and SA, while in VIC, ACT and TAS &lt;10% of treatment episodes were for Indigenous clients. English was the preferred language in &gt;95% of cases across the country, except in NT, where 54% preferred English and 29% preferred Australian Indigenous languages (preference not stated in 17% of NT cases).</w:t>
      </w:r>
    </w:p>
    <w:p w14:paraId="38A45DF7" w14:textId="77777777" w:rsidR="00DF4F77" w:rsidRPr="00FB60E5" w:rsidRDefault="00DF4F77" w:rsidP="00FB60E5">
      <w:pPr>
        <w:ind w:left="0"/>
      </w:pPr>
      <w:r w:rsidRPr="00FB60E5">
        <w:t>The most common source of referral to treatment was ‘self’ (35% Australia, ranging from 26% in QLD to 45% in TAS). Referral from other alcohol and drug treatment services accounts for 10% of referrals nationally, but this varies greatly between jurisdictions (2% in TAS to 17% in WA). Court diversion accounts for 12% of referrals nationally, but this ranges from as low as 2% in SA to 16% in QLD. Police diversion accounts for a higher proportion of referrals in each of these two states (30% and 23% respectively) compared to the national average (6%).</w:t>
      </w:r>
    </w:p>
    <w:p w14:paraId="38A45DF8" w14:textId="77777777" w:rsidR="00DF4F77" w:rsidRPr="00FB60E5" w:rsidRDefault="00DF4F77" w:rsidP="00FB60E5">
      <w:pPr>
        <w:ind w:left="0"/>
      </w:pPr>
      <w:r w:rsidRPr="00FB60E5">
        <w:t xml:space="preserve">Alcohol was the most common primary drug of concern among those in treatment across all jurisdictions except TAS (ranging from 38% in QLD to 69% in NT). Cannabis was generally the second most common primary drug of concern (ranging from 9% in NT to 44% in TAS), followed by opioids (8% in QLD to 20% in ACT), although the relative contribution of heroin, methadone and morphine to the opioids total differed by jurisdiction. </w:t>
      </w:r>
      <w:r w:rsidR="008F6C40" w:rsidRPr="00FB60E5">
        <w:t>A</w:t>
      </w:r>
      <w:r w:rsidR="00B473EE" w:rsidRPr="00FB60E5">
        <w:t>mphetamines</w:t>
      </w:r>
      <w:r w:rsidRPr="00FB60E5">
        <w:t xml:space="preserve"> as </w:t>
      </w:r>
      <w:r w:rsidRPr="00FB60E5">
        <w:lastRenderedPageBreak/>
        <w:t>primary drug of concern ranged from 3% (NT) to</w:t>
      </w:r>
      <w:r w:rsidR="00AF1AB9" w:rsidRPr="00FB60E5">
        <w:t xml:space="preserve"> </w:t>
      </w:r>
      <w:r w:rsidRPr="00FB60E5">
        <w:t>14% (WA). Benzodiazepines, cocaine, ecstasy and other drug types each accounted for &lt;5% of cases in every jurisdiction (except ‘all other drugs’ in the NT</w:t>
      </w:r>
      <w:r w:rsidR="00AF1AB9" w:rsidRPr="00FB60E5">
        <w:t>,</w:t>
      </w:r>
      <w:r w:rsidRPr="00FB60E5">
        <w:t xml:space="preserve"> which was 8%).</w:t>
      </w:r>
    </w:p>
    <w:p w14:paraId="38A45DF9" w14:textId="77777777" w:rsidR="00DF4F77" w:rsidRPr="00B47369" w:rsidRDefault="00DF4F77" w:rsidP="00B47369">
      <w:pPr>
        <w:pStyle w:val="Heading3"/>
      </w:pPr>
      <w:bookmarkStart w:id="97" w:name="_Toc386108190"/>
      <w:bookmarkStart w:id="98" w:name="_Toc387426330"/>
      <w:r w:rsidRPr="00B47369">
        <w:t>Service setting</w:t>
      </w:r>
      <w:bookmarkEnd w:id="97"/>
      <w:bookmarkEnd w:id="98"/>
    </w:p>
    <w:p w14:paraId="38A45DFA" w14:textId="3308A830" w:rsidR="00D51944" w:rsidRPr="00FB60E5" w:rsidRDefault="00D51944" w:rsidP="00FB60E5">
      <w:pPr>
        <w:ind w:left="0"/>
      </w:pPr>
      <w:r w:rsidRPr="00FB60E5">
        <w:t>A range of services are offered in all jurisdictions including information/education, case management, counselling, withdrawal management, rehabilitation, pharmacotherapy, needle and syringe programs and sobering up facilities. All jurisdictions report a mix of Government Organisation (GO) and Non-Government Organisation (NGO) service providers (</w:t>
      </w:r>
      <w:r w:rsidR="00B47369">
        <w:fldChar w:fldCharType="begin"/>
      </w:r>
      <w:r w:rsidR="00B47369">
        <w:instrText xml:space="preserve"> REF _Ref531191814 \h </w:instrText>
      </w:r>
      <w:r w:rsidR="00B47369">
        <w:fldChar w:fldCharType="separate"/>
      </w:r>
      <w:r w:rsidR="00B47369">
        <w:t xml:space="preserve">Table </w:t>
      </w:r>
      <w:r w:rsidR="00B47369">
        <w:rPr>
          <w:noProof/>
        </w:rPr>
        <w:t>2</w:t>
      </w:r>
      <w:r w:rsidR="00B47369">
        <w:t>.</w:t>
      </w:r>
      <w:r w:rsidR="00B47369">
        <w:rPr>
          <w:noProof/>
        </w:rPr>
        <w:t>2</w:t>
      </w:r>
      <w:r w:rsidR="00B47369">
        <w:fldChar w:fldCharType="end"/>
      </w:r>
      <w:r w:rsidRPr="00FB60E5">
        <w:t>). Community Service Organisations are included here as NGO. In most jurisdictions GOs are the predominant providers of acute services such as withdrawal and specialist pharmacotherapy, with NGOs providing other services. In all jurisdictions beside NSW and SA there are more NGO tha</w:t>
      </w:r>
      <w:r w:rsidR="00AF1AB9" w:rsidRPr="00FB60E5">
        <w:t>n</w:t>
      </w:r>
      <w:r w:rsidRPr="00FB60E5">
        <w:t xml:space="preserve"> GO services</w:t>
      </w:r>
      <w:r w:rsidR="00997ADB" w:rsidRPr="00FB60E5">
        <w:t>, although the ratios vary.</w:t>
      </w:r>
      <w:r w:rsidRPr="00FB60E5">
        <w:t xml:space="preserve"> Models of service delivery </w:t>
      </w:r>
      <w:r w:rsidR="00997ADB" w:rsidRPr="00FB60E5">
        <w:t xml:space="preserve">reported by key informants </w:t>
      </w:r>
      <w:r w:rsidRPr="00FB60E5">
        <w:t>differ according to state and territory, as do intra- and inter-sectoral linkages. All jurisdictions have some service provision to non-metropolitan areas, although the extent to which this is provided in situ versus by outreach differs.</w:t>
      </w:r>
    </w:p>
    <w:p w14:paraId="38A45DFB" w14:textId="77777777" w:rsidR="00173B16" w:rsidRPr="00B47369" w:rsidRDefault="00173B16" w:rsidP="00B47369">
      <w:pPr>
        <w:pStyle w:val="Heading3"/>
      </w:pPr>
      <w:bookmarkStart w:id="99" w:name="_Toc386108191"/>
      <w:bookmarkStart w:id="100" w:name="_Toc387426331"/>
      <w:bookmarkStart w:id="101" w:name="_Toc386108204"/>
      <w:bookmarkStart w:id="102" w:name="_Toc387426352"/>
      <w:r w:rsidRPr="00B47369">
        <w:t>Monitoring and accountability</w:t>
      </w:r>
      <w:bookmarkEnd w:id="99"/>
      <w:bookmarkEnd w:id="100"/>
    </w:p>
    <w:p w14:paraId="38A45DFC" w14:textId="7921C60B" w:rsidR="00173B16" w:rsidRPr="00FB60E5" w:rsidRDefault="00173B16" w:rsidP="00FB60E5">
      <w:pPr>
        <w:ind w:left="0"/>
      </w:pPr>
      <w:r w:rsidRPr="00FB60E5">
        <w:t>There are monitoring and accountability systems in place in every jurisdiction, although the specifics of these differ (</w:t>
      </w:r>
      <w:r w:rsidR="00B47369">
        <w:fldChar w:fldCharType="begin"/>
      </w:r>
      <w:r w:rsidR="00B47369">
        <w:instrText xml:space="preserve"> REF _Ref531191822 \h </w:instrText>
      </w:r>
      <w:r w:rsidR="00B47369">
        <w:fldChar w:fldCharType="separate"/>
      </w:r>
      <w:r w:rsidR="00B47369">
        <w:t xml:space="preserve">Table </w:t>
      </w:r>
      <w:r w:rsidR="00B47369">
        <w:rPr>
          <w:noProof/>
        </w:rPr>
        <w:t>2</w:t>
      </w:r>
      <w:r w:rsidR="00B47369">
        <w:t>.</w:t>
      </w:r>
      <w:r w:rsidR="00B47369">
        <w:rPr>
          <w:noProof/>
        </w:rPr>
        <w:t>3</w:t>
      </w:r>
      <w:r w:rsidR="00B47369">
        <w:fldChar w:fldCharType="end"/>
      </w:r>
      <w:r w:rsidRPr="00FB60E5">
        <w:t>). In the ACT, NSW, QLD and VIC there are committees/groups appointed to oversight strategic issues which may include policy development, system planning, implementation, service delivery and evaluation. In WA and the NT, these functions are undertaken by the Drug and Alcohol Office and the Office of the Chief Executive respectively. At the time of consultation (2012), services were being retendered in SA while in TAS preparations were underway to evaluate the 5 year plan. Reporting at the service level occurs in every jurisdiction, although in some jurisdictions key informants indicated that performance reporting systems may not be comprehensive, although there was widespread support for continuous improvement in this area. Since the consultations occurred, Turning Point has been commissioned to map existing quality standards in greater detail and develop a Quality Framework for Australian Government funded AOD services.</w:t>
      </w:r>
    </w:p>
    <w:p w14:paraId="38A45DFF" w14:textId="60D90346" w:rsidR="00DF4F77" w:rsidRPr="00FB60E5" w:rsidRDefault="00882917" w:rsidP="00882917">
      <w:pPr>
        <w:pStyle w:val="Caption"/>
      </w:pPr>
      <w:bookmarkStart w:id="103" w:name="_Ref531191814"/>
      <w:bookmarkStart w:id="104" w:name="_Toc531625775"/>
      <w:proofErr w:type="gramStart"/>
      <w:r>
        <w:t xml:space="preserve">Table </w:t>
      </w:r>
      <w:r w:rsidR="00552239">
        <w:fldChar w:fldCharType="begin"/>
      </w:r>
      <w:r w:rsidR="00552239">
        <w:instrText xml:space="preserve"> STYLEREF 1 \s </w:instrText>
      </w:r>
      <w:r w:rsidR="00552239">
        <w:fldChar w:fldCharType="separate"/>
      </w:r>
      <w:r w:rsidR="00552239">
        <w:rPr>
          <w:noProof/>
        </w:rPr>
        <w:t>2</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w:t>
      </w:r>
      <w:r w:rsidR="00552239">
        <w:fldChar w:fldCharType="end"/>
      </w:r>
      <w:bookmarkEnd w:id="103"/>
      <w:r w:rsidR="006244F5" w:rsidRPr="00FB60E5">
        <w:t xml:space="preserve"> </w:t>
      </w:r>
      <w:r w:rsidR="00DF4F77" w:rsidRPr="00FB60E5">
        <w:t>AOD treatment service setting by jurisdiction</w:t>
      </w:r>
      <w:bookmarkEnd w:id="101"/>
      <w:bookmarkEnd w:id="102"/>
      <w:bookmarkEnd w:id="104"/>
    </w:p>
    <w:tbl>
      <w:tblPr>
        <w:tblStyle w:val="LightList-Accent1"/>
        <w:tblW w:w="9348" w:type="dxa"/>
        <w:tblLayout w:type="fixed"/>
        <w:tblLook w:val="04A0" w:firstRow="1" w:lastRow="0" w:firstColumn="1" w:lastColumn="0" w:noHBand="0" w:noVBand="1"/>
        <w:tblDescription w:val="Table 2.2 AOD treatment service setting by jurisdiction"/>
      </w:tblPr>
      <w:tblGrid>
        <w:gridCol w:w="1428"/>
        <w:gridCol w:w="770"/>
        <w:gridCol w:w="880"/>
        <w:gridCol w:w="3551"/>
        <w:gridCol w:w="2719"/>
      </w:tblGrid>
      <w:tr w:rsidR="00214785" w:rsidRPr="00B47369" w14:paraId="38A45E04" w14:textId="77777777" w:rsidTr="002147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8" w:type="dxa"/>
            <w:vMerge w:val="restart"/>
          </w:tcPr>
          <w:p w14:paraId="38A45E00" w14:textId="77777777" w:rsidR="00214785" w:rsidRPr="00B47369" w:rsidRDefault="00214785" w:rsidP="00B47369">
            <w:r w:rsidRPr="00B47369">
              <w:t>Jurisdiction</w:t>
            </w:r>
          </w:p>
        </w:tc>
        <w:tc>
          <w:tcPr>
            <w:tcW w:w="1650" w:type="dxa"/>
            <w:gridSpan w:val="2"/>
          </w:tcPr>
          <w:p w14:paraId="38A45E01"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r w:rsidRPr="00B47369">
              <w:t>Organisation type</w:t>
            </w:r>
            <w:bookmarkStart w:id="105" w:name="table2_ref"/>
            <w:r w:rsidRPr="00B47369">
              <w:rPr>
                <w:vertAlign w:val="superscript"/>
              </w:rPr>
              <w:t>1</w:t>
            </w:r>
            <w:bookmarkEnd w:id="105"/>
          </w:p>
        </w:tc>
        <w:tc>
          <w:tcPr>
            <w:tcW w:w="3551" w:type="dxa"/>
            <w:noWrap/>
          </w:tcPr>
          <w:p w14:paraId="38A45E02"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r w:rsidRPr="00B47369">
              <w:t>Service delivery and system linkages</w:t>
            </w:r>
          </w:p>
        </w:tc>
        <w:tc>
          <w:tcPr>
            <w:tcW w:w="2719" w:type="dxa"/>
          </w:tcPr>
          <w:p w14:paraId="38A45E03"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r w:rsidRPr="00B47369">
              <w:t>Geographical accessibility</w:t>
            </w:r>
          </w:p>
        </w:tc>
      </w:tr>
      <w:tr w:rsidR="00214785" w:rsidRPr="00B47369" w14:paraId="38A45E0A" w14:textId="77777777" w:rsidTr="002147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8" w:type="dxa"/>
            <w:vMerge/>
          </w:tcPr>
          <w:p w14:paraId="38A45E05" w14:textId="77777777" w:rsidR="00214785" w:rsidRPr="00B47369" w:rsidRDefault="00214785" w:rsidP="00B47369"/>
        </w:tc>
        <w:tc>
          <w:tcPr>
            <w:tcW w:w="770" w:type="dxa"/>
          </w:tcPr>
          <w:p w14:paraId="38A45E06"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r w:rsidRPr="00B47369">
              <w:t>GO</w:t>
            </w:r>
          </w:p>
        </w:tc>
        <w:tc>
          <w:tcPr>
            <w:tcW w:w="880" w:type="dxa"/>
          </w:tcPr>
          <w:p w14:paraId="38A45E07"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r w:rsidRPr="00B47369">
              <w:t>NGO</w:t>
            </w:r>
          </w:p>
        </w:tc>
        <w:tc>
          <w:tcPr>
            <w:tcW w:w="3551" w:type="dxa"/>
            <w:noWrap/>
          </w:tcPr>
          <w:p w14:paraId="38A45E08"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p>
        </w:tc>
        <w:tc>
          <w:tcPr>
            <w:tcW w:w="2719" w:type="dxa"/>
          </w:tcPr>
          <w:p w14:paraId="38A45E09" w14:textId="77777777" w:rsidR="00214785" w:rsidRPr="00B47369" w:rsidRDefault="00214785" w:rsidP="00B47369">
            <w:pPr>
              <w:cnfStyle w:val="100000000000" w:firstRow="1" w:lastRow="0" w:firstColumn="0" w:lastColumn="0" w:oddVBand="0" w:evenVBand="0" w:oddHBand="0" w:evenHBand="0" w:firstRowFirstColumn="0" w:firstRowLastColumn="0" w:lastRowFirstColumn="0" w:lastRowLastColumn="0"/>
            </w:pPr>
          </w:p>
        </w:tc>
      </w:tr>
      <w:tr w:rsidR="00DF4F77" w:rsidRPr="00B47369" w14:paraId="38A45E10" w14:textId="77777777" w:rsidTr="002147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28" w:type="dxa"/>
            <w:hideMark/>
          </w:tcPr>
          <w:p w14:paraId="38A45E0B" w14:textId="77777777" w:rsidR="00DF4F77" w:rsidRPr="00214785" w:rsidRDefault="00DF4F77" w:rsidP="00AF6D9B">
            <w:pPr>
              <w:pStyle w:val="tabletext"/>
              <w:rPr>
                <w:b w:val="0"/>
              </w:rPr>
            </w:pPr>
            <w:r w:rsidRPr="00214785">
              <w:rPr>
                <w:b w:val="0"/>
              </w:rPr>
              <w:t>ACT</w:t>
            </w:r>
          </w:p>
        </w:tc>
        <w:tc>
          <w:tcPr>
            <w:tcW w:w="770" w:type="dxa"/>
          </w:tcPr>
          <w:p w14:paraId="38A45E0C"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1</w:t>
            </w:r>
          </w:p>
        </w:tc>
        <w:tc>
          <w:tcPr>
            <w:tcW w:w="880" w:type="dxa"/>
          </w:tcPr>
          <w:p w14:paraId="38A45E0D"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9</w:t>
            </w:r>
          </w:p>
        </w:tc>
        <w:tc>
          <w:tcPr>
            <w:tcW w:w="3551" w:type="dxa"/>
            <w:noWrap/>
          </w:tcPr>
          <w:p w14:paraId="38A45E0E"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KIs reported intra-system cohesiveness and active peak body</w:t>
            </w:r>
          </w:p>
        </w:tc>
        <w:tc>
          <w:tcPr>
            <w:tcW w:w="2719" w:type="dxa"/>
          </w:tcPr>
          <w:p w14:paraId="38A45E0F"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Rural in-reach from NSW</w:t>
            </w:r>
          </w:p>
        </w:tc>
      </w:tr>
      <w:tr w:rsidR="00DF4F77" w:rsidRPr="00B47369" w14:paraId="38A45E16"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1428" w:type="dxa"/>
            <w:hideMark/>
          </w:tcPr>
          <w:p w14:paraId="38A45E11" w14:textId="77777777" w:rsidR="00DF4F77" w:rsidRPr="00214785" w:rsidRDefault="00DF4F77" w:rsidP="00AF6D9B">
            <w:pPr>
              <w:pStyle w:val="tabletext"/>
              <w:rPr>
                <w:b w:val="0"/>
              </w:rPr>
            </w:pPr>
            <w:r w:rsidRPr="00214785">
              <w:rPr>
                <w:b w:val="0"/>
              </w:rPr>
              <w:t>NSW</w:t>
            </w:r>
          </w:p>
        </w:tc>
        <w:tc>
          <w:tcPr>
            <w:tcW w:w="770" w:type="dxa"/>
          </w:tcPr>
          <w:p w14:paraId="38A45E12"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195</w:t>
            </w:r>
          </w:p>
        </w:tc>
        <w:tc>
          <w:tcPr>
            <w:tcW w:w="880" w:type="dxa"/>
          </w:tcPr>
          <w:p w14:paraId="38A45E13"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63</w:t>
            </w:r>
          </w:p>
        </w:tc>
        <w:tc>
          <w:tcPr>
            <w:tcW w:w="3551" w:type="dxa"/>
            <w:noWrap/>
          </w:tcPr>
          <w:p w14:paraId="38A45E14"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Integrated public health model. Decentralised: funding allocated to Local Health Districts and then distributed</w:t>
            </w:r>
          </w:p>
        </w:tc>
        <w:tc>
          <w:tcPr>
            <w:tcW w:w="2719" w:type="dxa"/>
          </w:tcPr>
          <w:p w14:paraId="38A45E15"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Services mainly in metro and regional areas</w:t>
            </w:r>
          </w:p>
        </w:tc>
      </w:tr>
      <w:tr w:rsidR="00DF4F77" w:rsidRPr="00B47369" w14:paraId="38A45E1C"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8" w:type="dxa"/>
            <w:hideMark/>
          </w:tcPr>
          <w:p w14:paraId="38A45E17" w14:textId="77777777" w:rsidR="00DF4F77" w:rsidRPr="00214785" w:rsidRDefault="00DF4F77" w:rsidP="00AF6D9B">
            <w:pPr>
              <w:pStyle w:val="tabletext"/>
              <w:rPr>
                <w:b w:val="0"/>
              </w:rPr>
            </w:pPr>
            <w:r w:rsidRPr="00214785">
              <w:rPr>
                <w:b w:val="0"/>
              </w:rPr>
              <w:t>NT</w:t>
            </w:r>
          </w:p>
        </w:tc>
        <w:tc>
          <w:tcPr>
            <w:tcW w:w="770" w:type="dxa"/>
          </w:tcPr>
          <w:p w14:paraId="38A45E18"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3</w:t>
            </w:r>
          </w:p>
        </w:tc>
        <w:tc>
          <w:tcPr>
            <w:tcW w:w="880" w:type="dxa"/>
          </w:tcPr>
          <w:p w14:paraId="38A45E19"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17</w:t>
            </w:r>
          </w:p>
        </w:tc>
        <w:tc>
          <w:tcPr>
            <w:tcW w:w="3551" w:type="dxa"/>
            <w:noWrap/>
          </w:tcPr>
          <w:p w14:paraId="38A45E1A"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Both stand alone and co-located services</w:t>
            </w:r>
          </w:p>
        </w:tc>
        <w:tc>
          <w:tcPr>
            <w:tcW w:w="2719" w:type="dxa"/>
          </w:tcPr>
          <w:p w14:paraId="38A45E1B"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Services mainly in outer regional or remote areas, some very remote</w:t>
            </w:r>
          </w:p>
        </w:tc>
      </w:tr>
      <w:tr w:rsidR="00DF4F77" w:rsidRPr="00B47369" w14:paraId="38A45E22" w14:textId="77777777" w:rsidTr="00214785">
        <w:trPr>
          <w:trHeight w:val="315"/>
        </w:trPr>
        <w:tc>
          <w:tcPr>
            <w:cnfStyle w:val="001000000000" w:firstRow="0" w:lastRow="0" w:firstColumn="1" w:lastColumn="0" w:oddVBand="0" w:evenVBand="0" w:oddHBand="0" w:evenHBand="0" w:firstRowFirstColumn="0" w:firstRowLastColumn="0" w:lastRowFirstColumn="0" w:lastRowLastColumn="0"/>
            <w:tcW w:w="1428" w:type="dxa"/>
            <w:hideMark/>
          </w:tcPr>
          <w:p w14:paraId="38A45E1D" w14:textId="77777777" w:rsidR="00DF4F77" w:rsidRPr="00214785" w:rsidRDefault="00DF4F77" w:rsidP="00AF6D9B">
            <w:pPr>
              <w:pStyle w:val="tabletext"/>
              <w:rPr>
                <w:b w:val="0"/>
              </w:rPr>
            </w:pPr>
            <w:r w:rsidRPr="00214785">
              <w:rPr>
                <w:b w:val="0"/>
              </w:rPr>
              <w:t>QLD</w:t>
            </w:r>
          </w:p>
        </w:tc>
        <w:tc>
          <w:tcPr>
            <w:tcW w:w="770" w:type="dxa"/>
          </w:tcPr>
          <w:p w14:paraId="38A45E1E"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51</w:t>
            </w:r>
          </w:p>
        </w:tc>
        <w:tc>
          <w:tcPr>
            <w:tcW w:w="880" w:type="dxa"/>
          </w:tcPr>
          <w:p w14:paraId="38A45E1F"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67</w:t>
            </w:r>
          </w:p>
        </w:tc>
        <w:tc>
          <w:tcPr>
            <w:tcW w:w="3551" w:type="dxa"/>
            <w:noWrap/>
          </w:tcPr>
          <w:p w14:paraId="38A45E20"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 xml:space="preserve">AOD separated across four branches of health department and delivered via Hospital and Health Service regions. Some services funded via </w:t>
            </w:r>
            <w:r w:rsidRPr="00B47369">
              <w:lastRenderedPageBreak/>
              <w:t>Aboriginal controlled health organisations. Strong links to justice system</w:t>
            </w:r>
          </w:p>
        </w:tc>
        <w:tc>
          <w:tcPr>
            <w:tcW w:w="2719" w:type="dxa"/>
          </w:tcPr>
          <w:p w14:paraId="38A45E21"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lastRenderedPageBreak/>
              <w:t>Services mainly metro and regional areas, some remote and very remote</w:t>
            </w:r>
          </w:p>
        </w:tc>
      </w:tr>
      <w:tr w:rsidR="00DF4F77" w:rsidRPr="00B47369" w14:paraId="38A45E28"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8" w:type="dxa"/>
            <w:hideMark/>
          </w:tcPr>
          <w:p w14:paraId="38A45E23" w14:textId="77777777" w:rsidR="00DF4F77" w:rsidRPr="00214785" w:rsidRDefault="00DF4F77" w:rsidP="00AF6D9B">
            <w:pPr>
              <w:pStyle w:val="tabletext"/>
              <w:rPr>
                <w:b w:val="0"/>
              </w:rPr>
            </w:pPr>
            <w:r w:rsidRPr="00214785">
              <w:rPr>
                <w:b w:val="0"/>
              </w:rPr>
              <w:lastRenderedPageBreak/>
              <w:t>SA</w:t>
            </w:r>
          </w:p>
        </w:tc>
        <w:tc>
          <w:tcPr>
            <w:tcW w:w="770" w:type="dxa"/>
          </w:tcPr>
          <w:p w14:paraId="38A45E24"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42</w:t>
            </w:r>
          </w:p>
        </w:tc>
        <w:tc>
          <w:tcPr>
            <w:tcW w:w="880" w:type="dxa"/>
          </w:tcPr>
          <w:p w14:paraId="38A45E25"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17</w:t>
            </w:r>
          </w:p>
        </w:tc>
        <w:tc>
          <w:tcPr>
            <w:tcW w:w="3551" w:type="dxa"/>
            <w:noWrap/>
          </w:tcPr>
          <w:p w14:paraId="38A45E26" w14:textId="77777777" w:rsidR="00DF4F77" w:rsidRPr="00B47369" w:rsidRDefault="00AF1AB9" w:rsidP="00AF6D9B">
            <w:pPr>
              <w:pStyle w:val="tabletext"/>
              <w:cnfStyle w:val="000000100000" w:firstRow="0" w:lastRow="0" w:firstColumn="0" w:lastColumn="0" w:oddVBand="0" w:evenVBand="0" w:oddHBand="1" w:evenHBand="0" w:firstRowFirstColumn="0" w:firstRowLastColumn="0" w:lastRowFirstColumn="0" w:lastRowLastColumn="0"/>
            </w:pPr>
            <w:r w:rsidRPr="00B47369">
              <w:t>Both stand-</w:t>
            </w:r>
            <w:r w:rsidR="00DF4F77" w:rsidRPr="00B47369">
              <w:t>alone and co-located services, with reportedly strong focus on inter-agency collaboration between community health, hospitals, mental health and GP clinics</w:t>
            </w:r>
          </w:p>
        </w:tc>
        <w:tc>
          <w:tcPr>
            <w:tcW w:w="2719" w:type="dxa"/>
          </w:tcPr>
          <w:p w14:paraId="38A45E27"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Sole-worker in-reach to less populated areas</w:t>
            </w:r>
          </w:p>
        </w:tc>
      </w:tr>
      <w:tr w:rsidR="00DF4F77" w:rsidRPr="00B47369" w14:paraId="38A45E2E" w14:textId="77777777" w:rsidTr="00214785">
        <w:trPr>
          <w:trHeight w:val="330"/>
        </w:trPr>
        <w:tc>
          <w:tcPr>
            <w:cnfStyle w:val="001000000000" w:firstRow="0" w:lastRow="0" w:firstColumn="1" w:lastColumn="0" w:oddVBand="0" w:evenVBand="0" w:oddHBand="0" w:evenHBand="0" w:firstRowFirstColumn="0" w:firstRowLastColumn="0" w:lastRowFirstColumn="0" w:lastRowLastColumn="0"/>
            <w:tcW w:w="1428" w:type="dxa"/>
            <w:hideMark/>
          </w:tcPr>
          <w:p w14:paraId="38A45E29" w14:textId="77777777" w:rsidR="00DF4F77" w:rsidRPr="00214785" w:rsidRDefault="00DF4F77" w:rsidP="00AF6D9B">
            <w:pPr>
              <w:pStyle w:val="tabletext"/>
              <w:rPr>
                <w:b w:val="0"/>
              </w:rPr>
            </w:pPr>
            <w:r w:rsidRPr="00214785">
              <w:rPr>
                <w:b w:val="0"/>
              </w:rPr>
              <w:t>TAS</w:t>
            </w:r>
          </w:p>
        </w:tc>
        <w:tc>
          <w:tcPr>
            <w:tcW w:w="770" w:type="dxa"/>
          </w:tcPr>
          <w:p w14:paraId="38A45E2A"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4</w:t>
            </w:r>
          </w:p>
        </w:tc>
        <w:tc>
          <w:tcPr>
            <w:tcW w:w="880" w:type="dxa"/>
          </w:tcPr>
          <w:p w14:paraId="38A45E2B"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11</w:t>
            </w:r>
          </w:p>
        </w:tc>
        <w:tc>
          <w:tcPr>
            <w:tcW w:w="3551" w:type="dxa"/>
            <w:noWrap/>
          </w:tcPr>
          <w:p w14:paraId="38A45E2C"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 xml:space="preserve">GO services focus on withdrawal and pharmacotherapy, while NGO primarily deliver psychosocial interventions and prevention </w:t>
            </w:r>
          </w:p>
        </w:tc>
        <w:tc>
          <w:tcPr>
            <w:tcW w:w="2719" w:type="dxa"/>
          </w:tcPr>
          <w:p w14:paraId="38A45E2D"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Services mainly in metro areas, some remote</w:t>
            </w:r>
          </w:p>
        </w:tc>
      </w:tr>
      <w:tr w:rsidR="00DF4F77" w:rsidRPr="00B47369" w14:paraId="38A45E34"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8" w:type="dxa"/>
            <w:hideMark/>
          </w:tcPr>
          <w:p w14:paraId="38A45E2F" w14:textId="77777777" w:rsidR="00DF4F77" w:rsidRPr="00214785" w:rsidRDefault="00DF4F77" w:rsidP="00AF6D9B">
            <w:pPr>
              <w:pStyle w:val="tabletext"/>
              <w:rPr>
                <w:b w:val="0"/>
              </w:rPr>
            </w:pPr>
            <w:r w:rsidRPr="00214785">
              <w:rPr>
                <w:b w:val="0"/>
              </w:rPr>
              <w:t>VIC</w:t>
            </w:r>
          </w:p>
        </w:tc>
        <w:tc>
          <w:tcPr>
            <w:tcW w:w="770" w:type="dxa"/>
          </w:tcPr>
          <w:p w14:paraId="38A45E30"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NA</w:t>
            </w:r>
            <w:bookmarkStart w:id="106" w:name="table2_ref2"/>
            <w:r w:rsidRPr="00B47369">
              <w:rPr>
                <w:vertAlign w:val="superscript"/>
              </w:rPr>
              <w:t>2</w:t>
            </w:r>
            <w:bookmarkEnd w:id="106"/>
          </w:p>
        </w:tc>
        <w:tc>
          <w:tcPr>
            <w:tcW w:w="880" w:type="dxa"/>
          </w:tcPr>
          <w:p w14:paraId="38A45E31"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138</w:t>
            </w:r>
          </w:p>
        </w:tc>
        <w:tc>
          <w:tcPr>
            <w:tcW w:w="3551" w:type="dxa"/>
            <w:noWrap/>
          </w:tcPr>
          <w:p w14:paraId="38A45E32" w14:textId="191F7B80"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System reform and recommissioning intended to reduce fragmentation and</w:t>
            </w:r>
            <w:r w:rsidR="002C27A8">
              <w:t xml:space="preserve"> </w:t>
            </w:r>
            <w:r w:rsidRPr="00B47369">
              <w:t>improve continuity</w:t>
            </w:r>
          </w:p>
        </w:tc>
        <w:tc>
          <w:tcPr>
            <w:tcW w:w="2719" w:type="dxa"/>
          </w:tcPr>
          <w:p w14:paraId="38A45E33" w14:textId="77777777" w:rsidR="00DF4F77" w:rsidRPr="00B47369"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B47369">
              <w:t>Services mainly in metro and regional areas</w:t>
            </w:r>
          </w:p>
        </w:tc>
      </w:tr>
      <w:tr w:rsidR="00DF4F77" w:rsidRPr="00B47369" w14:paraId="38A45E3A"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1428" w:type="dxa"/>
            <w:hideMark/>
          </w:tcPr>
          <w:p w14:paraId="38A45E35" w14:textId="77777777" w:rsidR="00DF4F77" w:rsidRPr="00214785" w:rsidRDefault="00DF4F77" w:rsidP="00AF6D9B">
            <w:pPr>
              <w:pStyle w:val="tabletext"/>
              <w:rPr>
                <w:b w:val="0"/>
              </w:rPr>
            </w:pPr>
            <w:r w:rsidRPr="00214785">
              <w:rPr>
                <w:b w:val="0"/>
              </w:rPr>
              <w:t>WA</w:t>
            </w:r>
          </w:p>
        </w:tc>
        <w:tc>
          <w:tcPr>
            <w:tcW w:w="770" w:type="dxa"/>
          </w:tcPr>
          <w:p w14:paraId="38A45E36"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10</w:t>
            </w:r>
          </w:p>
        </w:tc>
        <w:tc>
          <w:tcPr>
            <w:tcW w:w="880" w:type="dxa"/>
          </w:tcPr>
          <w:p w14:paraId="38A45E37"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39</w:t>
            </w:r>
          </w:p>
        </w:tc>
        <w:tc>
          <w:tcPr>
            <w:tcW w:w="3551" w:type="dxa"/>
            <w:noWrap/>
          </w:tcPr>
          <w:p w14:paraId="38A45E38" w14:textId="6F180874"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Linkage between GO and NGO services reported to be well supported by a variety of means</w:t>
            </w:r>
            <w:r w:rsidR="002C27A8">
              <w:t xml:space="preserve"> </w:t>
            </w:r>
            <w:r w:rsidRPr="00B47369">
              <w:t>e.g. co-location, integrated policies and procedures, single client record and shared client management database</w:t>
            </w:r>
          </w:p>
        </w:tc>
        <w:tc>
          <w:tcPr>
            <w:tcW w:w="2719" w:type="dxa"/>
          </w:tcPr>
          <w:p w14:paraId="38A45E39" w14:textId="77777777" w:rsidR="00DF4F77" w:rsidRPr="00B47369"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B47369">
              <w:t>Services mainly metro and regional areas, some remote and very remote</w:t>
            </w:r>
          </w:p>
        </w:tc>
      </w:tr>
    </w:tbl>
    <w:p w14:paraId="38A45E3B" w14:textId="7A9FA905" w:rsidR="00DF4F77" w:rsidRPr="00FB60E5" w:rsidRDefault="00B47369" w:rsidP="000A1966">
      <w:pPr>
        <w:pStyle w:val="FootnoteText"/>
      </w:pPr>
      <w:r>
        <w:fldChar w:fldCharType="begin"/>
      </w:r>
      <w:r>
        <w:instrText xml:space="preserve"> REF table2_ref \h </w:instrText>
      </w:r>
      <w:r>
        <w:fldChar w:fldCharType="separate"/>
      </w:r>
      <w:r w:rsidRPr="00B47369">
        <w:rPr>
          <w:vertAlign w:val="superscript"/>
        </w:rPr>
        <w:t>1</w:t>
      </w:r>
      <w:r>
        <w:fldChar w:fldCharType="end"/>
      </w:r>
      <w:r>
        <w:t xml:space="preserve"> </w:t>
      </w:r>
      <w:r w:rsidR="008E0FD3" w:rsidRPr="00FB60E5">
        <w:t>B</w:t>
      </w:r>
      <w:r w:rsidR="00DF4F77" w:rsidRPr="00FB60E5">
        <w:t>ased on AODTS-NMDS data for 2009-10</w:t>
      </w:r>
    </w:p>
    <w:p w14:paraId="38A45E3C" w14:textId="6320D448" w:rsidR="00DF4F77" w:rsidRPr="00FB60E5" w:rsidRDefault="00B47369" w:rsidP="000A1966">
      <w:pPr>
        <w:pStyle w:val="FootnoteText"/>
      </w:pPr>
      <w:r>
        <w:fldChar w:fldCharType="begin"/>
      </w:r>
      <w:r>
        <w:instrText xml:space="preserve"> REF table2_ref2 \h </w:instrText>
      </w:r>
      <w:r>
        <w:fldChar w:fldCharType="separate"/>
      </w:r>
      <w:r w:rsidRPr="00B47369">
        <w:rPr>
          <w:vertAlign w:val="superscript"/>
        </w:rPr>
        <w:t>2</w:t>
      </w:r>
      <w:r>
        <w:fldChar w:fldCharType="end"/>
      </w:r>
      <w:r>
        <w:t xml:space="preserve"> </w:t>
      </w:r>
      <w:r w:rsidR="00DF4F77" w:rsidRPr="00FB60E5">
        <w:t xml:space="preserve">In Victoria, all AOD services reported to be NGO, though some receive substantial government funding and may be </w:t>
      </w:r>
      <w:proofErr w:type="spellStart"/>
      <w:r w:rsidR="00DF4F77" w:rsidRPr="00FB60E5">
        <w:t>auspiced</w:t>
      </w:r>
      <w:proofErr w:type="spellEnd"/>
      <w:r w:rsidR="00DF4F77" w:rsidRPr="00FB60E5">
        <w:t xml:space="preserve"> and housed by GO</w:t>
      </w:r>
    </w:p>
    <w:p w14:paraId="38A45E3E" w14:textId="4D40DDC1" w:rsidR="00DF4F77" w:rsidRPr="00FB60E5" w:rsidRDefault="00882917" w:rsidP="00882917">
      <w:pPr>
        <w:pStyle w:val="Caption"/>
      </w:pPr>
      <w:bookmarkStart w:id="107" w:name="_Ref531191822"/>
      <w:bookmarkStart w:id="108" w:name="_Toc386108205"/>
      <w:bookmarkStart w:id="109" w:name="_Toc387426353"/>
      <w:bookmarkStart w:id="110" w:name="_Toc531625776"/>
      <w:proofErr w:type="gramStart"/>
      <w:r>
        <w:t xml:space="preserve">Table </w:t>
      </w:r>
      <w:r w:rsidR="00552239">
        <w:fldChar w:fldCharType="begin"/>
      </w:r>
      <w:r w:rsidR="00552239">
        <w:instrText xml:space="preserve"> STYLEREF 1 \s </w:instrText>
      </w:r>
      <w:r w:rsidR="00552239">
        <w:fldChar w:fldCharType="separate"/>
      </w:r>
      <w:r w:rsidR="00552239">
        <w:rPr>
          <w:noProof/>
        </w:rPr>
        <w:t>2</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3</w:t>
      </w:r>
      <w:r w:rsidR="00552239">
        <w:fldChar w:fldCharType="end"/>
      </w:r>
      <w:bookmarkEnd w:id="107"/>
      <w:r w:rsidR="006244F5" w:rsidRPr="00FB60E5">
        <w:t xml:space="preserve"> </w:t>
      </w:r>
      <w:r w:rsidR="00DF4F77" w:rsidRPr="00FB60E5">
        <w:t>Summary of performance and accountability approaches by jurisdiction, as reported in 2012</w:t>
      </w:r>
      <w:bookmarkEnd w:id="108"/>
      <w:bookmarkEnd w:id="109"/>
      <w:bookmarkEnd w:id="110"/>
    </w:p>
    <w:tbl>
      <w:tblPr>
        <w:tblStyle w:val="LightList-Accent1"/>
        <w:tblW w:w="5120" w:type="pct"/>
        <w:tblLook w:val="04A0" w:firstRow="1" w:lastRow="0" w:firstColumn="1" w:lastColumn="0" w:noHBand="0" w:noVBand="1"/>
        <w:tblCaption w:val=" "/>
        <w:tblDescription w:val="Table 2.3 Summary of performance and accountability approaches by jurisdiction, as reported in 2012"/>
      </w:tblPr>
      <w:tblGrid>
        <w:gridCol w:w="1410"/>
        <w:gridCol w:w="4145"/>
        <w:gridCol w:w="3909"/>
      </w:tblGrid>
      <w:tr w:rsidR="00DF4F77" w:rsidRPr="00FB60E5" w14:paraId="38A45E42" w14:textId="77777777" w:rsidTr="000A19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5" w:type="pct"/>
          </w:tcPr>
          <w:p w14:paraId="38A45E3F" w14:textId="77777777" w:rsidR="00DF4F77" w:rsidRPr="00FB60E5" w:rsidRDefault="00DF4F77" w:rsidP="00FB60E5">
            <w:r w:rsidRPr="00FB60E5">
              <w:t>Jurisdiction</w:t>
            </w:r>
          </w:p>
        </w:tc>
        <w:tc>
          <w:tcPr>
            <w:tcW w:w="2230" w:type="pct"/>
          </w:tcPr>
          <w:p w14:paraId="38A45E40" w14:textId="77777777" w:rsidR="00DF4F77" w:rsidRPr="00FB60E5" w:rsidRDefault="00DF4F77" w:rsidP="00FB60E5">
            <w:pPr>
              <w:cnfStyle w:val="100000000000" w:firstRow="1" w:lastRow="0" w:firstColumn="0" w:lastColumn="0" w:oddVBand="0" w:evenVBand="0" w:oddHBand="0" w:evenHBand="0" w:firstRowFirstColumn="0" w:firstRowLastColumn="0" w:lastRowFirstColumn="0" w:lastRowLastColumn="0"/>
            </w:pPr>
            <w:r w:rsidRPr="00FB60E5">
              <w:t>Strategic monitoring</w:t>
            </w:r>
          </w:p>
        </w:tc>
        <w:tc>
          <w:tcPr>
            <w:tcW w:w="2105" w:type="pct"/>
          </w:tcPr>
          <w:p w14:paraId="38A45E41" w14:textId="77777777" w:rsidR="00DF4F77" w:rsidRPr="00FB60E5" w:rsidRDefault="00DF4F77" w:rsidP="00FB60E5">
            <w:pPr>
              <w:cnfStyle w:val="100000000000" w:firstRow="1" w:lastRow="0" w:firstColumn="0" w:lastColumn="0" w:oddVBand="0" w:evenVBand="0" w:oddHBand="0" w:evenHBand="0" w:firstRowFirstColumn="0" w:firstRowLastColumn="0" w:lastRowFirstColumn="0" w:lastRowLastColumn="0"/>
            </w:pPr>
            <w:r w:rsidRPr="00FB60E5">
              <w:t>Service reporting, monitoring, and funding accountability mechanisms</w:t>
            </w:r>
          </w:p>
        </w:tc>
      </w:tr>
      <w:tr w:rsidR="00DF4F77" w:rsidRPr="00FB60E5" w14:paraId="38A45E48" w14:textId="77777777" w:rsidTr="000A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pct"/>
          </w:tcPr>
          <w:p w14:paraId="38A45E43" w14:textId="77777777" w:rsidR="00DF4F77" w:rsidRPr="00214785" w:rsidRDefault="00DF4F77" w:rsidP="00AF6D9B">
            <w:pPr>
              <w:pStyle w:val="tabletext"/>
              <w:rPr>
                <w:b w:val="0"/>
              </w:rPr>
            </w:pPr>
            <w:r w:rsidRPr="00214785">
              <w:rPr>
                <w:b w:val="0"/>
              </w:rPr>
              <w:t>ACT</w:t>
            </w:r>
          </w:p>
        </w:tc>
        <w:tc>
          <w:tcPr>
            <w:tcW w:w="2230" w:type="pct"/>
          </w:tcPr>
          <w:p w14:paraId="38A45E44"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Implementation and monitoring of drug strategy oversighted by group with both government and community representation</w:t>
            </w:r>
          </w:p>
        </w:tc>
        <w:tc>
          <w:tcPr>
            <w:tcW w:w="2105" w:type="pct"/>
          </w:tcPr>
          <w:p w14:paraId="38A45E45"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Biannual reporting of drug use and harms</w:t>
            </w:r>
          </w:p>
          <w:p w14:paraId="38A45E46"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Surveys of satisfaction and workforce</w:t>
            </w:r>
          </w:p>
          <w:p w14:paraId="38A45E47"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Service accreditation</w:t>
            </w:r>
          </w:p>
        </w:tc>
      </w:tr>
      <w:tr w:rsidR="00DF4F77" w:rsidRPr="00FB60E5" w14:paraId="38A45E4C" w14:textId="77777777" w:rsidTr="000A1966">
        <w:tc>
          <w:tcPr>
            <w:cnfStyle w:val="001000000000" w:firstRow="0" w:lastRow="0" w:firstColumn="1" w:lastColumn="0" w:oddVBand="0" w:evenVBand="0" w:oddHBand="0" w:evenHBand="0" w:firstRowFirstColumn="0" w:firstRowLastColumn="0" w:lastRowFirstColumn="0" w:lastRowLastColumn="0"/>
            <w:tcW w:w="665" w:type="pct"/>
          </w:tcPr>
          <w:p w14:paraId="38A45E49" w14:textId="77777777" w:rsidR="00DF4F77" w:rsidRPr="00214785" w:rsidRDefault="00DF4F77" w:rsidP="00AF6D9B">
            <w:pPr>
              <w:pStyle w:val="tabletext"/>
              <w:rPr>
                <w:b w:val="0"/>
              </w:rPr>
            </w:pPr>
            <w:r w:rsidRPr="00214785">
              <w:rPr>
                <w:b w:val="0"/>
              </w:rPr>
              <w:t>NSW</w:t>
            </w:r>
          </w:p>
        </w:tc>
        <w:tc>
          <w:tcPr>
            <w:tcW w:w="2230" w:type="pct"/>
          </w:tcPr>
          <w:p w14:paraId="38A45E4A" w14:textId="658D39B3"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Drug and Alcohol Program Council sub-committees responsible for oversighting service delivery and clinical practice guidelines and</w:t>
            </w:r>
            <w:r w:rsidR="002C27A8">
              <w:t xml:space="preserve"> </w:t>
            </w:r>
            <w:r w:rsidRPr="00FB60E5">
              <w:t>information management</w:t>
            </w:r>
          </w:p>
        </w:tc>
        <w:tc>
          <w:tcPr>
            <w:tcW w:w="2105" w:type="pct"/>
          </w:tcPr>
          <w:p w14:paraId="38A45E4B"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Client Outcome Monitoring System incorporating standardised measures being piloted</w:t>
            </w:r>
          </w:p>
        </w:tc>
      </w:tr>
      <w:tr w:rsidR="00DF4F77" w:rsidRPr="00FB60E5" w14:paraId="38A45E51" w14:textId="77777777" w:rsidTr="000A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pct"/>
          </w:tcPr>
          <w:p w14:paraId="38A45E4D" w14:textId="77777777" w:rsidR="00DF4F77" w:rsidRPr="00214785" w:rsidRDefault="00DF4F77" w:rsidP="00AF6D9B">
            <w:pPr>
              <w:pStyle w:val="tabletext"/>
              <w:rPr>
                <w:b w:val="0"/>
              </w:rPr>
            </w:pPr>
            <w:r w:rsidRPr="00214785">
              <w:rPr>
                <w:b w:val="0"/>
              </w:rPr>
              <w:t>NT</w:t>
            </w:r>
          </w:p>
        </w:tc>
        <w:tc>
          <w:tcPr>
            <w:tcW w:w="2230" w:type="pct"/>
          </w:tcPr>
          <w:p w14:paraId="38A45E4E"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Office of the Chief Executive facilitate strategic policy development</w:t>
            </w:r>
          </w:p>
        </w:tc>
        <w:tc>
          <w:tcPr>
            <w:tcW w:w="2105" w:type="pct"/>
          </w:tcPr>
          <w:p w14:paraId="38A45E4F"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Developing standardised procedures for service activity and performance measures</w:t>
            </w:r>
          </w:p>
          <w:p w14:paraId="38A45E50" w14:textId="649196BD"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Service funding agreements and grants administered</w:t>
            </w:r>
            <w:r w:rsidR="002C27A8">
              <w:t xml:space="preserve"> </w:t>
            </w:r>
            <w:r w:rsidRPr="00FB60E5">
              <w:t>by Department of Health</w:t>
            </w:r>
          </w:p>
        </w:tc>
      </w:tr>
      <w:tr w:rsidR="00DF4F77" w:rsidRPr="00FB60E5" w14:paraId="38A45E56" w14:textId="77777777" w:rsidTr="000A1966">
        <w:tc>
          <w:tcPr>
            <w:cnfStyle w:val="001000000000" w:firstRow="0" w:lastRow="0" w:firstColumn="1" w:lastColumn="0" w:oddVBand="0" w:evenVBand="0" w:oddHBand="0" w:evenHBand="0" w:firstRowFirstColumn="0" w:firstRowLastColumn="0" w:lastRowFirstColumn="0" w:lastRowLastColumn="0"/>
            <w:tcW w:w="665" w:type="pct"/>
          </w:tcPr>
          <w:p w14:paraId="38A45E52" w14:textId="77777777" w:rsidR="00DF4F77" w:rsidRPr="00214785" w:rsidRDefault="00DF4F77" w:rsidP="00AF6D9B">
            <w:pPr>
              <w:pStyle w:val="tabletext"/>
              <w:rPr>
                <w:b w:val="0"/>
              </w:rPr>
            </w:pPr>
            <w:r w:rsidRPr="00214785">
              <w:rPr>
                <w:b w:val="0"/>
              </w:rPr>
              <w:t>QLD</w:t>
            </w:r>
          </w:p>
        </w:tc>
        <w:tc>
          <w:tcPr>
            <w:tcW w:w="2230" w:type="pct"/>
          </w:tcPr>
          <w:p w14:paraId="38A45E53"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Drug policy oversighted by committee with representation from several government departments (including health, justice, and education) and police</w:t>
            </w:r>
          </w:p>
        </w:tc>
        <w:tc>
          <w:tcPr>
            <w:tcW w:w="2105" w:type="pct"/>
          </w:tcPr>
          <w:p w14:paraId="38A45E54"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Agreements between government and individual Hospital and Health Services cover performance and outcome</w:t>
            </w:r>
          </w:p>
          <w:p w14:paraId="38A45E55"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A performance framework covers NGO sector</w:t>
            </w:r>
          </w:p>
        </w:tc>
      </w:tr>
      <w:tr w:rsidR="00DF4F77" w:rsidRPr="00FB60E5" w14:paraId="38A45E5A" w14:textId="77777777" w:rsidTr="000A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pct"/>
          </w:tcPr>
          <w:p w14:paraId="38A45E57" w14:textId="77777777" w:rsidR="00DF4F77" w:rsidRPr="00214785" w:rsidRDefault="00DF4F77" w:rsidP="00AF6D9B">
            <w:pPr>
              <w:pStyle w:val="tabletext"/>
              <w:rPr>
                <w:b w:val="0"/>
              </w:rPr>
            </w:pPr>
            <w:r w:rsidRPr="00214785">
              <w:rPr>
                <w:b w:val="0"/>
              </w:rPr>
              <w:t>SA</w:t>
            </w:r>
          </w:p>
        </w:tc>
        <w:tc>
          <w:tcPr>
            <w:tcW w:w="2230" w:type="pct"/>
          </w:tcPr>
          <w:p w14:paraId="38A45E58"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Tendering of all NGO AOD services in 2012 allowed for standardised procurement</w:t>
            </w:r>
          </w:p>
        </w:tc>
        <w:tc>
          <w:tcPr>
            <w:tcW w:w="2105" w:type="pct"/>
          </w:tcPr>
          <w:p w14:paraId="38A45E59"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Annual service activity reporting, including services provided, informal </w:t>
            </w:r>
            <w:r w:rsidRPr="00FB60E5">
              <w:lastRenderedPageBreak/>
              <w:t>contacts, performance and funding</w:t>
            </w:r>
          </w:p>
        </w:tc>
      </w:tr>
      <w:tr w:rsidR="00DF4F77" w:rsidRPr="00FB60E5" w14:paraId="38A45E5E" w14:textId="77777777" w:rsidTr="000A1966">
        <w:tc>
          <w:tcPr>
            <w:cnfStyle w:val="001000000000" w:firstRow="0" w:lastRow="0" w:firstColumn="1" w:lastColumn="0" w:oddVBand="0" w:evenVBand="0" w:oddHBand="0" w:evenHBand="0" w:firstRowFirstColumn="0" w:firstRowLastColumn="0" w:lastRowFirstColumn="0" w:lastRowLastColumn="0"/>
            <w:tcW w:w="665" w:type="pct"/>
          </w:tcPr>
          <w:p w14:paraId="38A45E5B" w14:textId="77777777" w:rsidR="00DF4F77" w:rsidRPr="00214785" w:rsidRDefault="00DF4F77" w:rsidP="00AF6D9B">
            <w:pPr>
              <w:pStyle w:val="tabletext"/>
              <w:rPr>
                <w:b w:val="0"/>
              </w:rPr>
            </w:pPr>
            <w:r w:rsidRPr="00214785">
              <w:rPr>
                <w:b w:val="0"/>
              </w:rPr>
              <w:lastRenderedPageBreak/>
              <w:t>TAS</w:t>
            </w:r>
          </w:p>
        </w:tc>
        <w:tc>
          <w:tcPr>
            <w:tcW w:w="2230" w:type="pct"/>
          </w:tcPr>
          <w:p w14:paraId="38A45E5C"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At the time of consultation, a five year plan was in place and an evaluation was being designed</w:t>
            </w:r>
          </w:p>
        </w:tc>
        <w:tc>
          <w:tcPr>
            <w:tcW w:w="2105" w:type="pct"/>
          </w:tcPr>
          <w:p w14:paraId="38A45E5D"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Service capacity being built funded via Commonwealth Improved Services Initiative</w:t>
            </w:r>
          </w:p>
        </w:tc>
      </w:tr>
      <w:tr w:rsidR="00DF4F77" w:rsidRPr="00FB60E5" w14:paraId="38A45E63" w14:textId="77777777" w:rsidTr="000A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pct"/>
          </w:tcPr>
          <w:p w14:paraId="38A45E5F" w14:textId="77777777" w:rsidR="00DF4F77" w:rsidRPr="00214785" w:rsidRDefault="00DF4F77" w:rsidP="00AF6D9B">
            <w:pPr>
              <w:pStyle w:val="tabletext"/>
              <w:rPr>
                <w:b w:val="0"/>
              </w:rPr>
            </w:pPr>
            <w:r w:rsidRPr="00214785">
              <w:rPr>
                <w:b w:val="0"/>
              </w:rPr>
              <w:t>VIC</w:t>
            </w:r>
          </w:p>
        </w:tc>
        <w:tc>
          <w:tcPr>
            <w:tcW w:w="2230" w:type="pct"/>
          </w:tcPr>
          <w:p w14:paraId="38A45E60"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Annual reporting by Department of Health and Performance Advisory Group established. Senior AOD program managers oversight whole-of-program performance</w:t>
            </w:r>
          </w:p>
        </w:tc>
        <w:tc>
          <w:tcPr>
            <w:tcW w:w="2105" w:type="pct"/>
          </w:tcPr>
          <w:p w14:paraId="38A45E61"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Services report against target on a quarterly basis</w:t>
            </w:r>
          </w:p>
          <w:p w14:paraId="38A45E62" w14:textId="77777777" w:rsidR="00DF4F77" w:rsidRPr="00FB60E5" w:rsidRDefault="00DF4F77" w:rsidP="00AF6D9B">
            <w:pPr>
              <w:pStyle w:val="tabletext"/>
              <w:cnfStyle w:val="000000100000" w:firstRow="0" w:lastRow="0" w:firstColumn="0" w:lastColumn="0" w:oddVBand="0" w:evenVBand="0" w:oddHBand="1" w:evenHBand="0" w:firstRowFirstColumn="0" w:firstRowLastColumn="0" w:lastRowFirstColumn="0" w:lastRowLastColumn="0"/>
            </w:pPr>
            <w:r w:rsidRPr="00FB60E5">
              <w:t>Performance management framework initiated April 2010</w:t>
            </w:r>
          </w:p>
        </w:tc>
      </w:tr>
      <w:tr w:rsidR="00DF4F77" w:rsidRPr="00FB60E5" w14:paraId="38A45E69" w14:textId="77777777" w:rsidTr="000A1966">
        <w:tc>
          <w:tcPr>
            <w:cnfStyle w:val="001000000000" w:firstRow="0" w:lastRow="0" w:firstColumn="1" w:lastColumn="0" w:oddVBand="0" w:evenVBand="0" w:oddHBand="0" w:evenHBand="0" w:firstRowFirstColumn="0" w:firstRowLastColumn="0" w:lastRowFirstColumn="0" w:lastRowLastColumn="0"/>
            <w:tcW w:w="665" w:type="pct"/>
          </w:tcPr>
          <w:p w14:paraId="38A45E64" w14:textId="77777777" w:rsidR="00DF4F77" w:rsidRPr="00214785" w:rsidRDefault="00DF4F77" w:rsidP="00AF6D9B">
            <w:pPr>
              <w:pStyle w:val="tabletext"/>
              <w:rPr>
                <w:b w:val="0"/>
              </w:rPr>
            </w:pPr>
            <w:r w:rsidRPr="00214785">
              <w:rPr>
                <w:b w:val="0"/>
              </w:rPr>
              <w:t>WA</w:t>
            </w:r>
          </w:p>
        </w:tc>
        <w:tc>
          <w:tcPr>
            <w:tcW w:w="2230" w:type="pct"/>
          </w:tcPr>
          <w:p w14:paraId="38A45E65"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Monitoring, evaluation and research activities conducted by relevant branch of Drug and Alcohol Office. Planning undertaken within framework of strategic plan</w:t>
            </w:r>
          </w:p>
        </w:tc>
        <w:tc>
          <w:tcPr>
            <w:tcW w:w="2105" w:type="pct"/>
          </w:tcPr>
          <w:p w14:paraId="38A45E66"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Drug and Alcohol Office policy and procedures templates available to assist in monitoring standards</w:t>
            </w:r>
          </w:p>
          <w:p w14:paraId="38A45E67"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Six monthly activity and outcomes reporting</w:t>
            </w:r>
          </w:p>
          <w:p w14:paraId="38A45E68" w14:textId="77777777" w:rsidR="00DF4F77" w:rsidRPr="00FB60E5" w:rsidRDefault="00DF4F77" w:rsidP="00AF6D9B">
            <w:pPr>
              <w:pStyle w:val="tabletext"/>
              <w:cnfStyle w:val="000000000000" w:firstRow="0" w:lastRow="0" w:firstColumn="0" w:lastColumn="0" w:oddVBand="0" w:evenVBand="0" w:oddHBand="0" w:evenHBand="0" w:firstRowFirstColumn="0" w:firstRowLastColumn="0" w:lastRowFirstColumn="0" w:lastRowLastColumn="0"/>
            </w:pPr>
            <w:r w:rsidRPr="00FB60E5">
              <w:t>Reviewing outcome measures</w:t>
            </w:r>
          </w:p>
        </w:tc>
      </w:tr>
    </w:tbl>
    <w:p w14:paraId="38A45E6B" w14:textId="77777777" w:rsidR="00DF4F77" w:rsidRPr="00B47369" w:rsidRDefault="00DF4F77" w:rsidP="00B47369">
      <w:pPr>
        <w:pStyle w:val="Heading3"/>
      </w:pPr>
      <w:r w:rsidRPr="00B47369">
        <w:t>Strengths and challenges</w:t>
      </w:r>
    </w:p>
    <w:p w14:paraId="38A45E6C" w14:textId="77777777" w:rsidR="00DF4F77" w:rsidRPr="00FB60E5" w:rsidRDefault="00DF4F77" w:rsidP="00FB60E5">
      <w:pPr>
        <w:ind w:left="0"/>
      </w:pPr>
      <w:r w:rsidRPr="00FB60E5">
        <w:t>The consultation process in most jurisdictions yielded lists of both strengths and challenges for the AOD system, many of which were common across states and territories. Indeed, in some places the s</w:t>
      </w:r>
      <w:r w:rsidR="005B4859" w:rsidRPr="00FB60E5">
        <w:t xml:space="preserve">ame factor was listed as both </w:t>
      </w:r>
      <w:proofErr w:type="gramStart"/>
      <w:r w:rsidR="005B4859" w:rsidRPr="00FB60E5">
        <w:t xml:space="preserve">a </w:t>
      </w:r>
      <w:r w:rsidRPr="00FB60E5">
        <w:t>strength</w:t>
      </w:r>
      <w:proofErr w:type="gramEnd"/>
      <w:r w:rsidRPr="00FB60E5">
        <w:t xml:space="preserve"> and a challenge. Rather than attempt to exhaustively analyse these by jurisdiction and whether </w:t>
      </w:r>
      <w:proofErr w:type="gramStart"/>
      <w:r w:rsidRPr="00FB60E5">
        <w:t>a strength</w:t>
      </w:r>
      <w:proofErr w:type="gramEnd"/>
      <w:r w:rsidRPr="00FB60E5">
        <w:t xml:space="preserve"> or a challenge, the following has been compiled from the synopses as a broad list of issues identified for AOD service systems:</w:t>
      </w:r>
    </w:p>
    <w:p w14:paraId="38A45E6D" w14:textId="77777777" w:rsidR="00DF4F77" w:rsidRPr="00FB60E5" w:rsidRDefault="00DF4F77" w:rsidP="000A1966">
      <w:pPr>
        <w:pStyle w:val="Numberedlist"/>
      </w:pPr>
      <w:r w:rsidRPr="00FB60E5">
        <w:t>Issues of treatment access and appropriateness</w:t>
      </w:r>
    </w:p>
    <w:p w14:paraId="38A45E6E" w14:textId="77777777" w:rsidR="00DF4F77" w:rsidRPr="00FB60E5" w:rsidRDefault="00DF4F77" w:rsidP="00882917">
      <w:pPr>
        <w:pStyle w:val="ListParagraph"/>
        <w:numPr>
          <w:ilvl w:val="0"/>
          <w:numId w:val="10"/>
        </w:numPr>
      </w:pPr>
      <w:r w:rsidRPr="00FB60E5">
        <w:t>Addressing the needs of particular population groups, especially Aboriginal and Torres Strait Islander people, young people, women, prisoners, migrant and remote communities</w:t>
      </w:r>
      <w:r w:rsidR="005B4859" w:rsidRPr="00FB60E5">
        <w:t>;</w:t>
      </w:r>
    </w:p>
    <w:p w14:paraId="38A45E6F" w14:textId="77777777" w:rsidR="00DF4F77" w:rsidRPr="00FB60E5" w:rsidRDefault="00DF4F77" w:rsidP="00882917">
      <w:pPr>
        <w:pStyle w:val="ListParagraph"/>
        <w:numPr>
          <w:ilvl w:val="0"/>
          <w:numId w:val="10"/>
        </w:numPr>
      </w:pPr>
      <w:r w:rsidRPr="00FB60E5">
        <w:t>Addressing complex needs including mental health, acquired brain injury, intergenerational substance use, tobacco use</w:t>
      </w:r>
      <w:r w:rsidR="005B4859" w:rsidRPr="00FB60E5">
        <w:t>;</w:t>
      </w:r>
    </w:p>
    <w:p w14:paraId="38A45E70" w14:textId="77777777" w:rsidR="00DF4F77" w:rsidRPr="00FB60E5" w:rsidRDefault="00DF4F77" w:rsidP="00882917">
      <w:pPr>
        <w:pStyle w:val="ListParagraph"/>
        <w:numPr>
          <w:ilvl w:val="0"/>
          <w:numId w:val="10"/>
        </w:numPr>
      </w:pPr>
      <w:r w:rsidRPr="00FB60E5">
        <w:t>Responsiveness to emerging issues</w:t>
      </w:r>
      <w:r w:rsidR="0048043A" w:rsidRPr="00FB60E5">
        <w:t>,</w:t>
      </w:r>
      <w:r w:rsidRPr="00FB60E5">
        <w:t xml:space="preserve"> e.g. drug trends</w:t>
      </w:r>
      <w:r w:rsidR="005B4859" w:rsidRPr="00FB60E5">
        <w:t>.</w:t>
      </w:r>
    </w:p>
    <w:p w14:paraId="38A45E71" w14:textId="77777777" w:rsidR="00DF4F77" w:rsidRPr="00FB60E5" w:rsidRDefault="00DF4F77" w:rsidP="000A1966">
      <w:pPr>
        <w:pStyle w:val="Numberedlist"/>
      </w:pPr>
      <w:r w:rsidRPr="00FB60E5">
        <w:t>Issues of service delivery</w:t>
      </w:r>
    </w:p>
    <w:p w14:paraId="38A45E72" w14:textId="77777777" w:rsidR="00DF4F77" w:rsidRPr="00FB60E5" w:rsidRDefault="00DF4F77" w:rsidP="00882917">
      <w:pPr>
        <w:pStyle w:val="ListParagraph"/>
        <w:numPr>
          <w:ilvl w:val="0"/>
          <w:numId w:val="11"/>
        </w:numPr>
      </w:pPr>
      <w:r w:rsidRPr="00FB60E5">
        <w:t>Maintaining and improving quality of service provision, standardising performance measures, evaluation, evidence based-practice</w:t>
      </w:r>
      <w:r w:rsidR="005B4859" w:rsidRPr="00FB60E5">
        <w:t>;</w:t>
      </w:r>
    </w:p>
    <w:p w14:paraId="38A45E73" w14:textId="77777777" w:rsidR="00DF4F77" w:rsidRPr="00FB60E5" w:rsidRDefault="00DF4F77" w:rsidP="00882917">
      <w:pPr>
        <w:pStyle w:val="ListParagraph"/>
        <w:numPr>
          <w:ilvl w:val="0"/>
          <w:numId w:val="11"/>
        </w:numPr>
      </w:pPr>
      <w:r w:rsidRPr="00FB60E5">
        <w:t>Sustainability of service provision</w:t>
      </w:r>
      <w:r w:rsidR="0048043A" w:rsidRPr="00FB60E5">
        <w:t>,</w:t>
      </w:r>
      <w:r w:rsidRPr="00FB60E5">
        <w:t xml:space="preserve"> e.g. workforce capacity building, skill mix and succession planning</w:t>
      </w:r>
      <w:r w:rsidR="005B4859" w:rsidRPr="00FB60E5">
        <w:t>;</w:t>
      </w:r>
    </w:p>
    <w:p w14:paraId="38A45E74" w14:textId="77777777" w:rsidR="00DF4F77" w:rsidRPr="00FB60E5" w:rsidRDefault="00DF4F77" w:rsidP="00882917">
      <w:pPr>
        <w:pStyle w:val="ListParagraph"/>
        <w:numPr>
          <w:ilvl w:val="0"/>
          <w:numId w:val="11"/>
        </w:numPr>
      </w:pPr>
      <w:r w:rsidRPr="00FB60E5">
        <w:t>Funding</w:t>
      </w:r>
      <w:r w:rsidR="00D51944" w:rsidRPr="00FB60E5">
        <w:t>,</w:t>
      </w:r>
      <w:r w:rsidRPr="00FB60E5">
        <w:t xml:space="preserve"> e.g. full cost of service delivery, funding inequities within sector, ensuring funding models encourage continuity of care</w:t>
      </w:r>
      <w:r w:rsidR="005B4859" w:rsidRPr="00FB60E5">
        <w:t>.</w:t>
      </w:r>
    </w:p>
    <w:p w14:paraId="38A45E75" w14:textId="77777777" w:rsidR="00DF4F77" w:rsidRPr="00FB60E5" w:rsidRDefault="00DF4F77" w:rsidP="000A1966">
      <w:pPr>
        <w:pStyle w:val="Numberedlist"/>
      </w:pPr>
      <w:r w:rsidRPr="00FB60E5">
        <w:t>Issues of service context</w:t>
      </w:r>
    </w:p>
    <w:p w14:paraId="38A45E76" w14:textId="77777777" w:rsidR="00DF4F77" w:rsidRPr="00FB60E5" w:rsidRDefault="00DF4F77" w:rsidP="00882917">
      <w:pPr>
        <w:pStyle w:val="ListParagraph"/>
        <w:numPr>
          <w:ilvl w:val="0"/>
          <w:numId w:val="12"/>
        </w:numPr>
      </w:pPr>
      <w:r w:rsidRPr="00FB60E5">
        <w:t>Balance of demand reduction, harm reduction and supply reduction</w:t>
      </w:r>
      <w:r w:rsidR="005B4859" w:rsidRPr="00FB60E5">
        <w:t>;</w:t>
      </w:r>
    </w:p>
    <w:p w14:paraId="38A45E77" w14:textId="77777777" w:rsidR="00DF4F77" w:rsidRPr="00FB60E5" w:rsidRDefault="0048043A" w:rsidP="00882917">
      <w:pPr>
        <w:pStyle w:val="ListParagraph"/>
        <w:numPr>
          <w:ilvl w:val="0"/>
          <w:numId w:val="12"/>
        </w:numPr>
      </w:pPr>
      <w:r w:rsidRPr="00FB60E5">
        <w:t>Intra-</w:t>
      </w:r>
      <w:r w:rsidR="00DF4F77" w:rsidRPr="00FB60E5">
        <w:t>and inter-sectoral linkage, community connection</w:t>
      </w:r>
    </w:p>
    <w:p w14:paraId="38A45E79" w14:textId="77777777" w:rsidR="00DF4F77" w:rsidRPr="00FB60E5" w:rsidRDefault="00DF4F77" w:rsidP="00882917">
      <w:pPr>
        <w:pStyle w:val="Heading2"/>
        <w:numPr>
          <w:ilvl w:val="1"/>
          <w:numId w:val="9"/>
        </w:numPr>
      </w:pPr>
      <w:bookmarkStart w:id="111" w:name="_Toc386108193"/>
      <w:bookmarkStart w:id="112" w:name="_Toc387426333"/>
      <w:bookmarkStart w:id="113" w:name="_Toc398105042"/>
      <w:bookmarkStart w:id="114" w:name="_Toc531696244"/>
      <w:r w:rsidRPr="00FB60E5">
        <w:t>Summary</w:t>
      </w:r>
      <w:bookmarkEnd w:id="111"/>
      <w:bookmarkEnd w:id="112"/>
      <w:bookmarkEnd w:id="113"/>
      <w:bookmarkEnd w:id="114"/>
    </w:p>
    <w:p w14:paraId="38A45E7A" w14:textId="77777777" w:rsidR="00DF4F77" w:rsidRPr="00FB60E5" w:rsidRDefault="00DF4F77" w:rsidP="00FB60E5">
      <w:pPr>
        <w:ind w:left="0"/>
      </w:pPr>
      <w:r w:rsidRPr="00FB60E5">
        <w:t xml:space="preserve">The documentation of AOD treatment systems in each state and territory reveals some important commonalities as well as areas of difference. There are broad principles which </w:t>
      </w:r>
      <w:r w:rsidRPr="00FB60E5">
        <w:lastRenderedPageBreak/>
        <w:t>are articulated in most relevant strategic policy documents. In essence, most systems strive to provide accessible, client-centred services which deliver evidence-based treatment within a harm-reduction framework. There is also a general aspiration that individual services are just one part of a larger interconnected system, including AOD services and other health and welfare services.</w:t>
      </w:r>
    </w:p>
    <w:p w14:paraId="38A45E7B" w14:textId="77777777" w:rsidR="00DF4F77" w:rsidRPr="00FB60E5" w:rsidRDefault="00DF4F77" w:rsidP="00FB60E5">
      <w:pPr>
        <w:ind w:left="0"/>
      </w:pPr>
      <w:r w:rsidRPr="00FB60E5">
        <w:t>Assessment, counselling and withdrawal appear to be the cornerstone of treatment in many jurisdictions, although there is considerable variability in treatment utilised across the country. While some client characteristics are relatively homogenous across jurisdictions (e.g. gender, age, country of birth), there is considerable heterogeneity in terms of Indigenous status, primary drug</w:t>
      </w:r>
      <w:r w:rsidR="00845AC6" w:rsidRPr="00FB60E5">
        <w:t xml:space="preserve"> of concern and referral source, although it is not clear that system variations are a direct response to differences in presenting populations or profiles.</w:t>
      </w:r>
    </w:p>
    <w:p w14:paraId="38A45E7C" w14:textId="77777777" w:rsidR="00DF4F77" w:rsidRPr="00FB60E5" w:rsidRDefault="00DF4F77" w:rsidP="00FB60E5">
      <w:pPr>
        <w:ind w:left="0"/>
      </w:pPr>
      <w:r w:rsidRPr="00FB60E5">
        <w:t>There is a diversity of models of service provision across Australia. For example, there is variability in the ratio of GO to NGO services</w:t>
      </w:r>
      <w:r w:rsidR="0048043A" w:rsidRPr="00FB60E5">
        <w:t xml:space="preserve"> - in the </w:t>
      </w:r>
      <w:r w:rsidRPr="00FB60E5">
        <w:t xml:space="preserve">emphasis placed on different treatment types, </w:t>
      </w:r>
      <w:r w:rsidR="0048043A" w:rsidRPr="00FB60E5">
        <w:t xml:space="preserve">in </w:t>
      </w:r>
      <w:r w:rsidRPr="00FB60E5">
        <w:t xml:space="preserve">the degree of centralisation versus decentralisation, and </w:t>
      </w:r>
      <w:r w:rsidR="0048043A" w:rsidRPr="00FB60E5">
        <w:t xml:space="preserve">in </w:t>
      </w:r>
      <w:r w:rsidRPr="00FB60E5">
        <w:t>structural support for linkages with other services. There is apparent commitment in all states and territories to monitoring and accountability, although the mechanisms in place to support this vary by jurisdiction and it is an area for ongoing development. There is clear support for ensuring AOD service systems are accessible to, and responsive</w:t>
      </w:r>
      <w:r w:rsidR="005B4859" w:rsidRPr="00FB60E5">
        <w:t>,</w:t>
      </w:r>
      <w:r w:rsidRPr="00FB60E5">
        <w:t xml:space="preserve"> to the needs of clients. Further, ensuring the interconnectedness of services with each other and with other sectors is an objective in many states and territories, although the challenges in achieving this are widely recognised.</w:t>
      </w:r>
      <w:r w:rsidR="00690998" w:rsidRPr="00FB60E5">
        <w:t xml:space="preserve"> As mentioned earlier, a comprehensive review of the Australian AOD treatment system is under</w:t>
      </w:r>
      <w:r w:rsidR="0048043A" w:rsidRPr="00FB60E5">
        <w:t xml:space="preserve"> </w:t>
      </w:r>
      <w:r w:rsidR="00690998" w:rsidRPr="00FB60E5">
        <w:t>way. The review commenced after the consultations for this project were undertaken, but before reporting. To avoid duplication of effort, the synopses prepared for this project have been provided to the DPMP team to inform their project design and data collection.</w:t>
      </w:r>
    </w:p>
    <w:p w14:paraId="38A45E7D" w14:textId="52A3A7A9" w:rsidR="00DF4F77" w:rsidRPr="00FB60E5" w:rsidRDefault="00DF4F77" w:rsidP="00FB60E5">
      <w:pPr>
        <w:ind w:left="0"/>
      </w:pPr>
      <w:r w:rsidRPr="00FB60E5">
        <w:t xml:space="preserve">Given the policy emphasis on accessible and interconnected service systems in most jurisdictions, it is not clear from the evidence gathered through the document review and consultation processes how well integrated existing AOD systems actually are. For example, it is not immediately clear from the synopses how clients initially access treatment, how they progress from one phase or type of treatment to another, and to what extent clients accessing AOD treatment also access other health and welfare agencies. </w:t>
      </w:r>
      <w:r w:rsidR="00845AC6" w:rsidRPr="00FB60E5">
        <w:t>This links to the perceived omission around formal mechanisms for demand modelling and for mapping addiction and treatment careers. It is hoped the linkage work illustrated below will assist in addressing this issue.</w:t>
      </w:r>
    </w:p>
    <w:p w14:paraId="4A56446D" w14:textId="77777777" w:rsidR="00BB0E5E" w:rsidRDefault="00E6080A" w:rsidP="00882917">
      <w:pPr>
        <w:pStyle w:val="Heading1"/>
        <w:numPr>
          <w:ilvl w:val="0"/>
          <w:numId w:val="9"/>
        </w:numPr>
      </w:pPr>
      <w:bookmarkStart w:id="115" w:name="_Toc398105043"/>
      <w:bookmarkStart w:id="116" w:name="_Toc531696245"/>
      <w:r w:rsidRPr="00FB60E5">
        <w:lastRenderedPageBreak/>
        <w:t>Client survey data: b</w:t>
      </w:r>
      <w:r w:rsidR="00EF5EE7" w:rsidRPr="00FB60E5">
        <w:t>aseline and follow-up</w:t>
      </w:r>
      <w:bookmarkEnd w:id="115"/>
      <w:bookmarkEnd w:id="116"/>
    </w:p>
    <w:p w14:paraId="38A45E80" w14:textId="165B5EF3" w:rsidR="00D51944" w:rsidRPr="00FB60E5" w:rsidRDefault="00D51944" w:rsidP="00FB60E5">
      <w:pPr>
        <w:ind w:left="0"/>
      </w:pPr>
      <w:bookmarkStart w:id="117" w:name="_Toc387426335"/>
      <w:r w:rsidRPr="00FB60E5">
        <w:t>The purpose of client interviews was four-fold: first</w:t>
      </w:r>
      <w:r w:rsidR="00845AC6" w:rsidRPr="00FB60E5">
        <w:t xml:space="preserve">ly our aim </w:t>
      </w:r>
      <w:r w:rsidR="00937ADC" w:rsidRPr="00FB60E5">
        <w:t>was</w:t>
      </w:r>
      <w:r w:rsidR="00845AC6" w:rsidRPr="00FB60E5">
        <w:t xml:space="preserve"> to </w:t>
      </w:r>
      <w:r w:rsidRPr="00FB60E5">
        <w:t xml:space="preserve">examine populations who engage in treatment in Victoria and WA, their </w:t>
      </w:r>
      <w:r w:rsidR="00937ADC" w:rsidRPr="00FB60E5">
        <w:t>substance use</w:t>
      </w:r>
      <w:r w:rsidRPr="00FB60E5">
        <w:t xml:space="preserve"> profile</w:t>
      </w:r>
      <w:r w:rsidR="00937ADC" w:rsidRPr="00FB60E5">
        <w:t xml:space="preserve"> and other presenting/complex needs</w:t>
      </w:r>
      <w:r w:rsidRPr="00FB60E5">
        <w:t>; second</w:t>
      </w:r>
      <w:r w:rsidR="00845AC6" w:rsidRPr="00FB60E5">
        <w:t>ly</w:t>
      </w:r>
      <w:r w:rsidRPr="00FB60E5">
        <w:t>, to examine the services engaged with at the primary index treatment (PIT) and the clients</w:t>
      </w:r>
      <w:r w:rsidR="00845AC6" w:rsidRPr="00FB60E5">
        <w:t>’</w:t>
      </w:r>
      <w:r w:rsidRPr="00FB60E5">
        <w:t xml:space="preserve"> recent history of help seeking; third</w:t>
      </w:r>
      <w:r w:rsidR="00845AC6" w:rsidRPr="00FB60E5">
        <w:t>ly</w:t>
      </w:r>
      <w:r w:rsidRPr="00FB60E5">
        <w:t>, to examine client pathways through AOD treatment and other forms of peer and professional help; and fourth</w:t>
      </w:r>
      <w:r w:rsidR="00845AC6" w:rsidRPr="00FB60E5">
        <w:t>ly</w:t>
      </w:r>
      <w:r w:rsidRPr="00FB60E5">
        <w:t>, to examine client outcomes achieved over this time and how they differ according to the extent of AOD service use and integration with other community services - i.e., the treatment pathway</w:t>
      </w:r>
      <w:r w:rsidR="00845AC6" w:rsidRPr="00FB60E5">
        <w:t xml:space="preserve"> engaged in</w:t>
      </w:r>
      <w:r w:rsidRPr="00FB60E5">
        <w:t>.</w:t>
      </w:r>
    </w:p>
    <w:p w14:paraId="38A45E81" w14:textId="77777777" w:rsidR="00872CA8" w:rsidRPr="00FB60E5" w:rsidRDefault="00872CA8" w:rsidP="00882917">
      <w:pPr>
        <w:pStyle w:val="Heading2"/>
        <w:numPr>
          <w:ilvl w:val="1"/>
          <w:numId w:val="9"/>
        </w:numPr>
      </w:pPr>
      <w:bookmarkStart w:id="118" w:name="_Toc398105044"/>
      <w:bookmarkStart w:id="119" w:name="_Toc531696246"/>
      <w:r w:rsidRPr="00FB60E5">
        <w:t>Methods</w:t>
      </w:r>
      <w:bookmarkEnd w:id="117"/>
      <w:bookmarkEnd w:id="118"/>
      <w:bookmarkEnd w:id="119"/>
    </w:p>
    <w:p w14:paraId="38A45E82" w14:textId="77777777" w:rsidR="00872CA8" w:rsidRPr="00B47369" w:rsidRDefault="00872CA8" w:rsidP="00B47369">
      <w:pPr>
        <w:pStyle w:val="Heading3"/>
      </w:pPr>
      <w:r w:rsidRPr="00B47369">
        <w:t>Ethics approval</w:t>
      </w:r>
    </w:p>
    <w:p w14:paraId="38A45E83" w14:textId="77777777" w:rsidR="00872CA8" w:rsidRPr="00FB60E5" w:rsidRDefault="00872CA8" w:rsidP="00FB60E5">
      <w:pPr>
        <w:ind w:left="0"/>
      </w:pPr>
      <w:r w:rsidRPr="00FB60E5">
        <w:t>Ethics approval for this project was obtained from Eastern Health Research and Ethics Committee (</w:t>
      </w:r>
      <w:r w:rsidR="00E60056" w:rsidRPr="00FB60E5">
        <w:t>LR28/1112 for the systems description</w:t>
      </w:r>
      <w:r w:rsidR="00143486" w:rsidRPr="00FB60E5">
        <w:t xml:space="preserve">; </w:t>
      </w:r>
      <w:r w:rsidRPr="00FB60E5">
        <w:t>E17/1112</w:t>
      </w:r>
      <w:r w:rsidR="00E60056" w:rsidRPr="00FB60E5">
        <w:t xml:space="preserve"> for the client survey and qualitative component and</w:t>
      </w:r>
      <w:r w:rsidR="00143486" w:rsidRPr="00FB60E5">
        <w:t xml:space="preserve"> </w:t>
      </w:r>
      <w:r w:rsidR="00B12B11" w:rsidRPr="00FB60E5">
        <w:t>E60/1112</w:t>
      </w:r>
      <w:r w:rsidR="00E60056" w:rsidRPr="00FB60E5">
        <w:t xml:space="preserve"> for the linkage component</w:t>
      </w:r>
      <w:r w:rsidRPr="00FB60E5">
        <w:t>), Monash University Human Research Ethics Committee (201200020) and Curtin University (HR11/2012)</w:t>
      </w:r>
      <w:r w:rsidR="00B83433" w:rsidRPr="00FB60E5">
        <w:t>.</w:t>
      </w:r>
    </w:p>
    <w:p w14:paraId="38A45E84" w14:textId="77777777" w:rsidR="00872CA8" w:rsidRPr="00B47369" w:rsidRDefault="00872CA8" w:rsidP="00B47369">
      <w:pPr>
        <w:pStyle w:val="Heading3"/>
      </w:pPr>
      <w:r w:rsidRPr="00B47369">
        <w:t>Eligibility</w:t>
      </w:r>
    </w:p>
    <w:p w14:paraId="38A45E85" w14:textId="77777777" w:rsidR="00872CA8" w:rsidRPr="00FB60E5" w:rsidRDefault="00872CA8" w:rsidP="00FB60E5">
      <w:pPr>
        <w:ind w:left="0"/>
      </w:pPr>
      <w:r w:rsidRPr="00FB60E5">
        <w:t xml:space="preserve">To be eligible for the study, AOD treatment service clients had to be aged over 18 and </w:t>
      </w:r>
      <w:r w:rsidR="006E7C94" w:rsidRPr="00FB60E5">
        <w:t xml:space="preserve">must </w:t>
      </w:r>
      <w:r w:rsidR="00190EFE" w:rsidRPr="00FB60E5">
        <w:t>not</w:t>
      </w:r>
      <w:r w:rsidR="006E7C94" w:rsidRPr="00FB60E5">
        <w:t xml:space="preserve"> have</w:t>
      </w:r>
      <w:r w:rsidR="00190EFE" w:rsidRPr="00FB60E5">
        <w:t xml:space="preserve"> participated in the same treatment type at the same service in the three weeks prior to entering their primary index treatment (PIT).</w:t>
      </w:r>
    </w:p>
    <w:p w14:paraId="38A45E86" w14:textId="77777777" w:rsidR="00872CA8" w:rsidRPr="00B47369" w:rsidRDefault="00872CA8" w:rsidP="00B47369">
      <w:pPr>
        <w:pStyle w:val="Heading3"/>
      </w:pPr>
      <w:r w:rsidRPr="00B47369">
        <w:t>Recruitment</w:t>
      </w:r>
    </w:p>
    <w:p w14:paraId="38A45E87" w14:textId="77777777" w:rsidR="00872CA8" w:rsidRPr="00FB60E5" w:rsidRDefault="00872CA8" w:rsidP="00FB60E5">
      <w:pPr>
        <w:ind w:left="0"/>
      </w:pPr>
      <w:r w:rsidRPr="00FB60E5">
        <w:t xml:space="preserve">Management and staff of AOD treatment services were approached to assist with the recruitment of clients to the project. </w:t>
      </w:r>
      <w:proofErr w:type="gramStart"/>
      <w:r w:rsidRPr="00FB60E5">
        <w:t>Staff were</w:t>
      </w:r>
      <w:proofErr w:type="gramEnd"/>
      <w:r w:rsidRPr="00FB60E5">
        <w:t xml:space="preserve"> provided with a brief information sheet to show clients and were asked to collect the contact details of those who were interested in participating. The research team then made contact with the client to arrange a mutually convenient interview time, or, particularly for those in residential treatment, an interview appointment was made via the service.</w:t>
      </w:r>
    </w:p>
    <w:p w14:paraId="38A45E88" w14:textId="77777777" w:rsidR="00872CA8" w:rsidRPr="00B47369" w:rsidRDefault="00872CA8" w:rsidP="00B47369">
      <w:pPr>
        <w:pStyle w:val="Heading3"/>
      </w:pPr>
      <w:r w:rsidRPr="00B47369">
        <w:t>Response rate</w:t>
      </w:r>
    </w:p>
    <w:p w14:paraId="38A45E89" w14:textId="77777777" w:rsidR="00872CA8" w:rsidRPr="00FB60E5" w:rsidRDefault="00872CA8" w:rsidP="00FB60E5">
      <w:pPr>
        <w:ind w:left="0"/>
      </w:pPr>
      <w:r w:rsidRPr="00FB60E5">
        <w:t>A total of 1054 people provided contact details directly to the project team or via an AOD agency</w:t>
      </w:r>
      <w:r w:rsidR="00D51944" w:rsidRPr="00FB60E5">
        <w:t>,</w:t>
      </w:r>
      <w:r w:rsidRPr="00FB60E5">
        <w:t xml:space="preserve"> and 796 participated in the baseline interview (i.e. 7</w:t>
      </w:r>
      <w:r w:rsidR="00D15BE7" w:rsidRPr="00FB60E5">
        <w:t>6</w:t>
      </w:r>
      <w:r w:rsidRPr="00FB60E5">
        <w:t xml:space="preserve">% of those who initially provided contact details). Of the 258 people not interviewed </w:t>
      </w:r>
      <w:r w:rsidR="00845AC6" w:rsidRPr="00FB60E5">
        <w:t>at baseline</w:t>
      </w:r>
      <w:r w:rsidRPr="00FB60E5">
        <w:t xml:space="preserve">, 26 were no longer interested in participating, 81 were ineligible (i.e. </w:t>
      </w:r>
      <w:r w:rsidR="006E7C94" w:rsidRPr="00FB60E5">
        <w:t>had received treatment in the past 3 weeks</w:t>
      </w:r>
      <w:r w:rsidRPr="00FB60E5">
        <w:t>), 150 people were unreachable via contacts provided, and one person was deceased. It is impossible to determine the exact number of people who were notified about the project by AOD treatment service staff.</w:t>
      </w:r>
    </w:p>
    <w:p w14:paraId="38A45E8A" w14:textId="77777777" w:rsidR="00872CA8" w:rsidRPr="00B47369" w:rsidRDefault="00872CA8" w:rsidP="00B47369">
      <w:pPr>
        <w:pStyle w:val="Heading3"/>
      </w:pPr>
      <w:r w:rsidRPr="00B47369">
        <w:t>Settings</w:t>
      </w:r>
    </w:p>
    <w:p w14:paraId="38A45E8B" w14:textId="77777777" w:rsidR="00872CA8" w:rsidRPr="00FB60E5" w:rsidRDefault="00872CA8" w:rsidP="00FB60E5">
      <w:pPr>
        <w:ind w:left="0"/>
      </w:pPr>
      <w:r w:rsidRPr="00FB60E5">
        <w:t>Participants were recruited from a range of treatment agencies in Victoria (n=13) and Western Australia (n=8) representing the spectrum of AOD treatment services available (including various forms of outpatient and inpatient treatment and residential rehabilitation) in each jurisdiction. Interviews were conducted by a team of trained and experienced researchers from Turning Point (n=5), the National Drug Research Institute (NDRI) (n=7) and Monash University (n=1).</w:t>
      </w:r>
    </w:p>
    <w:p w14:paraId="2D9E5D1C" w14:textId="77777777" w:rsidR="000101C9" w:rsidRPr="00B47369" w:rsidRDefault="000101C9" w:rsidP="00B47369">
      <w:pPr>
        <w:pStyle w:val="Heading3"/>
      </w:pPr>
      <w:r w:rsidRPr="00B47369">
        <w:lastRenderedPageBreak/>
        <w:t>Sampling frame</w:t>
      </w:r>
    </w:p>
    <w:p w14:paraId="38A45E8D" w14:textId="76F8E74A" w:rsidR="005B3259" w:rsidRPr="00FB60E5" w:rsidRDefault="005B3259" w:rsidP="00FB60E5">
      <w:pPr>
        <w:ind w:left="0"/>
      </w:pPr>
      <w:r w:rsidRPr="00FB60E5">
        <w:t xml:space="preserve">The Victorian agencies in the sample were selected from the </w:t>
      </w:r>
      <w:proofErr w:type="spellStart"/>
      <w:r w:rsidRPr="00FB60E5">
        <w:t>statewide</w:t>
      </w:r>
      <w:proofErr w:type="spellEnd"/>
      <w:r w:rsidRPr="00FB60E5">
        <w:t xml:space="preserve"> telephone information and referral service at Turning Point, and represent those services in Victoria providing specialist Alcohol and Drug treatment services as represented by the National Minimum Dataset </w:t>
      </w:r>
      <w:r w:rsidR="006E7C94" w:rsidRPr="00FB60E5">
        <w:t>(AODTS-NMDS)</w:t>
      </w:r>
      <w:r w:rsidRPr="00FB60E5">
        <w:t xml:space="preserve"> with additional recruitment of clients receiving specialist pharmacotherapy services (SPS). For the Western Australia sample, agencies were identified via the Drug and Alcohol listing of services, produced by the Government of Western Australia, Drug and Alcohol Office. The rationale for the inclusion of clients of the SPS was that they represent a significant portion of people involved in AOD treatment at both the state and national level, but are not recorded in the same systems that contribute to the national </w:t>
      </w:r>
      <w:r w:rsidR="006E7C94" w:rsidRPr="00FB60E5">
        <w:t>AODTS-NMDS</w:t>
      </w:r>
      <w:r w:rsidR="000101C9">
        <w:t>.</w:t>
      </w:r>
    </w:p>
    <w:p w14:paraId="38A45E8E" w14:textId="77777777" w:rsidR="00872CA8" w:rsidRPr="00FB60E5" w:rsidRDefault="00872CA8" w:rsidP="00FB60E5">
      <w:pPr>
        <w:ind w:left="0"/>
      </w:pPr>
      <w:r w:rsidRPr="00FB60E5">
        <w:t>A number of exclusion criteria served to reduce the number of services from the initial database. Exclusion criteria included</w:t>
      </w:r>
      <w:r w:rsidR="00727386" w:rsidRPr="00FB60E5">
        <w:t>:</w:t>
      </w:r>
    </w:p>
    <w:p w14:paraId="38A45E8F" w14:textId="77777777" w:rsidR="00872CA8" w:rsidRPr="00FB60E5" w:rsidRDefault="00872CA8" w:rsidP="00882917">
      <w:pPr>
        <w:pStyle w:val="ListParagraph"/>
        <w:numPr>
          <w:ilvl w:val="0"/>
          <w:numId w:val="14"/>
        </w:numPr>
      </w:pPr>
      <w:r w:rsidRPr="00FB60E5">
        <w:t>Services where the target group is not described as having any alcohol and/or other drugs-related concerns</w:t>
      </w:r>
    </w:p>
    <w:p w14:paraId="38A45E90" w14:textId="77777777" w:rsidR="00872CA8" w:rsidRPr="00FB60E5" w:rsidRDefault="00872CA8" w:rsidP="00882917">
      <w:pPr>
        <w:pStyle w:val="ListParagraph"/>
        <w:numPr>
          <w:ilvl w:val="0"/>
          <w:numId w:val="14"/>
        </w:numPr>
      </w:pPr>
      <w:r w:rsidRPr="00FB60E5">
        <w:t>Services that do not provide for primary users (e.g. significant others or family members of users as the target group, research groups)</w:t>
      </w:r>
    </w:p>
    <w:p w14:paraId="38A45E91" w14:textId="77777777" w:rsidR="00872CA8" w:rsidRPr="00FB60E5" w:rsidRDefault="00872CA8" w:rsidP="00882917">
      <w:pPr>
        <w:pStyle w:val="ListParagraph"/>
        <w:numPr>
          <w:ilvl w:val="0"/>
          <w:numId w:val="14"/>
        </w:numPr>
      </w:pPr>
      <w:r w:rsidRPr="00FB60E5">
        <w:t>Justice services (although services providing mainstream services to people referred via the Justice system are not excluded)</w:t>
      </w:r>
    </w:p>
    <w:p w14:paraId="38A45E92" w14:textId="77777777" w:rsidR="00872CA8" w:rsidRPr="00FB60E5" w:rsidRDefault="00872CA8" w:rsidP="00882917">
      <w:pPr>
        <w:pStyle w:val="ListParagraph"/>
        <w:numPr>
          <w:ilvl w:val="0"/>
          <w:numId w:val="14"/>
        </w:numPr>
      </w:pPr>
      <w:r w:rsidRPr="00FB60E5">
        <w:t>Services catering exclusively to clients in recovery</w:t>
      </w:r>
    </w:p>
    <w:p w14:paraId="38A45E93" w14:textId="77777777" w:rsidR="00872CA8" w:rsidRPr="00FB60E5" w:rsidRDefault="00872CA8" w:rsidP="00882917">
      <w:pPr>
        <w:pStyle w:val="ListParagraph"/>
        <w:numPr>
          <w:ilvl w:val="0"/>
          <w:numId w:val="14"/>
        </w:numPr>
      </w:pPr>
      <w:r w:rsidRPr="00FB60E5">
        <w:t>Harm reduction services (i.e. AOD treatment is not the core service provided)</w:t>
      </w:r>
    </w:p>
    <w:p w14:paraId="38A45E94" w14:textId="77777777" w:rsidR="00872CA8" w:rsidRPr="00FB60E5" w:rsidRDefault="00872CA8" w:rsidP="00882917">
      <w:pPr>
        <w:pStyle w:val="ListParagraph"/>
        <w:numPr>
          <w:ilvl w:val="0"/>
          <w:numId w:val="14"/>
        </w:numPr>
      </w:pPr>
      <w:r w:rsidRPr="00FB60E5">
        <w:t>Services catering exclusively to clients under the age of 18 years</w:t>
      </w:r>
    </w:p>
    <w:p w14:paraId="160DF56E" w14:textId="77777777" w:rsidR="00BB0E5E" w:rsidRDefault="00872CA8" w:rsidP="00882917">
      <w:pPr>
        <w:pStyle w:val="ListParagraph"/>
        <w:numPr>
          <w:ilvl w:val="0"/>
          <w:numId w:val="14"/>
        </w:numPr>
      </w:pPr>
      <w:r w:rsidRPr="00FB60E5">
        <w:t>Services catering exclusively to Aboriginal and/or Torres Strait Islander people</w:t>
      </w:r>
    </w:p>
    <w:p w14:paraId="2FD02E2C" w14:textId="6A8BF39E" w:rsidR="002C27A8" w:rsidRDefault="00872CA8" w:rsidP="00FB60E5">
      <w:pPr>
        <w:ind w:left="0"/>
      </w:pPr>
      <w:r w:rsidRPr="00FB60E5">
        <w:t>Following exclusion of services not fitting the target criteria, those services from the remaining catalogue of services were prioritised, with services providing multiple relevant AOD treatment types selected as the primary focus for inclusion in the sample. Other services, providing a smaller selection of treatment options (including those providing a single treatment type), were then selected in order to supplement the services already selected as part of the sample</w:t>
      </w:r>
      <w:r w:rsidR="002C27A8">
        <w:t>.</w:t>
      </w:r>
    </w:p>
    <w:p w14:paraId="38A45E97" w14:textId="3C72821B" w:rsidR="00872CA8" w:rsidRPr="00FB60E5" w:rsidRDefault="00872CA8" w:rsidP="00FB60E5">
      <w:pPr>
        <w:ind w:left="0"/>
      </w:pPr>
      <w:r w:rsidRPr="00FB60E5">
        <w:t xml:space="preserve">The agencies selected at this initial stage were then sent invitations to participate in the study, followed by briefing meetings. Those agencies who responded positively to the invitation to form part of the sample group were included. Once confirmation of the involvement of a number of agencies has been achieved, the existing sample was re-examined. </w:t>
      </w:r>
      <w:r w:rsidR="009D3A88" w:rsidRPr="00FB60E5">
        <w:t xml:space="preserve">A number of factors were considered, particularly the geographical distribution of agencies across catchment areas, as well as sufficient representation from major treatment types. </w:t>
      </w:r>
      <w:r w:rsidRPr="00FB60E5">
        <w:t xml:space="preserve">Once these criteria were considered to be sufficiently addressed, it was decided that no further agencies were required in order to meet the estimated quota of referrals necessary to meet the interview quota. The final sample included 20 agencies (12 in Victoria; 8 in WA), which included 37 sites (21 outpatient providers; 8 inpatient withdrawal units; 6 residential rehabilitation services (including TC); and 2 supported accommodation services (See </w:t>
      </w:r>
      <w:r w:rsidR="009415A2" w:rsidRPr="00FB60E5">
        <w:t xml:space="preserve">Appendix </w:t>
      </w:r>
      <w:r w:rsidR="00071415" w:rsidRPr="00FB60E5">
        <w:t>2</w:t>
      </w:r>
      <w:r w:rsidR="002461FE" w:rsidRPr="00FB60E5">
        <w:t>.1</w:t>
      </w:r>
      <w:r w:rsidR="009415A2" w:rsidRPr="00FB60E5">
        <w:t xml:space="preserve"> </w:t>
      </w:r>
      <w:r w:rsidRPr="00FB60E5">
        <w:t>for a list of AOD agencies involved as recruitment sites</w:t>
      </w:r>
      <w:r w:rsidR="00882917">
        <w:t>.</w:t>
      </w:r>
    </w:p>
    <w:p w14:paraId="38A45E98" w14:textId="77777777" w:rsidR="00413BF2" w:rsidRPr="00B47369" w:rsidRDefault="00413BF2" w:rsidP="00B47369">
      <w:pPr>
        <w:pStyle w:val="Heading3"/>
      </w:pPr>
      <w:r w:rsidRPr="00B47369">
        <w:lastRenderedPageBreak/>
        <w:t>Measures</w:t>
      </w:r>
    </w:p>
    <w:p w14:paraId="3FF52ADA" w14:textId="77777777" w:rsidR="002C27A8" w:rsidRDefault="006D29AE" w:rsidP="00FB60E5">
      <w:pPr>
        <w:ind w:left="0"/>
      </w:pPr>
      <w:r w:rsidRPr="00FB60E5">
        <w:t xml:space="preserve">Clients participating in the study </w:t>
      </w:r>
      <w:r w:rsidR="00972B3E" w:rsidRPr="00FB60E5">
        <w:t>completed a comprehensive assessment interview at baseline and again at follow-up assessing the areas listed below. Standardised instruments that have been validated on Australian populations were used where available</w:t>
      </w:r>
      <w:r w:rsidR="002C27A8">
        <w:t>.</w:t>
      </w:r>
    </w:p>
    <w:p w14:paraId="219BC7F0" w14:textId="77777777" w:rsidR="002C27A8" w:rsidRDefault="00972B3E" w:rsidP="00882917">
      <w:pPr>
        <w:pStyle w:val="ListParagraph"/>
        <w:numPr>
          <w:ilvl w:val="1"/>
          <w:numId w:val="15"/>
        </w:numPr>
        <w:ind w:left="660"/>
      </w:pPr>
      <w:r w:rsidRPr="00FB60E5">
        <w:t>Participant characteristics</w:t>
      </w:r>
      <w:r w:rsidR="002C27A8">
        <w:t>.</w:t>
      </w:r>
    </w:p>
    <w:p w14:paraId="38A45E9B" w14:textId="1B90EB33" w:rsidR="00972B3E" w:rsidRPr="00FB60E5" w:rsidRDefault="00972B3E" w:rsidP="00882917">
      <w:pPr>
        <w:pStyle w:val="ListParagraph"/>
        <w:numPr>
          <w:ilvl w:val="1"/>
          <w:numId w:val="15"/>
        </w:numPr>
        <w:ind w:left="660"/>
      </w:pPr>
      <w:r w:rsidRPr="00FB60E5">
        <w:t>Pattern of substance indicated by frequency and quantity of use of all licit and illicit substances in the past 30 days</w:t>
      </w:r>
      <w:r w:rsidR="004F3B68" w:rsidRPr="00FB60E5">
        <w:t>.</w:t>
      </w:r>
    </w:p>
    <w:p w14:paraId="38A45E9C" w14:textId="0C82AA1C" w:rsidR="00972B3E" w:rsidRPr="00FB60E5" w:rsidRDefault="00972B3E" w:rsidP="00882917">
      <w:pPr>
        <w:pStyle w:val="ListParagraph"/>
        <w:numPr>
          <w:ilvl w:val="1"/>
          <w:numId w:val="15"/>
        </w:numPr>
        <w:ind w:left="660"/>
      </w:pPr>
      <w:r w:rsidRPr="00FB60E5">
        <w:t>Problem severity using the Severity of Dependence Scale.</w:t>
      </w:r>
    </w:p>
    <w:p w14:paraId="09B71EC8" w14:textId="77777777" w:rsidR="002C27A8" w:rsidRDefault="00972B3E" w:rsidP="00882917">
      <w:pPr>
        <w:pStyle w:val="ListParagraph"/>
        <w:numPr>
          <w:ilvl w:val="1"/>
          <w:numId w:val="15"/>
        </w:numPr>
        <w:ind w:left="660"/>
      </w:pPr>
      <w:r w:rsidRPr="00FB60E5">
        <w:t>Quality of life – using the WHO-</w:t>
      </w:r>
      <w:r w:rsidR="00EE7A8F" w:rsidRPr="00FB60E5">
        <w:t>QOL</w:t>
      </w:r>
      <w:r w:rsidRPr="00FB60E5">
        <w:t xml:space="preserve"> BREF which provides a global measure of well-being, with four sub-domains; psychological, physical, social, and environmental</w:t>
      </w:r>
      <w:r w:rsidR="002C27A8">
        <w:t>.</w:t>
      </w:r>
    </w:p>
    <w:p w14:paraId="38A45E9E" w14:textId="70626484" w:rsidR="00972B3E" w:rsidRPr="00FB60E5" w:rsidRDefault="00972B3E" w:rsidP="00882917">
      <w:pPr>
        <w:pStyle w:val="ListParagraph"/>
        <w:numPr>
          <w:ilvl w:val="1"/>
          <w:numId w:val="15"/>
        </w:numPr>
        <w:ind w:left="660"/>
      </w:pPr>
      <w:r w:rsidRPr="00FB60E5">
        <w:t>Health, social/welfare and acute service utilisation in the previous 12-months was captured using a tool developed specifically to record referral pathways and number of visits</w:t>
      </w:r>
      <w:r w:rsidR="004F3B68" w:rsidRPr="00FB60E5">
        <w:t xml:space="preserve"> </w:t>
      </w:r>
      <w:r w:rsidR="00F45E30" w:rsidRPr="00FB60E5">
        <w:t>(</w:t>
      </w:r>
      <w:r w:rsidR="004F3B68" w:rsidRPr="00FB60E5">
        <w:t>deta</w:t>
      </w:r>
      <w:r w:rsidR="00B73C8D" w:rsidRPr="00FB60E5">
        <w:t>ils collected for up to 5 contacts</w:t>
      </w:r>
      <w:r w:rsidR="00B73C8D" w:rsidRPr="00882917">
        <w:rPr>
          <w:vertAlign w:val="superscript"/>
        </w:rPr>
        <w:footnoteReference w:id="5"/>
      </w:r>
      <w:r w:rsidR="004F3B68" w:rsidRPr="00FB60E5">
        <w:t>)</w:t>
      </w:r>
      <w:r w:rsidRPr="00FB60E5">
        <w:t xml:space="preserve"> across the following areas: withdrawal services</w:t>
      </w:r>
      <w:r w:rsidR="004F3B68" w:rsidRPr="00FB60E5">
        <w:t xml:space="preserve">; </w:t>
      </w:r>
      <w:r w:rsidRPr="00FB60E5">
        <w:t>outpatient counselling</w:t>
      </w:r>
      <w:r w:rsidR="004F3B68" w:rsidRPr="00FB60E5">
        <w:t xml:space="preserve">; </w:t>
      </w:r>
      <w:r w:rsidR="00F45E30" w:rsidRPr="00FB60E5">
        <w:t xml:space="preserve">residential </w:t>
      </w:r>
      <w:r w:rsidRPr="00FB60E5">
        <w:t>rehabilitation</w:t>
      </w:r>
      <w:r w:rsidR="004F3B68" w:rsidRPr="00FB60E5">
        <w:t xml:space="preserve">; </w:t>
      </w:r>
      <w:r w:rsidRPr="00FB60E5">
        <w:t>peer-support/self-help programmes</w:t>
      </w:r>
      <w:r w:rsidR="004F3B68" w:rsidRPr="00FB60E5">
        <w:t xml:space="preserve">; </w:t>
      </w:r>
      <w:r w:rsidRPr="00FB60E5">
        <w:t>GP</w:t>
      </w:r>
      <w:r w:rsidR="004F3B68" w:rsidRPr="00FB60E5">
        <w:t>;</w:t>
      </w:r>
      <w:r w:rsidR="002C27A8">
        <w:t xml:space="preserve"> </w:t>
      </w:r>
      <w:r w:rsidRPr="00FB60E5">
        <w:t>ambulance</w:t>
      </w:r>
      <w:r w:rsidR="004F3B68" w:rsidRPr="00FB60E5">
        <w:t>;</w:t>
      </w:r>
      <w:r w:rsidR="00F45E30" w:rsidRPr="00FB60E5">
        <w:t xml:space="preserve"> </w:t>
      </w:r>
      <w:r w:rsidRPr="00FB60E5">
        <w:t>hospital emergency departments</w:t>
      </w:r>
      <w:r w:rsidR="00E75C62" w:rsidRPr="00FB60E5">
        <w:t xml:space="preserve">; </w:t>
      </w:r>
      <w:r w:rsidRPr="00FB60E5">
        <w:t>hospital inpatient services</w:t>
      </w:r>
      <w:r w:rsidR="00E75C62" w:rsidRPr="00FB60E5">
        <w:t xml:space="preserve">; </w:t>
      </w:r>
      <w:r w:rsidRPr="00FB60E5">
        <w:t>mental health services</w:t>
      </w:r>
      <w:r w:rsidR="00E75C62" w:rsidRPr="00FB60E5">
        <w:t xml:space="preserve">; </w:t>
      </w:r>
      <w:r w:rsidRPr="00FB60E5">
        <w:t>legal aid</w:t>
      </w:r>
      <w:r w:rsidR="00E75C62" w:rsidRPr="00FB60E5">
        <w:t xml:space="preserve">; </w:t>
      </w:r>
      <w:r w:rsidRPr="00FB60E5">
        <w:t>financial counselling</w:t>
      </w:r>
      <w:r w:rsidR="00E75C62" w:rsidRPr="00FB60E5">
        <w:t xml:space="preserve">; </w:t>
      </w:r>
      <w:r w:rsidRPr="00FB60E5">
        <w:t>employment services</w:t>
      </w:r>
      <w:r w:rsidR="00E75C62" w:rsidRPr="00FB60E5">
        <w:t xml:space="preserve">; </w:t>
      </w:r>
      <w:r w:rsidRPr="00FB60E5">
        <w:t>family/relationship counselling</w:t>
      </w:r>
      <w:r w:rsidR="00E75C62" w:rsidRPr="00FB60E5">
        <w:t xml:space="preserve">; </w:t>
      </w:r>
      <w:r w:rsidRPr="00FB60E5">
        <w:t>housing, other services</w:t>
      </w:r>
      <w:r w:rsidR="00E75C62" w:rsidRPr="00FB60E5">
        <w:t xml:space="preserve">; </w:t>
      </w:r>
      <w:r w:rsidRPr="00FB60E5">
        <w:t>criminal justice involvement.</w:t>
      </w:r>
    </w:p>
    <w:p w14:paraId="38A45E9F" w14:textId="22D32190" w:rsidR="00972B3E" w:rsidRPr="00FB60E5" w:rsidRDefault="00972B3E" w:rsidP="00882917">
      <w:pPr>
        <w:pStyle w:val="ListParagraph"/>
        <w:numPr>
          <w:ilvl w:val="1"/>
          <w:numId w:val="15"/>
        </w:numPr>
        <w:ind w:left="660"/>
      </w:pPr>
      <w:r w:rsidRPr="00FB60E5">
        <w:t>Other measures included</w:t>
      </w:r>
      <w:r w:rsidR="00E75C62" w:rsidRPr="00FB60E5">
        <w:t>:</w:t>
      </w:r>
      <w:r w:rsidRPr="00FB60E5">
        <w:t xml:space="preserve"> the assessment of perceived levels of community support available</w:t>
      </w:r>
      <w:r w:rsidR="00D72E09" w:rsidRPr="00FB60E5">
        <w:t xml:space="preserve">; </w:t>
      </w:r>
      <w:r w:rsidRPr="00FB60E5">
        <w:t>perceived level of support from family,</w:t>
      </w:r>
      <w:r w:rsidR="00D72E09" w:rsidRPr="00FB60E5">
        <w:t xml:space="preserve"> </w:t>
      </w:r>
      <w:r w:rsidRPr="00FB60E5">
        <w:t>friends and significant others</w:t>
      </w:r>
      <w:r w:rsidR="00D72E09" w:rsidRPr="00FB60E5">
        <w:t xml:space="preserve">; </w:t>
      </w:r>
      <w:r w:rsidRPr="00FB60E5">
        <w:t>treatment motivation</w:t>
      </w:r>
      <w:r w:rsidR="004F3B68" w:rsidRPr="00FB60E5">
        <w:t xml:space="preserve">; </w:t>
      </w:r>
      <w:r w:rsidRPr="00FB60E5">
        <w:t>treatment satisfaction</w:t>
      </w:r>
      <w:r w:rsidR="004F3B68" w:rsidRPr="00FB60E5">
        <w:t>;</w:t>
      </w:r>
      <w:r w:rsidRPr="00FB60E5">
        <w:t xml:space="preserve"> reasons for seeking AOD treatment</w:t>
      </w:r>
      <w:r w:rsidR="004F3B68" w:rsidRPr="00FB60E5">
        <w:t>;</w:t>
      </w:r>
      <w:r w:rsidRPr="00FB60E5">
        <w:t xml:space="preserve"> barriers </w:t>
      </w:r>
      <w:r w:rsidR="004F3B68" w:rsidRPr="00FB60E5">
        <w:t xml:space="preserve">to treatment; and </w:t>
      </w:r>
      <w:r w:rsidRPr="00FB60E5">
        <w:t>type</w:t>
      </w:r>
      <w:r w:rsidR="00B47369">
        <w:t>s of discrimination and stigma.</w:t>
      </w:r>
    </w:p>
    <w:p w14:paraId="38A45EA0" w14:textId="0C94F53A" w:rsidR="00972B3E" w:rsidRPr="00FB60E5" w:rsidRDefault="00972B3E" w:rsidP="00FB60E5">
      <w:pPr>
        <w:ind w:left="0"/>
      </w:pPr>
      <w:r w:rsidRPr="00FB60E5">
        <w:t>For a more detailed description of the baseline f</w:t>
      </w:r>
      <w:r w:rsidR="00B47369">
        <w:t xml:space="preserve">ollow-up surveys </w:t>
      </w:r>
      <w:r w:rsidR="00B47369">
        <w:fldChar w:fldCharType="begin"/>
      </w:r>
      <w:r w:rsidR="00B47369">
        <w:instrText xml:space="preserve"> REF _Ref531192228 \h </w:instrText>
      </w:r>
      <w:r w:rsidR="00B47369">
        <w:fldChar w:fldCharType="separate"/>
      </w:r>
      <w:r w:rsidR="00B47369">
        <w:t xml:space="preserve">Table </w:t>
      </w:r>
      <w:r w:rsidR="00B47369">
        <w:rPr>
          <w:noProof/>
        </w:rPr>
        <w:t>3</w:t>
      </w:r>
      <w:r w:rsidR="00B47369">
        <w:t>.</w:t>
      </w:r>
      <w:r w:rsidR="00B47369">
        <w:rPr>
          <w:noProof/>
        </w:rPr>
        <w:t>1</w:t>
      </w:r>
      <w:r w:rsidR="00B47369">
        <w:fldChar w:fldCharType="end"/>
      </w:r>
      <w:r w:rsidR="00B47369">
        <w:t>.</w:t>
      </w:r>
    </w:p>
    <w:p w14:paraId="38A45EA2" w14:textId="1A87A912" w:rsidR="00972B3E" w:rsidRPr="00FB60E5" w:rsidRDefault="00882917" w:rsidP="00882917">
      <w:pPr>
        <w:pStyle w:val="Caption"/>
      </w:pPr>
      <w:bookmarkStart w:id="120" w:name="_Ref531192228"/>
      <w:bookmarkStart w:id="121" w:name="_Toc531625777"/>
      <w:proofErr w:type="gramStart"/>
      <w:r>
        <w:t xml:space="preserve">Table </w:t>
      </w:r>
      <w:r w:rsidR="00552239">
        <w:fldChar w:fldCharType="begin"/>
      </w:r>
      <w:r w:rsidR="00552239">
        <w:instrText xml:space="preserve"> STYLEREF 1 \s </w:instrText>
      </w:r>
      <w:r w:rsidR="00552239">
        <w:fldChar w:fldCharType="separate"/>
      </w:r>
      <w:r w:rsidR="00552239">
        <w:rPr>
          <w:noProof/>
        </w:rPr>
        <w:t>3</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w:t>
      </w:r>
      <w:r w:rsidR="00552239">
        <w:fldChar w:fldCharType="end"/>
      </w:r>
      <w:bookmarkEnd w:id="120"/>
      <w:r w:rsidR="00610031">
        <w:t xml:space="preserve"> </w:t>
      </w:r>
      <w:r w:rsidR="00561263" w:rsidRPr="00FB60E5">
        <w:t>Items included in structured interview with clients ‘new’ to AOD treatment</w:t>
      </w:r>
      <w:bookmarkEnd w:id="121"/>
    </w:p>
    <w:tbl>
      <w:tblPr>
        <w:tblStyle w:val="LightList-Accent1"/>
        <w:tblW w:w="0" w:type="auto"/>
        <w:tblLook w:val="04A0" w:firstRow="1" w:lastRow="0" w:firstColumn="1" w:lastColumn="0" w:noHBand="0" w:noVBand="1"/>
        <w:tblDescription w:val="Table 3.1 Items included in structured interview with clients ‘new’ to AOD treatment"/>
      </w:tblPr>
      <w:tblGrid>
        <w:gridCol w:w="2294"/>
        <w:gridCol w:w="3992"/>
        <w:gridCol w:w="2956"/>
      </w:tblGrid>
      <w:tr w:rsidR="00246A73" w:rsidRPr="00FB60E5" w14:paraId="38A45EA6" w14:textId="77777777" w:rsidTr="006100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8A45EA3" w14:textId="77777777" w:rsidR="00972B3E" w:rsidRPr="00FB60E5" w:rsidRDefault="00972B3E" w:rsidP="00610031">
            <w:pPr>
              <w:pStyle w:val="tabletext"/>
            </w:pPr>
            <w:r w:rsidRPr="00FB60E5">
              <w:t>Domain</w:t>
            </w:r>
          </w:p>
        </w:tc>
        <w:tc>
          <w:tcPr>
            <w:tcW w:w="0" w:type="auto"/>
          </w:tcPr>
          <w:p w14:paraId="38A45EA4" w14:textId="77777777" w:rsidR="00972B3E" w:rsidRPr="00FB60E5" w:rsidRDefault="00972B3E" w:rsidP="00610031">
            <w:pPr>
              <w:pStyle w:val="tabletext"/>
              <w:cnfStyle w:val="100000000000" w:firstRow="1" w:lastRow="0" w:firstColumn="0" w:lastColumn="0" w:oddVBand="0" w:evenVBand="0" w:oddHBand="0" w:evenHBand="0" w:firstRowFirstColumn="0" w:firstRowLastColumn="0" w:lastRowFirstColumn="0" w:lastRowLastColumn="0"/>
            </w:pPr>
            <w:r w:rsidRPr="00FB60E5">
              <w:t>Survey items/instrument</w:t>
            </w:r>
          </w:p>
        </w:tc>
        <w:tc>
          <w:tcPr>
            <w:tcW w:w="0" w:type="auto"/>
          </w:tcPr>
          <w:p w14:paraId="38A45EA5" w14:textId="77777777" w:rsidR="00972B3E" w:rsidRPr="00FB60E5" w:rsidRDefault="00972B3E" w:rsidP="00610031">
            <w:pPr>
              <w:pStyle w:val="tabletext"/>
              <w:cnfStyle w:val="100000000000" w:firstRow="1" w:lastRow="0" w:firstColumn="0" w:lastColumn="0" w:oddVBand="0" w:evenVBand="0" w:oddHBand="0" w:evenHBand="0" w:firstRowFirstColumn="0" w:firstRowLastColumn="0" w:lastRowFirstColumn="0" w:lastRowLastColumn="0"/>
            </w:pPr>
            <w:r w:rsidRPr="00FB60E5">
              <w:t>Purpose</w:t>
            </w:r>
          </w:p>
        </w:tc>
      </w:tr>
      <w:tr w:rsidR="00972B3E" w:rsidRPr="00FB60E5" w14:paraId="38A45EA8"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38A45EA7" w14:textId="77777777" w:rsidR="00972B3E" w:rsidRPr="00AF6D9B" w:rsidRDefault="00972B3E" w:rsidP="00AF6D9B">
            <w:pPr>
              <w:pStyle w:val="tabletext"/>
            </w:pPr>
            <w:r w:rsidRPr="00AF6D9B">
              <w:t>About the participant</w:t>
            </w:r>
          </w:p>
        </w:tc>
      </w:tr>
      <w:tr w:rsidR="00246A73" w:rsidRPr="00FB60E5" w14:paraId="38A45EAC"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A9" w14:textId="77777777" w:rsidR="00972B3E" w:rsidRPr="00214785" w:rsidRDefault="00972B3E" w:rsidP="00AF6D9B">
            <w:pPr>
              <w:pStyle w:val="tabletext"/>
              <w:rPr>
                <w:b w:val="0"/>
              </w:rPr>
            </w:pPr>
            <w:r w:rsidRPr="00214785">
              <w:rPr>
                <w:b w:val="0"/>
              </w:rPr>
              <w:t xml:space="preserve">Demographics, social </w:t>
            </w:r>
            <w:proofErr w:type="spellStart"/>
            <w:r w:rsidRPr="00214785">
              <w:rPr>
                <w:b w:val="0"/>
              </w:rPr>
              <w:t>circumstances</w:t>
            </w:r>
            <w:r w:rsidR="002024D0" w:rsidRPr="00214785">
              <w:rPr>
                <w:b w:val="0"/>
              </w:rPr>
              <w:t>a</w:t>
            </w:r>
            <w:proofErr w:type="spellEnd"/>
          </w:p>
        </w:tc>
        <w:tc>
          <w:tcPr>
            <w:tcW w:w="0" w:type="auto"/>
          </w:tcPr>
          <w:p w14:paraId="38A45EAA"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 xml:space="preserve">Post code, age, gender, marital status, education level, employment status, housing situation, country of birth, cultural background, medical </w:t>
            </w:r>
            <w:proofErr w:type="spellStart"/>
            <w:r w:rsidRPr="00AF6D9B">
              <w:t>status</w:t>
            </w:r>
            <w:r w:rsidR="002024D0" w:rsidRPr="00AF6D9B">
              <w:t>b</w:t>
            </w:r>
            <w:proofErr w:type="spellEnd"/>
            <w:r w:rsidRPr="00AF6D9B">
              <w:t>, legal status, and family and social relationships</w:t>
            </w:r>
          </w:p>
        </w:tc>
        <w:tc>
          <w:tcPr>
            <w:tcW w:w="0" w:type="auto"/>
          </w:tcPr>
          <w:p w14:paraId="38A45EAB"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describe participant characteristics and enable comparisons between different participant groups</w:t>
            </w:r>
          </w:p>
        </w:tc>
      </w:tr>
      <w:tr w:rsidR="00246A73" w:rsidRPr="00FB60E5" w14:paraId="38A45EB0"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AD" w14:textId="77777777" w:rsidR="00972B3E" w:rsidRPr="00214785" w:rsidRDefault="00972B3E" w:rsidP="00AF6D9B">
            <w:pPr>
              <w:pStyle w:val="tabletext"/>
              <w:rPr>
                <w:b w:val="0"/>
              </w:rPr>
            </w:pPr>
            <w:r w:rsidRPr="00214785">
              <w:rPr>
                <w:b w:val="0"/>
              </w:rPr>
              <w:t>AOD use</w:t>
            </w:r>
          </w:p>
        </w:tc>
        <w:tc>
          <w:tcPr>
            <w:tcW w:w="0" w:type="auto"/>
          </w:tcPr>
          <w:p w14:paraId="38A45EAE"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 xml:space="preserve">Primary substance of concern, other substances of concern, drug use past 30 days, drug use ‘typical’ 30 </w:t>
            </w:r>
            <w:proofErr w:type="spellStart"/>
            <w:r w:rsidRPr="00AF6D9B">
              <w:t>days</w:t>
            </w:r>
            <w:r w:rsidR="002024D0" w:rsidRPr="00AF6D9B">
              <w:t>c</w:t>
            </w:r>
            <w:proofErr w:type="spellEnd"/>
            <w:r w:rsidRPr="00AF6D9B">
              <w:t xml:space="preserve">, prescription drug use past 30 </w:t>
            </w:r>
            <w:proofErr w:type="spellStart"/>
            <w:r w:rsidRPr="00AF6D9B">
              <w:t>days</w:t>
            </w:r>
            <w:r w:rsidR="002024D0" w:rsidRPr="00AF6D9B">
              <w:t>c</w:t>
            </w:r>
            <w:proofErr w:type="spellEnd"/>
          </w:p>
        </w:tc>
        <w:tc>
          <w:tcPr>
            <w:tcW w:w="0" w:type="auto"/>
          </w:tcPr>
          <w:p w14:paraId="38A45EAF"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identify common substances of concern, to monitor change over time</w:t>
            </w:r>
          </w:p>
        </w:tc>
      </w:tr>
      <w:tr w:rsidR="00246A73" w:rsidRPr="00FB60E5" w14:paraId="38A45EB5"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B1" w14:textId="77777777" w:rsidR="00972B3E" w:rsidRPr="00214785" w:rsidRDefault="00972B3E" w:rsidP="00AF6D9B">
            <w:pPr>
              <w:pStyle w:val="tabletext"/>
              <w:rPr>
                <w:b w:val="0"/>
              </w:rPr>
            </w:pPr>
            <w:r w:rsidRPr="00214785">
              <w:rPr>
                <w:b w:val="0"/>
              </w:rPr>
              <w:t>Alcohol use</w:t>
            </w:r>
            <w:r w:rsidR="002024D0" w:rsidRPr="00214785">
              <w:rPr>
                <w:b w:val="0"/>
              </w:rPr>
              <w:t>d</w:t>
            </w:r>
          </w:p>
        </w:tc>
        <w:tc>
          <w:tcPr>
            <w:tcW w:w="0" w:type="auto"/>
          </w:tcPr>
          <w:p w14:paraId="38A45EB2"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Alcohol Use Disorders Identification Test (AUDIT)</w:t>
            </w:r>
            <w:r w:rsidR="00E75C62" w:rsidRPr="00AF6D9B" w:rsidDel="00E75C62">
              <w:t xml:space="preserve"> </w:t>
            </w:r>
            <w:r w:rsidR="00E75C62" w:rsidRPr="00AF6D9B">
              <w:t>(Bush, et al., 1998)</w:t>
            </w:r>
          </w:p>
          <w:p w14:paraId="38A45EB3"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First 3 items, each scored 0-4</w:t>
            </w:r>
          </w:p>
        </w:tc>
        <w:tc>
          <w:tcPr>
            <w:tcW w:w="0" w:type="auto"/>
          </w:tcPr>
          <w:p w14:paraId="38A45EB4"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assess frequency and amount of alcohol consumed by those reporting drinking within past 30 days</w:t>
            </w:r>
          </w:p>
        </w:tc>
      </w:tr>
      <w:tr w:rsidR="00246A73" w:rsidRPr="00FB60E5" w14:paraId="38A45EBA" w14:textId="77777777" w:rsidTr="00610031">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0" w:type="auto"/>
          </w:tcPr>
          <w:p w14:paraId="38A45EB6" w14:textId="77777777" w:rsidR="00972B3E" w:rsidRPr="00214785" w:rsidRDefault="00972B3E" w:rsidP="00AF6D9B">
            <w:pPr>
              <w:pStyle w:val="tabletext"/>
              <w:rPr>
                <w:b w:val="0"/>
              </w:rPr>
            </w:pPr>
            <w:r w:rsidRPr="00214785">
              <w:rPr>
                <w:b w:val="0"/>
              </w:rPr>
              <w:lastRenderedPageBreak/>
              <w:t xml:space="preserve">AOD </w:t>
            </w:r>
            <w:proofErr w:type="spellStart"/>
            <w:r w:rsidRPr="00214785">
              <w:rPr>
                <w:b w:val="0"/>
              </w:rPr>
              <w:t>dependence</w:t>
            </w:r>
            <w:r w:rsidR="002024D0" w:rsidRPr="00214785">
              <w:rPr>
                <w:b w:val="0"/>
              </w:rPr>
              <w:t>e</w:t>
            </w:r>
            <w:proofErr w:type="spellEnd"/>
          </w:p>
        </w:tc>
        <w:tc>
          <w:tcPr>
            <w:tcW w:w="0" w:type="auto"/>
          </w:tcPr>
          <w:p w14:paraId="38A45EB7"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Severity of Dependence Scale (SDS)</w:t>
            </w:r>
            <w:r w:rsidR="00263BB3" w:rsidRPr="00AF6D9B">
              <w:t xml:space="preserve"> </w:t>
            </w:r>
            <w:r w:rsidR="002F7C61" w:rsidRPr="00AF6D9B">
              <w:t>(</w:t>
            </w:r>
            <w:proofErr w:type="spellStart"/>
            <w:r w:rsidR="002F7C61" w:rsidRPr="00AF6D9B">
              <w:t>Gossop</w:t>
            </w:r>
            <w:proofErr w:type="spellEnd"/>
            <w:r w:rsidR="002F7C61" w:rsidRPr="00AF6D9B">
              <w:t xml:space="preserve"> et al., 1995)</w:t>
            </w:r>
          </w:p>
          <w:p w14:paraId="38A45EB8"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5 items, each scored 0-3</w:t>
            </w:r>
          </w:p>
        </w:tc>
        <w:tc>
          <w:tcPr>
            <w:tcW w:w="0" w:type="auto"/>
          </w:tcPr>
          <w:p w14:paraId="38A45EB9"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assess degree of dependence on primary substance of concern</w:t>
            </w:r>
          </w:p>
        </w:tc>
      </w:tr>
      <w:tr w:rsidR="00972B3E" w:rsidRPr="00FB60E5" w14:paraId="38A45EBC" w14:textId="77777777" w:rsidTr="00610031">
        <w:tc>
          <w:tcPr>
            <w:cnfStyle w:val="001000000000" w:firstRow="0" w:lastRow="0" w:firstColumn="1" w:lastColumn="0" w:oddVBand="0" w:evenVBand="0" w:oddHBand="0" w:evenHBand="0" w:firstRowFirstColumn="0" w:firstRowLastColumn="0" w:lastRowFirstColumn="0" w:lastRowLastColumn="0"/>
            <w:tcW w:w="0" w:type="auto"/>
            <w:gridSpan w:val="3"/>
          </w:tcPr>
          <w:p w14:paraId="38A45EBB" w14:textId="77777777" w:rsidR="00972B3E" w:rsidRPr="00AF6D9B" w:rsidRDefault="00972B3E" w:rsidP="00AF6D9B">
            <w:pPr>
              <w:pStyle w:val="tabletext"/>
            </w:pPr>
            <w:r w:rsidRPr="00AF6D9B">
              <w:t>Wellbeing</w:t>
            </w:r>
          </w:p>
        </w:tc>
      </w:tr>
      <w:tr w:rsidR="00246A73" w:rsidRPr="00FB60E5" w14:paraId="38A45EC2"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BD" w14:textId="77777777" w:rsidR="00972B3E" w:rsidRPr="00214785" w:rsidRDefault="00972B3E" w:rsidP="00610031">
            <w:pPr>
              <w:pStyle w:val="tabletext"/>
              <w:rPr>
                <w:b w:val="0"/>
              </w:rPr>
            </w:pPr>
            <w:r w:rsidRPr="00214785">
              <w:rPr>
                <w:b w:val="0"/>
              </w:rPr>
              <w:t>Social support</w:t>
            </w:r>
          </w:p>
        </w:tc>
        <w:tc>
          <w:tcPr>
            <w:tcW w:w="0" w:type="auto"/>
          </w:tcPr>
          <w:p w14:paraId="38A45EBE"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Multidimensional Scale of Perceived Social Support (MSPSS)</w:t>
            </w:r>
            <w:hyperlink w:anchor="_ENREF_3" w:tooltip="Zimet, 1988 #11" w:history="1"/>
            <w:r w:rsidR="002F7C61" w:rsidRPr="00AF6D9B">
              <w:t xml:space="preserve"> (</w:t>
            </w:r>
            <w:proofErr w:type="spellStart"/>
            <w:r w:rsidR="002F7C61" w:rsidRPr="00AF6D9B">
              <w:t>Zimet</w:t>
            </w:r>
            <w:proofErr w:type="spellEnd"/>
            <w:r w:rsidR="002F7C61" w:rsidRPr="00AF6D9B">
              <w:t xml:space="preserve"> et al., 1988)</w:t>
            </w:r>
          </w:p>
          <w:p w14:paraId="38A45EBF"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12 items, each scored 1-7</w:t>
            </w:r>
          </w:p>
        </w:tc>
        <w:tc>
          <w:tcPr>
            <w:tcW w:w="0" w:type="auto"/>
          </w:tcPr>
          <w:p w14:paraId="38A45EC1" w14:textId="094A03A9"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assess perceived level of support from family, friends and significant other</w:t>
            </w:r>
          </w:p>
        </w:tc>
      </w:tr>
      <w:tr w:rsidR="00246A73" w:rsidRPr="00FB60E5" w14:paraId="38A45EC8"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C3" w14:textId="77777777" w:rsidR="00972B3E" w:rsidRPr="00214785" w:rsidRDefault="00972B3E" w:rsidP="00610031">
            <w:pPr>
              <w:pStyle w:val="tabletext"/>
              <w:rPr>
                <w:b w:val="0"/>
              </w:rPr>
            </w:pPr>
            <w:r w:rsidRPr="00214785">
              <w:rPr>
                <w:b w:val="0"/>
              </w:rPr>
              <w:t>Community support for treatment entry</w:t>
            </w:r>
          </w:p>
        </w:tc>
        <w:tc>
          <w:tcPr>
            <w:tcW w:w="0" w:type="auto"/>
          </w:tcPr>
          <w:p w14:paraId="38A45EC4"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 xml:space="preserve">Community Assessment Inventory (CAI) </w:t>
            </w:r>
            <w:r w:rsidR="002F7C61" w:rsidRPr="00AF6D9B">
              <w:t>(</w:t>
            </w:r>
            <w:r w:rsidRPr="00AF6D9B">
              <w:t>community subscale only</w:t>
            </w:r>
            <w:r w:rsidR="002F7C61" w:rsidRPr="00AF6D9B">
              <w:t>) (Brown et al., 2004)</w:t>
            </w:r>
          </w:p>
          <w:p w14:paraId="38A45EC5"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13 items, each scored 1-4</w:t>
            </w:r>
          </w:p>
        </w:tc>
        <w:tc>
          <w:tcPr>
            <w:tcW w:w="0" w:type="auto"/>
          </w:tcPr>
          <w:p w14:paraId="38A45EC7" w14:textId="78A17CEB"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assess perceived level of community support available</w:t>
            </w:r>
          </w:p>
        </w:tc>
      </w:tr>
      <w:tr w:rsidR="00246A73" w:rsidRPr="00FB60E5" w14:paraId="38A45ECD"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C9" w14:textId="77777777" w:rsidR="00972B3E" w:rsidRPr="00214785" w:rsidRDefault="00972B3E" w:rsidP="00610031">
            <w:pPr>
              <w:pStyle w:val="tabletext"/>
              <w:rPr>
                <w:b w:val="0"/>
              </w:rPr>
            </w:pPr>
            <w:r w:rsidRPr="00214785">
              <w:rPr>
                <w:b w:val="0"/>
              </w:rPr>
              <w:t>Quality of life</w:t>
            </w:r>
          </w:p>
        </w:tc>
        <w:tc>
          <w:tcPr>
            <w:tcW w:w="0" w:type="auto"/>
          </w:tcPr>
          <w:p w14:paraId="38A45ECA"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World Health Organization Quality of Life (WHO</w:t>
            </w:r>
            <w:r w:rsidR="00EE7A8F" w:rsidRPr="00AF6D9B">
              <w:t>QOL</w:t>
            </w:r>
            <w:r w:rsidRPr="00AF6D9B">
              <w:t>-BREF)</w:t>
            </w:r>
            <w:r w:rsidR="002F7C61" w:rsidRPr="00AF6D9B">
              <w:t xml:space="preserve"> (Skevington et al., 2004)</w:t>
            </w:r>
          </w:p>
          <w:p w14:paraId="38A45ECB"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26 items, each scored 1-5</w:t>
            </w:r>
          </w:p>
        </w:tc>
        <w:tc>
          <w:tcPr>
            <w:tcW w:w="0" w:type="auto"/>
          </w:tcPr>
          <w:p w14:paraId="38A45ECC"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assess four quality of life factors: physical health; psychological health; social relationships, and environment</w:t>
            </w:r>
          </w:p>
        </w:tc>
      </w:tr>
      <w:tr w:rsidR="00972B3E" w:rsidRPr="00FB60E5" w14:paraId="38A45ECF" w14:textId="77777777" w:rsidTr="00610031">
        <w:tc>
          <w:tcPr>
            <w:cnfStyle w:val="001000000000" w:firstRow="0" w:lastRow="0" w:firstColumn="1" w:lastColumn="0" w:oddVBand="0" w:evenVBand="0" w:oddHBand="0" w:evenHBand="0" w:firstRowFirstColumn="0" w:firstRowLastColumn="0" w:lastRowFirstColumn="0" w:lastRowLastColumn="0"/>
            <w:tcW w:w="0" w:type="auto"/>
            <w:gridSpan w:val="3"/>
          </w:tcPr>
          <w:p w14:paraId="38A45ECE" w14:textId="77777777" w:rsidR="00972B3E" w:rsidRPr="00AF6D9B" w:rsidRDefault="00972B3E" w:rsidP="00AF6D9B">
            <w:pPr>
              <w:pStyle w:val="tabletext"/>
            </w:pPr>
            <w:r w:rsidRPr="00AF6D9B">
              <w:t>Help seeking</w:t>
            </w:r>
          </w:p>
        </w:tc>
      </w:tr>
      <w:tr w:rsidR="00246A73" w:rsidRPr="00FB60E5" w14:paraId="38A45ED4"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D0" w14:textId="7D3619DA" w:rsidR="00972B3E" w:rsidRPr="00214785" w:rsidRDefault="00972B3E" w:rsidP="00650D57">
            <w:pPr>
              <w:pStyle w:val="tabletext"/>
              <w:rPr>
                <w:b w:val="0"/>
              </w:rPr>
            </w:pPr>
            <w:r w:rsidRPr="00214785">
              <w:rPr>
                <w:b w:val="0"/>
              </w:rPr>
              <w:t xml:space="preserve">Treatment </w:t>
            </w:r>
            <w:proofErr w:type="spellStart"/>
            <w:r w:rsidRPr="00214785">
              <w:rPr>
                <w:b w:val="0"/>
              </w:rPr>
              <w:t>motivation</w:t>
            </w:r>
            <w:r w:rsidR="002024D0" w:rsidRPr="00214785">
              <w:rPr>
                <w:b w:val="0"/>
                <w:vertAlign w:val="superscript"/>
              </w:rPr>
              <w:t>f</w:t>
            </w:r>
            <w:proofErr w:type="spellEnd"/>
          </w:p>
        </w:tc>
        <w:tc>
          <w:tcPr>
            <w:tcW w:w="0" w:type="auto"/>
          </w:tcPr>
          <w:p w14:paraId="086A620B" w14:textId="563B05CE" w:rsidR="00610031"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Adapted from the TCU MOTFORM (originally taken from the TCU CEST Intake</w:t>
            </w:r>
            <w:r w:rsidR="004A4027" w:rsidRPr="00AF6D9B">
              <w:t>)</w:t>
            </w:r>
            <w:hyperlink w:anchor="_ENREF_6" w:tooltip="Joe, 2002 #14" w:history="1"/>
            <w:r w:rsidR="00FF4A78" w:rsidRPr="00AF6D9B">
              <w:t xml:space="preserve"> </w:t>
            </w:r>
            <w:r w:rsidR="00246A73" w:rsidRPr="00AF6D9B">
              <w:t xml:space="preserve">(Institute of </w:t>
            </w:r>
            <w:proofErr w:type="spellStart"/>
            <w:r w:rsidR="00246A73" w:rsidRPr="00AF6D9B">
              <w:t>Behavioral</w:t>
            </w:r>
            <w:proofErr w:type="spellEnd"/>
            <w:r w:rsidR="00246A73" w:rsidRPr="00AF6D9B">
              <w:t xml:space="preserve"> Research, 2008). </w:t>
            </w:r>
            <w:r w:rsidRPr="00AF6D9B">
              <w:t>Desire for help, treatment readiness, and pressures for treatment scales. The problem recognition domain was omitted as it was deemed not relevant for clients who were already accessing treatment.</w:t>
            </w:r>
          </w:p>
          <w:p w14:paraId="38A45ED2" w14:textId="04382661"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21 items, scored 1-5</w:t>
            </w:r>
          </w:p>
        </w:tc>
        <w:tc>
          <w:tcPr>
            <w:tcW w:w="0" w:type="auto"/>
          </w:tcPr>
          <w:p w14:paraId="38A45ED3"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assess motivation for treatment as measured by the “desire for help” and “treatment readiness” domains and identify external influences on treatment seeking as identified by “pressures for treatment” index</w:t>
            </w:r>
          </w:p>
        </w:tc>
      </w:tr>
      <w:tr w:rsidR="00246A73" w:rsidRPr="00FB60E5" w14:paraId="38A45ED8"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D5" w14:textId="743FFF88" w:rsidR="00972B3E" w:rsidRPr="00214785" w:rsidRDefault="00972B3E" w:rsidP="00610031">
            <w:pPr>
              <w:pStyle w:val="tabletext"/>
              <w:rPr>
                <w:b w:val="0"/>
              </w:rPr>
            </w:pPr>
            <w:r w:rsidRPr="00214785">
              <w:rPr>
                <w:b w:val="0"/>
              </w:rPr>
              <w:t>Past use of services</w:t>
            </w:r>
          </w:p>
        </w:tc>
        <w:tc>
          <w:tcPr>
            <w:tcW w:w="0" w:type="auto"/>
          </w:tcPr>
          <w:p w14:paraId="38A45ED6"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 xml:space="preserve">Use of various </w:t>
            </w:r>
            <w:proofErr w:type="spellStart"/>
            <w:r w:rsidRPr="00AF6D9B">
              <w:t>services</w:t>
            </w:r>
            <w:r w:rsidR="002024D0" w:rsidRPr="00AF6D9B">
              <w:t>g</w:t>
            </w:r>
            <w:proofErr w:type="spellEnd"/>
            <w:r w:rsidRPr="00AF6D9B">
              <w:t xml:space="preserve"> in past 12 months, how many times, for which drug of concern, when used, source of referral to service</w:t>
            </w:r>
          </w:p>
        </w:tc>
        <w:tc>
          <w:tcPr>
            <w:tcW w:w="0" w:type="auto"/>
          </w:tcPr>
          <w:p w14:paraId="38A45ED7"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identify commonly used health and welfare services and referral pathways</w:t>
            </w:r>
          </w:p>
        </w:tc>
      </w:tr>
      <w:tr w:rsidR="00246A73" w:rsidRPr="00FB60E5" w14:paraId="38A45EDC"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D9" w14:textId="77777777" w:rsidR="00972B3E" w:rsidRPr="00214785" w:rsidRDefault="00972B3E" w:rsidP="00610031">
            <w:pPr>
              <w:pStyle w:val="tabletext"/>
              <w:rPr>
                <w:b w:val="0"/>
              </w:rPr>
            </w:pPr>
            <w:r w:rsidRPr="00214785">
              <w:rPr>
                <w:b w:val="0"/>
              </w:rPr>
              <w:t>Legal involvement</w:t>
            </w:r>
          </w:p>
        </w:tc>
        <w:tc>
          <w:tcPr>
            <w:tcW w:w="0" w:type="auto"/>
          </w:tcPr>
          <w:p w14:paraId="38A45EDA"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 xml:space="preserve">Any legal </w:t>
            </w:r>
            <w:proofErr w:type="spellStart"/>
            <w:r w:rsidRPr="00AF6D9B">
              <w:t>involvement</w:t>
            </w:r>
            <w:r w:rsidR="002024D0" w:rsidRPr="00AF6D9B">
              <w:t>h</w:t>
            </w:r>
            <w:proofErr w:type="spellEnd"/>
            <w:r w:rsidRPr="00AF6D9B">
              <w:t xml:space="preserve"> in past 12 months, how many times and when</w:t>
            </w:r>
          </w:p>
        </w:tc>
        <w:tc>
          <w:tcPr>
            <w:tcW w:w="0" w:type="auto"/>
          </w:tcPr>
          <w:p w14:paraId="38A45EDB"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identify extent of simultaneous involvement in legal system</w:t>
            </w:r>
          </w:p>
        </w:tc>
      </w:tr>
      <w:tr w:rsidR="00972B3E" w:rsidRPr="00FB60E5" w14:paraId="38A45EE5" w14:textId="77777777" w:rsidTr="00610031">
        <w:tc>
          <w:tcPr>
            <w:cnfStyle w:val="001000000000" w:firstRow="0" w:lastRow="0" w:firstColumn="1" w:lastColumn="0" w:oddVBand="0" w:evenVBand="0" w:oddHBand="0" w:evenHBand="0" w:firstRowFirstColumn="0" w:firstRowLastColumn="0" w:lastRowFirstColumn="0" w:lastRowLastColumn="0"/>
            <w:tcW w:w="0" w:type="auto"/>
            <w:gridSpan w:val="3"/>
          </w:tcPr>
          <w:p w14:paraId="38A45EE4" w14:textId="77777777" w:rsidR="00972B3E" w:rsidRPr="00AF6D9B" w:rsidRDefault="00972B3E" w:rsidP="00AF6D9B">
            <w:pPr>
              <w:pStyle w:val="tabletext"/>
            </w:pPr>
            <w:r w:rsidRPr="00AF6D9B">
              <w:t>Perspectives on treatment</w:t>
            </w:r>
          </w:p>
        </w:tc>
      </w:tr>
      <w:tr w:rsidR="00972B3E" w:rsidRPr="00FB60E5" w14:paraId="38A45EEB"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E6" w14:textId="769D9B58" w:rsidR="00972B3E" w:rsidRPr="00214785" w:rsidRDefault="00972B3E" w:rsidP="00650D57">
            <w:pPr>
              <w:pStyle w:val="tabletext"/>
              <w:rPr>
                <w:b w:val="0"/>
              </w:rPr>
            </w:pPr>
            <w:r w:rsidRPr="00214785">
              <w:rPr>
                <w:b w:val="0"/>
              </w:rPr>
              <w:t>Reasons for treatment</w:t>
            </w:r>
            <w:r w:rsidR="00650D57" w:rsidRPr="00214785">
              <w:rPr>
                <w:b w:val="0"/>
              </w:rPr>
              <w:t xml:space="preserve"> </w:t>
            </w:r>
            <w:r w:rsidRPr="00214785">
              <w:rPr>
                <w:b w:val="0"/>
              </w:rPr>
              <w:t>seeking</w:t>
            </w:r>
          </w:p>
        </w:tc>
        <w:tc>
          <w:tcPr>
            <w:tcW w:w="0" w:type="auto"/>
          </w:tcPr>
          <w:p w14:paraId="38A45EE7" w14:textId="1C8F9155"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 xml:space="preserve">Events as Precipitators of Treatment Seeking questionnaire used in Swedish Addiction Treatment study, adapted from </w:t>
            </w:r>
            <w:r w:rsidR="00196F0F" w:rsidRPr="00AF6D9B">
              <w:t>(</w:t>
            </w:r>
            <w:proofErr w:type="spellStart"/>
            <w:r w:rsidR="0062393D" w:rsidRPr="00AF6D9B">
              <w:t>Weisner</w:t>
            </w:r>
            <w:proofErr w:type="spellEnd"/>
            <w:r w:rsidR="0062393D" w:rsidRPr="00AF6D9B">
              <w:t xml:space="preserve">, </w:t>
            </w:r>
            <w:r w:rsidRPr="00AF6D9B">
              <w:t>1990</w:t>
            </w:r>
            <w:r w:rsidR="00610031" w:rsidRPr="00AF6D9B">
              <w:t>)</w:t>
            </w:r>
          </w:p>
          <w:p w14:paraId="38A45EE8"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14 items, yes/no. If ‘yes’ in past 12 months, rated perceived contribution to attending treatment from 1-3</w:t>
            </w:r>
          </w:p>
        </w:tc>
        <w:tc>
          <w:tcPr>
            <w:tcW w:w="0" w:type="auto"/>
          </w:tcPr>
          <w:p w14:paraId="38A45EEA" w14:textId="608D9FC8"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determine which life events are associated with treatment seeking</w:t>
            </w:r>
          </w:p>
        </w:tc>
      </w:tr>
      <w:tr w:rsidR="00972B3E" w:rsidRPr="00FB60E5" w14:paraId="38A45EF0"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EC" w14:textId="77777777" w:rsidR="00972B3E" w:rsidRPr="00214785" w:rsidRDefault="00972B3E" w:rsidP="00610031">
            <w:pPr>
              <w:pStyle w:val="tabletext"/>
              <w:rPr>
                <w:b w:val="0"/>
              </w:rPr>
            </w:pPr>
            <w:r w:rsidRPr="00214785">
              <w:rPr>
                <w:b w:val="0"/>
              </w:rPr>
              <w:t xml:space="preserve">Barriers to </w:t>
            </w:r>
            <w:proofErr w:type="spellStart"/>
            <w:r w:rsidRPr="00214785">
              <w:rPr>
                <w:b w:val="0"/>
              </w:rPr>
              <w:t>treatment</w:t>
            </w:r>
            <w:r w:rsidR="002024D0" w:rsidRPr="00214785">
              <w:rPr>
                <w:b w:val="0"/>
                <w:vertAlign w:val="superscript"/>
              </w:rPr>
              <w:t>i</w:t>
            </w:r>
            <w:proofErr w:type="spellEnd"/>
          </w:p>
        </w:tc>
        <w:tc>
          <w:tcPr>
            <w:tcW w:w="0" w:type="auto"/>
          </w:tcPr>
          <w:p w14:paraId="38A45EED"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 xml:space="preserve">Barriers to Treatment Inventory (BTI) </w:t>
            </w:r>
            <w:r w:rsidR="00263BB3" w:rsidRPr="00AF6D9B">
              <w:t>(Rapp et al., 2006)</w:t>
            </w:r>
          </w:p>
          <w:p w14:paraId="38A45EEE"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25 items, each scored 1-5</w:t>
            </w:r>
          </w:p>
        </w:tc>
        <w:tc>
          <w:tcPr>
            <w:tcW w:w="0" w:type="auto"/>
          </w:tcPr>
          <w:p w14:paraId="38A45EEF"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assess seven perceived barriers to treatment: absence of problem, negative social support, fear of treatment, privacy concerns, time conflict, poor treatment availability, and admission difficulty.</w:t>
            </w:r>
          </w:p>
        </w:tc>
      </w:tr>
      <w:tr w:rsidR="00972B3E" w:rsidRPr="00FB60E5" w14:paraId="38A45EF4"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F1" w14:textId="77B6BA3B" w:rsidR="00972B3E" w:rsidRPr="00214785" w:rsidRDefault="00650D57" w:rsidP="00610031">
            <w:pPr>
              <w:pStyle w:val="tabletext"/>
              <w:rPr>
                <w:b w:val="0"/>
              </w:rPr>
            </w:pPr>
            <w:r w:rsidRPr="00214785">
              <w:rPr>
                <w:b w:val="0"/>
              </w:rPr>
              <w:t xml:space="preserve">Reflections on PIT </w:t>
            </w:r>
            <w:proofErr w:type="spellStart"/>
            <w:r w:rsidRPr="00214785">
              <w:rPr>
                <w:b w:val="0"/>
              </w:rPr>
              <w:lastRenderedPageBreak/>
              <w:t>experiences</w:t>
            </w:r>
            <w:r w:rsidR="00053DA9" w:rsidRPr="00214785">
              <w:rPr>
                <w:b w:val="0"/>
                <w:vertAlign w:val="superscript"/>
              </w:rPr>
              <w:t>j</w:t>
            </w:r>
            <w:proofErr w:type="spellEnd"/>
          </w:p>
        </w:tc>
        <w:tc>
          <w:tcPr>
            <w:tcW w:w="0" w:type="auto"/>
          </w:tcPr>
          <w:p w14:paraId="38A45EF2"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lastRenderedPageBreak/>
              <w:t>Client satisfaction questionnaire (CSQ-8)</w:t>
            </w:r>
            <w:r w:rsidR="00263BB3" w:rsidRPr="00AF6D9B">
              <w:t xml:space="preserve"> </w:t>
            </w:r>
            <w:r w:rsidR="00263BB3" w:rsidRPr="00AF6D9B">
              <w:lastRenderedPageBreak/>
              <w:t>(Attkisson &amp; Greenfield, 2004).</w:t>
            </w:r>
            <w:r w:rsidRPr="00AF6D9B">
              <w:t>8 items consisting of 4 possible responses indicating satisfaction with various elements.</w:t>
            </w:r>
          </w:p>
        </w:tc>
        <w:tc>
          <w:tcPr>
            <w:tcW w:w="0" w:type="auto"/>
          </w:tcPr>
          <w:p w14:paraId="38A45EF3"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lastRenderedPageBreak/>
              <w:t xml:space="preserve">To assess client satisfaction </w:t>
            </w:r>
            <w:r w:rsidRPr="00AF6D9B">
              <w:lastRenderedPageBreak/>
              <w:t>with treatment</w:t>
            </w:r>
          </w:p>
        </w:tc>
      </w:tr>
      <w:tr w:rsidR="00972B3E" w:rsidRPr="00FB60E5" w14:paraId="38A45EF8"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F5" w14:textId="12458F91" w:rsidR="00972B3E" w:rsidRPr="00214785" w:rsidRDefault="00972B3E" w:rsidP="00610031">
            <w:pPr>
              <w:pStyle w:val="tabletext"/>
              <w:rPr>
                <w:b w:val="0"/>
              </w:rPr>
            </w:pPr>
            <w:r w:rsidRPr="00214785">
              <w:rPr>
                <w:b w:val="0"/>
              </w:rPr>
              <w:lastRenderedPageBreak/>
              <w:t xml:space="preserve">Reflection on </w:t>
            </w:r>
            <w:r w:rsidR="00650D57" w:rsidRPr="00214785">
              <w:rPr>
                <w:b w:val="0"/>
              </w:rPr>
              <w:t xml:space="preserve">overall AOD service </w:t>
            </w:r>
            <w:proofErr w:type="spellStart"/>
            <w:r w:rsidR="00650D57" w:rsidRPr="00214785">
              <w:rPr>
                <w:b w:val="0"/>
              </w:rPr>
              <w:t>experiences</w:t>
            </w:r>
            <w:r w:rsidR="00053DA9" w:rsidRPr="00214785">
              <w:rPr>
                <w:b w:val="0"/>
                <w:vertAlign w:val="superscript"/>
              </w:rPr>
              <w:t>j</w:t>
            </w:r>
            <w:proofErr w:type="spellEnd"/>
          </w:p>
        </w:tc>
        <w:tc>
          <w:tcPr>
            <w:tcW w:w="0" w:type="auto"/>
          </w:tcPr>
          <w:p w14:paraId="38A45EF6" w14:textId="0F569E54"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Items 6 and 7 extrapolated from the CSQ-8</w:t>
            </w:r>
            <w:r w:rsidR="00A67AC9" w:rsidRPr="00AF6D9B">
              <w:t>.</w:t>
            </w:r>
          </w:p>
        </w:tc>
        <w:tc>
          <w:tcPr>
            <w:tcW w:w="0" w:type="auto"/>
          </w:tcPr>
          <w:p w14:paraId="38A45EF7"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assess overall service effectiveness and satisfaction</w:t>
            </w:r>
          </w:p>
        </w:tc>
      </w:tr>
      <w:tr w:rsidR="00972B3E" w:rsidRPr="00FB60E5" w14:paraId="38A45EFC"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EF9" w14:textId="4B74D683" w:rsidR="00972B3E" w:rsidRPr="00214785" w:rsidRDefault="00972B3E" w:rsidP="00610031">
            <w:pPr>
              <w:pStyle w:val="tabletext"/>
              <w:rPr>
                <w:b w:val="0"/>
              </w:rPr>
            </w:pPr>
            <w:r w:rsidRPr="00214785">
              <w:rPr>
                <w:b w:val="0"/>
              </w:rPr>
              <w:t>Reason</w:t>
            </w:r>
            <w:r w:rsidR="00650D57" w:rsidRPr="00214785">
              <w:rPr>
                <w:b w:val="0"/>
              </w:rPr>
              <w:t xml:space="preserve">s for early treatment </w:t>
            </w:r>
            <w:proofErr w:type="spellStart"/>
            <w:r w:rsidR="00650D57" w:rsidRPr="00214785">
              <w:rPr>
                <w:b w:val="0"/>
              </w:rPr>
              <w:t>cessation</w:t>
            </w:r>
            <w:r w:rsidR="00053DA9" w:rsidRPr="00214785">
              <w:rPr>
                <w:b w:val="0"/>
                <w:vertAlign w:val="superscript"/>
              </w:rPr>
              <w:t>jk</w:t>
            </w:r>
            <w:proofErr w:type="spellEnd"/>
          </w:p>
        </w:tc>
        <w:tc>
          <w:tcPr>
            <w:tcW w:w="0" w:type="auto"/>
          </w:tcPr>
          <w:p w14:paraId="38A45EFA" w14:textId="0221F98A"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Women and men in Swedish addiction treatment</w:t>
            </w:r>
            <w:r w:rsidR="00650D57" w:rsidRPr="00AF6D9B">
              <w:t xml:space="preserve"> (Room et al., 2003)</w:t>
            </w:r>
            <w:r w:rsidRPr="00AF6D9B">
              <w:t xml:space="preserve"> 13-16 items. </w:t>
            </w:r>
          </w:p>
        </w:tc>
        <w:tc>
          <w:tcPr>
            <w:tcW w:w="0" w:type="auto"/>
          </w:tcPr>
          <w:p w14:paraId="38A45EFB"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To identify contributing factors for not completing primary index treatment</w:t>
            </w:r>
          </w:p>
        </w:tc>
      </w:tr>
      <w:tr w:rsidR="00972B3E" w:rsidRPr="00FB60E5" w14:paraId="38A45F01"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EFD" w14:textId="77777777" w:rsidR="00972B3E" w:rsidRPr="00214785" w:rsidRDefault="00972B3E" w:rsidP="00610031">
            <w:pPr>
              <w:pStyle w:val="tabletext"/>
              <w:rPr>
                <w:b w:val="0"/>
              </w:rPr>
            </w:pPr>
            <w:r w:rsidRPr="00214785">
              <w:rPr>
                <w:b w:val="0"/>
              </w:rPr>
              <w:t>Stigma</w:t>
            </w:r>
          </w:p>
        </w:tc>
        <w:tc>
          <w:tcPr>
            <w:tcW w:w="0" w:type="auto"/>
          </w:tcPr>
          <w:p w14:paraId="38A45EFE" w14:textId="77777777" w:rsidR="00F55F1B"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 xml:space="preserve">Modified version of the Discrimination and Stigma Scale DISC-12 </w:t>
            </w:r>
            <w:r w:rsidR="00F55F1B" w:rsidRPr="00AF6D9B">
              <w:t>(</w:t>
            </w:r>
            <w:proofErr w:type="spellStart"/>
            <w:r w:rsidR="00F55F1B" w:rsidRPr="00AF6D9B">
              <w:t>Brohan</w:t>
            </w:r>
            <w:proofErr w:type="spellEnd"/>
            <w:r w:rsidR="00F55F1B" w:rsidRPr="00AF6D9B">
              <w:t xml:space="preserve"> et al., 2011).</w:t>
            </w:r>
          </w:p>
          <w:p w14:paraId="38A45EFF"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4 sections, 32 items in total, each scored 0-3 or not applicable</w:t>
            </w:r>
          </w:p>
        </w:tc>
        <w:tc>
          <w:tcPr>
            <w:tcW w:w="0" w:type="auto"/>
          </w:tcPr>
          <w:p w14:paraId="38A45F00"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assess three types of discrimination: positive experienced, negative experienced, and anticipated; and overcoming discrimination</w:t>
            </w:r>
          </w:p>
        </w:tc>
      </w:tr>
      <w:tr w:rsidR="00972B3E" w:rsidRPr="00FB60E5" w14:paraId="38A45F05" w14:textId="77777777" w:rsidTr="00610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A45F02" w14:textId="4A9CAA21" w:rsidR="00972B3E" w:rsidRPr="00214785" w:rsidRDefault="00972B3E" w:rsidP="00650D57">
            <w:pPr>
              <w:pStyle w:val="tabletext"/>
              <w:rPr>
                <w:b w:val="0"/>
              </w:rPr>
            </w:pPr>
            <w:r w:rsidRPr="00214785">
              <w:rPr>
                <w:b w:val="0"/>
              </w:rPr>
              <w:t>Current treatment/substance use</w:t>
            </w:r>
            <w:r w:rsidR="002C27A8" w:rsidRPr="00214785">
              <w:rPr>
                <w:b w:val="0"/>
              </w:rPr>
              <w:t xml:space="preserve"> </w:t>
            </w:r>
            <w:proofErr w:type="spellStart"/>
            <w:r w:rsidRPr="00214785">
              <w:rPr>
                <w:b w:val="0"/>
              </w:rPr>
              <w:t>goals</w:t>
            </w:r>
            <w:r w:rsidR="00053DA9" w:rsidRPr="00214785">
              <w:rPr>
                <w:b w:val="0"/>
                <w:vertAlign w:val="superscript"/>
              </w:rPr>
              <w:t>l</w:t>
            </w:r>
            <w:proofErr w:type="spellEnd"/>
          </w:p>
        </w:tc>
        <w:tc>
          <w:tcPr>
            <w:tcW w:w="0" w:type="auto"/>
          </w:tcPr>
          <w:p w14:paraId="38A45F03" w14:textId="572B4436"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Items taken from the Women and Men in Swedish Addiction Treat</w:t>
            </w:r>
            <w:r w:rsidR="00196F0F" w:rsidRPr="00AF6D9B">
              <w:t xml:space="preserve">ment study (Room et al., 2003) </w:t>
            </w:r>
            <w:r w:rsidRPr="00AF6D9B">
              <w:t>2 items, scored 1-5 or 1-6</w:t>
            </w:r>
            <w:r w:rsidR="002C27A8" w:rsidRPr="00AF6D9B">
              <w:t xml:space="preserve"> </w:t>
            </w:r>
          </w:p>
        </w:tc>
        <w:tc>
          <w:tcPr>
            <w:tcW w:w="0" w:type="auto"/>
          </w:tcPr>
          <w:p w14:paraId="38A45F04" w14:textId="77777777" w:rsidR="00972B3E" w:rsidRPr="00AF6D9B" w:rsidRDefault="00972B3E" w:rsidP="00AF6D9B">
            <w:pPr>
              <w:pStyle w:val="tabletext"/>
              <w:cnfStyle w:val="000000100000" w:firstRow="0" w:lastRow="0" w:firstColumn="0" w:lastColumn="0" w:oddVBand="0" w:evenVBand="0" w:oddHBand="1" w:evenHBand="0" w:firstRowFirstColumn="0" w:firstRowLastColumn="0" w:lastRowFirstColumn="0" w:lastRowLastColumn="0"/>
            </w:pPr>
            <w:r w:rsidRPr="00AF6D9B">
              <w:t xml:space="preserve">To differentiate substance use goals as determined by abstinence, reduction, or harm reduction. </w:t>
            </w:r>
          </w:p>
        </w:tc>
      </w:tr>
      <w:tr w:rsidR="00972B3E" w:rsidRPr="00FB60E5" w14:paraId="38A45F09" w14:textId="77777777" w:rsidTr="00610031">
        <w:tc>
          <w:tcPr>
            <w:cnfStyle w:val="001000000000" w:firstRow="0" w:lastRow="0" w:firstColumn="1" w:lastColumn="0" w:oddVBand="0" w:evenVBand="0" w:oddHBand="0" w:evenHBand="0" w:firstRowFirstColumn="0" w:firstRowLastColumn="0" w:lastRowFirstColumn="0" w:lastRowLastColumn="0"/>
            <w:tcW w:w="0" w:type="auto"/>
          </w:tcPr>
          <w:p w14:paraId="38A45F06" w14:textId="77777777" w:rsidR="00972B3E" w:rsidRPr="00214785" w:rsidRDefault="00972B3E" w:rsidP="00610031">
            <w:pPr>
              <w:pStyle w:val="tabletext"/>
              <w:rPr>
                <w:b w:val="0"/>
              </w:rPr>
            </w:pPr>
            <w:r w:rsidRPr="00214785">
              <w:rPr>
                <w:b w:val="0"/>
              </w:rPr>
              <w:t xml:space="preserve">Current treatment </w:t>
            </w:r>
            <w:proofErr w:type="spellStart"/>
            <w:r w:rsidRPr="00214785">
              <w:rPr>
                <w:b w:val="0"/>
              </w:rPr>
              <w:t>experience</w:t>
            </w:r>
            <w:r w:rsidR="00053DA9" w:rsidRPr="00214785">
              <w:rPr>
                <w:b w:val="0"/>
                <w:vertAlign w:val="superscript"/>
              </w:rPr>
              <w:t>m</w:t>
            </w:r>
            <w:proofErr w:type="spellEnd"/>
          </w:p>
        </w:tc>
        <w:tc>
          <w:tcPr>
            <w:tcW w:w="0" w:type="auto"/>
          </w:tcPr>
          <w:p w14:paraId="38A45F07" w14:textId="77777777"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Items taken from the Women and Men in Swedish Addiction Treatment study (Room et al., 2003). 11 items each scored 1-4</w:t>
            </w:r>
          </w:p>
        </w:tc>
        <w:tc>
          <w:tcPr>
            <w:tcW w:w="0" w:type="auto"/>
          </w:tcPr>
          <w:p w14:paraId="38A45F08" w14:textId="1CAE325C" w:rsidR="00972B3E" w:rsidRPr="00AF6D9B" w:rsidRDefault="00972B3E" w:rsidP="00AF6D9B">
            <w:pPr>
              <w:pStyle w:val="tabletext"/>
              <w:cnfStyle w:val="000000000000" w:firstRow="0" w:lastRow="0" w:firstColumn="0" w:lastColumn="0" w:oddVBand="0" w:evenVBand="0" w:oddHBand="0" w:evenHBand="0" w:firstRowFirstColumn="0" w:firstRowLastColumn="0" w:lastRowFirstColumn="0" w:lastRowLastColumn="0"/>
            </w:pPr>
            <w:r w:rsidRPr="00AF6D9B">
              <w:t>To determine treatment expectation</w:t>
            </w:r>
            <w:r w:rsidR="00650D57" w:rsidRPr="00AF6D9B">
              <w:t>s and impressions of treatment.</w:t>
            </w:r>
          </w:p>
        </w:tc>
      </w:tr>
    </w:tbl>
    <w:p w14:paraId="38A45F0A" w14:textId="2FF72DAB" w:rsidR="00972B3E" w:rsidRPr="00FB60E5" w:rsidRDefault="00972B3E" w:rsidP="00882917">
      <w:pPr>
        <w:pStyle w:val="FootnoteText"/>
        <w:numPr>
          <w:ilvl w:val="0"/>
          <w:numId w:val="24"/>
        </w:numPr>
      </w:pPr>
      <w:r w:rsidRPr="00FB60E5">
        <w:t xml:space="preserve">Selected demographics: date of birth, nationality and cultural background not asked at </w:t>
      </w:r>
      <w:r w:rsidR="00225DFE" w:rsidRPr="00FB60E5">
        <w:t>follow-up</w:t>
      </w:r>
    </w:p>
    <w:p w14:paraId="38A45F0B" w14:textId="66CBD4C5" w:rsidR="00972B3E" w:rsidRPr="00FB60E5" w:rsidRDefault="00972B3E" w:rsidP="00882917">
      <w:pPr>
        <w:pStyle w:val="FootnoteText"/>
        <w:numPr>
          <w:ilvl w:val="0"/>
          <w:numId w:val="24"/>
        </w:numPr>
      </w:pPr>
      <w:r w:rsidRPr="00FB60E5">
        <w:t xml:space="preserve">At baseline individual chronic medical problems not specified. Actual current and past chronic medical problems collected at </w:t>
      </w:r>
      <w:r w:rsidR="00225DFE" w:rsidRPr="00FB60E5">
        <w:t>follow-up</w:t>
      </w:r>
      <w:r w:rsidR="00650D57">
        <w:t xml:space="preserve"> only.</w:t>
      </w:r>
    </w:p>
    <w:p w14:paraId="38A45F0C" w14:textId="2A56E3AF" w:rsidR="007B176C" w:rsidRPr="00FB60E5" w:rsidRDefault="007B176C" w:rsidP="00882917">
      <w:pPr>
        <w:pStyle w:val="FootnoteText"/>
        <w:numPr>
          <w:ilvl w:val="0"/>
          <w:numId w:val="24"/>
        </w:numPr>
      </w:pPr>
      <w:r w:rsidRPr="00FB60E5">
        <w:t>This item was added after data collection commenced, therefore data not available for the first 19% of interviews</w:t>
      </w:r>
    </w:p>
    <w:p w14:paraId="38A45F0D" w14:textId="4C739679" w:rsidR="007B176C" w:rsidRPr="00FB60E5" w:rsidRDefault="007B176C" w:rsidP="00882917">
      <w:pPr>
        <w:pStyle w:val="FootnoteText"/>
        <w:numPr>
          <w:ilvl w:val="0"/>
          <w:numId w:val="24"/>
        </w:numPr>
      </w:pPr>
      <w:r w:rsidRPr="00FB60E5">
        <w:t>At baseline, alcohol use measured if participant had consumed any alcohol in the last 30 days or if alcohol was reported as a substance of concern. At follow-up, alcohol use was measured if participant had used any alcohol since the baseline interview or if originally reported as a substance of concern.</w:t>
      </w:r>
    </w:p>
    <w:p w14:paraId="38A45F0E" w14:textId="4D3DF8B5" w:rsidR="00972B3E" w:rsidRPr="00FB60E5" w:rsidRDefault="00972B3E" w:rsidP="00882917">
      <w:pPr>
        <w:pStyle w:val="FootnoteText"/>
        <w:numPr>
          <w:ilvl w:val="0"/>
          <w:numId w:val="24"/>
        </w:numPr>
      </w:pPr>
      <w:r w:rsidRPr="00FB60E5">
        <w:t xml:space="preserve">At baseline, severity of dependence measured only for primary substance of concern. At </w:t>
      </w:r>
      <w:r w:rsidR="00225DFE" w:rsidRPr="00FB60E5">
        <w:t>follow-up</w:t>
      </w:r>
      <w:r w:rsidRPr="00FB60E5">
        <w:t>, severity of dependence measure for current substance of concern and original substance of concern (if different).</w:t>
      </w:r>
    </w:p>
    <w:p w14:paraId="38A45F0F" w14:textId="07CAA417" w:rsidR="00972B3E" w:rsidRPr="00FB60E5" w:rsidRDefault="00972B3E" w:rsidP="00882917">
      <w:pPr>
        <w:pStyle w:val="FootnoteText"/>
        <w:numPr>
          <w:ilvl w:val="0"/>
          <w:numId w:val="24"/>
        </w:numPr>
      </w:pPr>
      <w:r w:rsidRPr="00FB60E5">
        <w:t xml:space="preserve">At </w:t>
      </w:r>
      <w:r w:rsidR="00225DFE" w:rsidRPr="00FB60E5">
        <w:t>follow-up</w:t>
      </w:r>
      <w:r w:rsidRPr="00FB60E5">
        <w:t xml:space="preserve"> Part B was only asked if the participant was currently in treatment or had an upcoming appointment for AOD treatment.</w:t>
      </w:r>
    </w:p>
    <w:p w14:paraId="38A45F10" w14:textId="13E30054" w:rsidR="007B176C" w:rsidRPr="00FB60E5" w:rsidRDefault="007B176C" w:rsidP="00882917">
      <w:pPr>
        <w:pStyle w:val="FootnoteText"/>
        <w:numPr>
          <w:ilvl w:val="0"/>
          <w:numId w:val="24"/>
        </w:numPr>
      </w:pPr>
      <w:r w:rsidRPr="00FB60E5">
        <w:t>Services included: withdrawal, AOD counselling, residential rehabilitation, pharmacotherapy (follow-up only), self-help and mutual aid, general practitioner (GP) ambulance, emergency department (ED), hospital inpatient services, mental health service, legal aid, financial counselling, employment service, family/relationship counselling, housing/homelessness service, other.</w:t>
      </w:r>
    </w:p>
    <w:p w14:paraId="38A45F11" w14:textId="24D71085" w:rsidR="007B176C" w:rsidRPr="00FB60E5" w:rsidRDefault="007B176C" w:rsidP="00882917">
      <w:pPr>
        <w:pStyle w:val="FootnoteText"/>
        <w:numPr>
          <w:ilvl w:val="0"/>
          <w:numId w:val="24"/>
        </w:numPr>
      </w:pPr>
      <w:r w:rsidRPr="00FB60E5">
        <w:t>Legal involvement included: prison, CBO program, court, lock-up/watch house, remand</w:t>
      </w:r>
    </w:p>
    <w:p w14:paraId="38A45F12" w14:textId="5D1E992A" w:rsidR="00196F0F" w:rsidRPr="00FB60E5" w:rsidRDefault="00196F0F" w:rsidP="00882917">
      <w:pPr>
        <w:pStyle w:val="FootnoteText"/>
        <w:numPr>
          <w:ilvl w:val="0"/>
          <w:numId w:val="24"/>
        </w:numPr>
      </w:pPr>
      <w:r w:rsidRPr="00FB60E5">
        <w:t>Asked at baseline only</w:t>
      </w:r>
    </w:p>
    <w:p w14:paraId="38A45F13" w14:textId="57D0041E" w:rsidR="00972B3E" w:rsidRPr="00FB60E5" w:rsidRDefault="00972B3E" w:rsidP="00882917">
      <w:pPr>
        <w:pStyle w:val="FootnoteText"/>
        <w:numPr>
          <w:ilvl w:val="0"/>
          <w:numId w:val="24"/>
        </w:numPr>
      </w:pPr>
      <w:r w:rsidRPr="00FB60E5">
        <w:t xml:space="preserve">Asked at </w:t>
      </w:r>
      <w:r w:rsidR="00225DFE" w:rsidRPr="00FB60E5">
        <w:t>follow-up</w:t>
      </w:r>
      <w:r w:rsidRPr="00FB60E5">
        <w:t xml:space="preserve"> only</w:t>
      </w:r>
    </w:p>
    <w:p w14:paraId="324BD896" w14:textId="77777777" w:rsidR="00BB0E5E" w:rsidRDefault="00972B3E" w:rsidP="00882917">
      <w:pPr>
        <w:pStyle w:val="FootnoteText"/>
        <w:numPr>
          <w:ilvl w:val="0"/>
          <w:numId w:val="24"/>
        </w:numPr>
      </w:pPr>
      <w:r w:rsidRPr="00FB60E5">
        <w:t>Items only administered upon treatment non-completion. Number of items (13-16 items) administered dependent upon primary reason for early treatment cessation</w:t>
      </w:r>
    </w:p>
    <w:p w14:paraId="584C377B" w14:textId="77777777" w:rsidR="00BB0E5E" w:rsidRDefault="00972B3E" w:rsidP="00882917">
      <w:pPr>
        <w:pStyle w:val="FootnoteText"/>
        <w:numPr>
          <w:ilvl w:val="0"/>
          <w:numId w:val="24"/>
        </w:numPr>
      </w:pPr>
      <w:r w:rsidRPr="00FB60E5">
        <w:t xml:space="preserve">Only administered at </w:t>
      </w:r>
      <w:r w:rsidR="00225DFE" w:rsidRPr="00FB60E5">
        <w:t>follow-up</w:t>
      </w:r>
      <w:r w:rsidRPr="00FB60E5">
        <w:t xml:space="preserve"> if currently involved in AOD treatment. If not currently involved in treatment, items rephrased as current substance use goals</w:t>
      </w:r>
    </w:p>
    <w:p w14:paraId="38A45F16" w14:textId="22C0C4D7" w:rsidR="00972B3E" w:rsidRPr="00FB60E5" w:rsidRDefault="00972B3E" w:rsidP="00882917">
      <w:pPr>
        <w:pStyle w:val="FootnoteText"/>
        <w:numPr>
          <w:ilvl w:val="0"/>
          <w:numId w:val="24"/>
        </w:numPr>
      </w:pPr>
      <w:r w:rsidRPr="00FB60E5">
        <w:t xml:space="preserve">Only administered at </w:t>
      </w:r>
      <w:r w:rsidR="00225DFE" w:rsidRPr="00FB60E5">
        <w:t>follow-up</w:t>
      </w:r>
      <w:r w:rsidRPr="00FB60E5">
        <w:t xml:space="preserve"> if currently involved in AOD treatment.</w:t>
      </w:r>
    </w:p>
    <w:p w14:paraId="38A45F18" w14:textId="77777777" w:rsidR="00413BF2" w:rsidRPr="00650D57" w:rsidRDefault="00413BF2" w:rsidP="00650D57">
      <w:pPr>
        <w:pStyle w:val="Heading3"/>
      </w:pPr>
      <w:r w:rsidRPr="00650D57">
        <w:t>Data collection</w:t>
      </w:r>
    </w:p>
    <w:p w14:paraId="38A45F19" w14:textId="2DC49175" w:rsidR="00413BF2" w:rsidRPr="00FB60E5" w:rsidRDefault="00413BF2" w:rsidP="00FB60E5">
      <w:pPr>
        <w:ind w:left="0"/>
      </w:pPr>
      <w:r w:rsidRPr="00FB60E5">
        <w:t xml:space="preserve">The recruitment and data collection phase of the project occurred between January 2012 and January 2013. Clients were recruited via AOD clinicians introducing the study to clients and then forwarding the client’s details to the researchers who contacted the </w:t>
      </w:r>
      <w:r w:rsidR="00EE7A8F" w:rsidRPr="00FB60E5">
        <w:t xml:space="preserve">participant </w:t>
      </w:r>
      <w:r w:rsidRPr="00FB60E5">
        <w:lastRenderedPageBreak/>
        <w:t xml:space="preserve">and provided further information about the study and assessed eligibility or directly by researchers during site visits. Informed consent was sought from all participants prior to the commencement of the interview, including consent to collect contact information for </w:t>
      </w:r>
      <w:r w:rsidR="00225DFE" w:rsidRPr="00FB60E5">
        <w:t>follow-up</w:t>
      </w:r>
      <w:r w:rsidRPr="00FB60E5">
        <w:t xml:space="preserve"> after 12 months. Interviews followed a structured format and were conducted face-to-face at the agency through which the person was recruited (99%), except where factors such as distance to travel necessitated a telephone interview (1%). </w:t>
      </w:r>
      <w:r w:rsidR="002461FE" w:rsidRPr="00FB60E5">
        <w:t xml:space="preserve">The full baseline and follow-up interview schedules are in Appendix 2.2 and Appendix 2.3. </w:t>
      </w:r>
      <w:r w:rsidRPr="00FB60E5">
        <w:t xml:space="preserve">A summary of the interview schedules, including domains covered, standardised tools used and rationale for inclusion is shown in </w:t>
      </w:r>
      <w:r w:rsidR="001B3CBD">
        <w:fldChar w:fldCharType="begin"/>
      </w:r>
      <w:r w:rsidR="001B3CBD">
        <w:instrText xml:space="preserve"> REF _Ref531192228 \h </w:instrText>
      </w:r>
      <w:r w:rsidR="001B3CBD">
        <w:fldChar w:fldCharType="separate"/>
      </w:r>
      <w:r w:rsidR="001B3CBD">
        <w:t xml:space="preserve">Table </w:t>
      </w:r>
      <w:r w:rsidR="001B3CBD">
        <w:rPr>
          <w:noProof/>
        </w:rPr>
        <w:t>3</w:t>
      </w:r>
      <w:r w:rsidR="001B3CBD">
        <w:t>.</w:t>
      </w:r>
      <w:r w:rsidR="001B3CBD">
        <w:rPr>
          <w:noProof/>
        </w:rPr>
        <w:t>1</w:t>
      </w:r>
      <w:r w:rsidR="001B3CBD">
        <w:fldChar w:fldCharType="end"/>
      </w:r>
      <w:r w:rsidRPr="00FB60E5">
        <w:t>. Interviews took approximately one hour to complete. Participants were reimbursed $25 for the baseline interview and $45 for the follow-up interview in recognition of their time and contribution.</w:t>
      </w:r>
    </w:p>
    <w:p w14:paraId="38A45F1A" w14:textId="77777777" w:rsidR="00413BF2" w:rsidRPr="00FB60E5" w:rsidRDefault="00225DFE" w:rsidP="00610031">
      <w:pPr>
        <w:pStyle w:val="Heading3"/>
      </w:pPr>
      <w:r w:rsidRPr="00FB60E5">
        <w:t>Follow-up</w:t>
      </w:r>
      <w:r w:rsidR="00413BF2" w:rsidRPr="00FB60E5">
        <w:t xml:space="preserve"> interviews</w:t>
      </w:r>
    </w:p>
    <w:p w14:paraId="7C23D544" w14:textId="77777777" w:rsidR="002C27A8" w:rsidRDefault="005B3259" w:rsidP="00FB60E5">
      <w:pPr>
        <w:ind w:left="0"/>
      </w:pPr>
      <w:r w:rsidRPr="00FB60E5">
        <w:t>Con</w:t>
      </w:r>
      <w:r w:rsidR="00413BF2" w:rsidRPr="00FB60E5">
        <w:t xml:space="preserve">tact with </w:t>
      </w:r>
      <w:r w:rsidR="006D29AE" w:rsidRPr="00FB60E5">
        <w:t>participants</w:t>
      </w:r>
      <w:r w:rsidR="00413BF2" w:rsidRPr="00FB60E5">
        <w:t xml:space="preserve"> who had been interviewed at baseline</w:t>
      </w:r>
      <w:r w:rsidRPr="00FB60E5">
        <w:t xml:space="preserve"> commenced on average </w:t>
      </w:r>
      <w:r w:rsidR="00413BF2" w:rsidRPr="00FB60E5">
        <w:t>twelve months after the</w:t>
      </w:r>
      <w:r w:rsidRPr="00FB60E5">
        <w:t>ir</w:t>
      </w:r>
      <w:r w:rsidR="00413BF2" w:rsidRPr="00FB60E5">
        <w:t xml:space="preserve"> </w:t>
      </w:r>
      <w:r w:rsidRPr="00FB60E5">
        <w:t>baseline interview</w:t>
      </w:r>
      <w:r w:rsidR="00413BF2" w:rsidRPr="00FB60E5">
        <w:t xml:space="preserve">. Contact was made with participants in the same order with which they were interviewed, so as to ensure that as many participants as possible remained within the eligibility window. Difficulties in contacting </w:t>
      </w:r>
      <w:r w:rsidR="006D29AE" w:rsidRPr="00FB60E5">
        <w:t>participants were encountered</w:t>
      </w:r>
      <w:r w:rsidR="00413BF2" w:rsidRPr="00FB60E5">
        <w:t xml:space="preserve">. This meant that the end of the fifteen month eligibility window did occur for a proportion of </w:t>
      </w:r>
      <w:r w:rsidR="006D29AE" w:rsidRPr="00FB60E5">
        <w:t>participants</w:t>
      </w:r>
      <w:r w:rsidR="00413BF2" w:rsidRPr="00FB60E5">
        <w:t xml:space="preserve">. As a result, an extension of the eligibility window was discussed and implemented and extra resources were directed at prioritising these participants. As a result, the </w:t>
      </w:r>
      <w:r w:rsidR="00225DFE" w:rsidRPr="00FB60E5">
        <w:t>follow-up</w:t>
      </w:r>
      <w:r w:rsidR="00413BF2" w:rsidRPr="00FB60E5">
        <w:t xml:space="preserve"> period ranged from </w:t>
      </w:r>
      <w:r w:rsidR="005576C2" w:rsidRPr="00FB60E5">
        <w:t xml:space="preserve">7.6 </w:t>
      </w:r>
      <w:r w:rsidR="00413BF2" w:rsidRPr="00FB60E5">
        <w:t xml:space="preserve">to </w:t>
      </w:r>
      <w:r w:rsidR="005576C2" w:rsidRPr="00FB60E5">
        <w:t>21.2</w:t>
      </w:r>
      <w:r w:rsidR="00413BF2" w:rsidRPr="00FB60E5">
        <w:t xml:space="preserve"> months (mean 12.</w:t>
      </w:r>
      <w:r w:rsidR="005576C2" w:rsidRPr="00FB60E5">
        <w:t>5</w:t>
      </w:r>
      <w:r w:rsidR="00413BF2" w:rsidRPr="00FB60E5">
        <w:t xml:space="preserve"> months), although for the vast majority of participants (</w:t>
      </w:r>
      <w:r w:rsidR="005576C2" w:rsidRPr="00FB60E5">
        <w:t>85</w:t>
      </w:r>
      <w:r w:rsidR="00413BF2" w:rsidRPr="00FB60E5">
        <w:t>%) the follow-up period was between nine and fifteen months post baseline</w:t>
      </w:r>
      <w:r w:rsidR="002C27A8">
        <w:t>.</w:t>
      </w:r>
    </w:p>
    <w:p w14:paraId="38A45F1C" w14:textId="1D26FF7B" w:rsidR="00413BF2" w:rsidRPr="00FB60E5" w:rsidRDefault="00413BF2" w:rsidP="00FB60E5">
      <w:pPr>
        <w:ind w:left="0"/>
      </w:pPr>
      <w:r w:rsidRPr="00FB60E5">
        <w:t>Participants were contacted via telephone, reminded of their involvement in the baseline interview, and offered the opportunity to engage in a follow-up telephone interview at an agreed date and time. Participants were reminded at this stage that they would be reimbursed $45 for their participation. At the conclusion of the follow-up data collection period, the majority of participants were successfully re-interviewed (</w:t>
      </w:r>
      <w:r w:rsidR="005576C2" w:rsidRPr="00FB60E5">
        <w:t>70</w:t>
      </w:r>
      <w:r w:rsidRPr="00FB60E5">
        <w:t>%, 555). Of those who were not re-interviewed, 11 (1%) were deceased, 19 (</w:t>
      </w:r>
      <w:r w:rsidR="005576C2" w:rsidRPr="00FB60E5">
        <w:t>2</w:t>
      </w:r>
      <w:r w:rsidRPr="00FB60E5">
        <w:t>%) were incarcerated, 66 (8%) no longer wished to take part (i.e. withdrew from study) and 145 participant</w:t>
      </w:r>
      <w:r w:rsidR="00202EDE" w:rsidRPr="00FB60E5">
        <w:t>s</w:t>
      </w:r>
      <w:r w:rsidRPr="00FB60E5">
        <w:t xml:space="preserve"> (18%) could not be contacted after multiple attempts were ma</w:t>
      </w:r>
      <w:r w:rsidR="00202EDE" w:rsidRPr="00FB60E5">
        <w:t xml:space="preserve">de and were lost to follow-up. </w:t>
      </w:r>
      <w:r w:rsidRPr="00FB60E5">
        <w:t>Follow-up interviews were conducted between D</w:t>
      </w:r>
      <w:r w:rsidR="00610031">
        <w:t>ecember 2012 and February 2014.</w:t>
      </w:r>
    </w:p>
    <w:p w14:paraId="6ED70E65" w14:textId="77777777" w:rsidR="002C27A8" w:rsidRDefault="00413BF2" w:rsidP="00FB60E5">
      <w:pPr>
        <w:ind w:left="0"/>
      </w:pPr>
      <w:r w:rsidRPr="00FB60E5">
        <w:t>Follow-up interviews were conducted by telephone at an agreed time. A small proportion of participants requested to be interviewed in person, usually for reasons related to confidentiality or due to preference for a cash reimbursement. Where this request was made, interviews were conducted at Turning Point (Victoria). At the end of the follow-up interview, participants were asked for permission to be contacted for a further interview at a later date. An overwhelming majority (</w:t>
      </w:r>
      <w:r w:rsidR="009B5776" w:rsidRPr="00FB60E5">
        <w:t>99</w:t>
      </w:r>
      <w:r w:rsidRPr="00FB60E5">
        <w:t xml:space="preserve">%) gave permission for further contact by </w:t>
      </w:r>
      <w:r w:rsidR="009D3A88" w:rsidRPr="00FB60E5">
        <w:t>the</w:t>
      </w:r>
      <w:r w:rsidRPr="00FB60E5">
        <w:t xml:space="preserve"> researchers</w:t>
      </w:r>
      <w:r w:rsidR="002C27A8">
        <w:t>.</w:t>
      </w:r>
    </w:p>
    <w:p w14:paraId="38A45F1E" w14:textId="66CD58DD" w:rsidR="00413BF2" w:rsidRPr="00FB60E5" w:rsidRDefault="00225DFE" w:rsidP="00610031">
      <w:pPr>
        <w:pStyle w:val="Heading3"/>
      </w:pPr>
      <w:r w:rsidRPr="00FB60E5">
        <w:t>Follow-up</w:t>
      </w:r>
      <w:r w:rsidR="00413BF2" w:rsidRPr="00FB60E5">
        <w:t xml:space="preserve"> procedures</w:t>
      </w:r>
    </w:p>
    <w:p w14:paraId="38A45F1F" w14:textId="53A5D74D" w:rsidR="00413BF2" w:rsidRPr="00FB60E5" w:rsidRDefault="00413BF2" w:rsidP="00FB60E5">
      <w:pPr>
        <w:ind w:left="0"/>
      </w:pPr>
      <w:r w:rsidRPr="00FB60E5">
        <w:t>Many clients were initially unable to be contacted via the telephone number provided to researchers at the time of the baseline interview. Where this occurred a number of strategies were implemented in order to make contact. Where consistent telephone phone calls and voicemail/text messages to primary contact number/s were unsuccessful – or in the event of a phone number being incorrect or disconnected – a letter and/or email was sent to the nominated addresses if provided at baseline.</w:t>
      </w:r>
      <w:r w:rsidR="002C27A8">
        <w:t xml:space="preserve"> </w:t>
      </w:r>
      <w:r w:rsidRPr="00FB60E5">
        <w:t xml:space="preserve">Following these, the researchers made contact with the original agencies from where the participant was originally recruited </w:t>
      </w:r>
      <w:r w:rsidRPr="00FB60E5">
        <w:lastRenderedPageBreak/>
        <w:t>and requested the most recent contact information be provided by the agency. Where all of these avenues of contact were unsuccessful, researchers attempted to make contact with secondary contact persons – that is, family, friends, partners, clinicians and others whom the participants had listed on the locator form at the time of the baseline interview and given permission to contact in the event of a loss of contact. Where this step was required, researchers made sure to uphold confidentiality by not disclosing the exact nature of the call. Where contact with the participant was not possible, and all avenues of contact had been exhausted, further contact attempts were postponed and resumed at a later date. The mean number of days between baseline and follow-up interview was 380.3 (SD 71.8 days)</w:t>
      </w:r>
    </w:p>
    <w:p w14:paraId="38A45F20" w14:textId="5DAA9F25" w:rsidR="00413BF2" w:rsidRPr="00610031" w:rsidRDefault="00882917" w:rsidP="00AA2F44">
      <w:pPr>
        <w:pStyle w:val="Heading4"/>
        <w:rPr>
          <w:rStyle w:val="SubtleEmphasis"/>
        </w:rPr>
      </w:pPr>
      <w:r>
        <w:rPr>
          <w:rStyle w:val="SubtleEmphasis"/>
        </w:rPr>
        <w:t>Data management</w:t>
      </w:r>
    </w:p>
    <w:p w14:paraId="223F19E6" w14:textId="77777777" w:rsidR="002C27A8" w:rsidRDefault="00413BF2" w:rsidP="00FB60E5">
      <w:pPr>
        <w:ind w:left="0"/>
      </w:pPr>
      <w:r w:rsidRPr="00FB60E5">
        <w:t>Data were either recorded on a paper-based version of the interview schedule, or entered directly into an online version of the interview schedule via tablet. All records were transferred to Turning Point for centralised data cleaning and analysis. Prior to analysis, 10% (n=56) of the baseline interviews completed on paper were re-entered and data verification undertaken, which revealed a low rate of data entry error, well within the acceptable range.</w:t>
      </w:r>
      <w:r w:rsidR="008214EB" w:rsidRPr="00FB60E5">
        <w:t xml:space="preserve"> </w:t>
      </w:r>
      <w:r w:rsidR="00285510" w:rsidRPr="00FB60E5">
        <w:t>Where data were missing for individual items of a multi-item scale, decisions regarding whether to calculate the scale score or discard all data for that scale were based on published recommendations by the scale authors where available (WHO</w:t>
      </w:r>
      <w:r w:rsidR="00EE7A8F" w:rsidRPr="00FB60E5">
        <w:t>QOL</w:t>
      </w:r>
      <w:r w:rsidR="00285510" w:rsidRPr="00FB60E5">
        <w:t xml:space="preserve"> and DISC). For other scales, scale scores were calculated based on the mean response to non-missing items only when &lt; 25% of items </w:t>
      </w:r>
      <w:proofErr w:type="gramStart"/>
      <w:r w:rsidR="00285510" w:rsidRPr="00FB60E5">
        <w:t>were</w:t>
      </w:r>
      <w:proofErr w:type="gramEnd"/>
      <w:r w:rsidR="00285510" w:rsidRPr="00FB60E5">
        <w:t xml:space="preserve"> missing. No other forms of imputation were used to substitute for missing data and in analyses where data were missing for some </w:t>
      </w:r>
      <w:proofErr w:type="gramStart"/>
      <w:r w:rsidR="00285510" w:rsidRPr="00FB60E5">
        <w:t>participants,</w:t>
      </w:r>
      <w:proofErr w:type="gramEnd"/>
      <w:r w:rsidR="00285510" w:rsidRPr="00FB60E5">
        <w:t xml:space="preserve"> those participants’ data were therefore deleted </w:t>
      </w:r>
      <w:proofErr w:type="spellStart"/>
      <w:r w:rsidR="00285510" w:rsidRPr="00FB60E5">
        <w:t>listwise</w:t>
      </w:r>
      <w:proofErr w:type="spellEnd"/>
      <w:r w:rsidR="00285510" w:rsidRPr="00FB60E5">
        <w:t xml:space="preserve"> for that analysis.</w:t>
      </w:r>
      <w:r w:rsidR="009B5776" w:rsidRPr="00FB60E5">
        <w:t xml:space="preserve"> </w:t>
      </w:r>
      <w:r w:rsidRPr="00FB60E5">
        <w:t>Personal information, such as contact details and secondary contacts were stored in a separate password protected database</w:t>
      </w:r>
      <w:r w:rsidR="002C27A8">
        <w:t>.</w:t>
      </w:r>
    </w:p>
    <w:p w14:paraId="38A45F22" w14:textId="770CB473" w:rsidR="00072449" w:rsidRPr="00610031" w:rsidRDefault="00882917" w:rsidP="00AA2F44">
      <w:pPr>
        <w:pStyle w:val="Heading4"/>
        <w:rPr>
          <w:rStyle w:val="SubtleEmphasis"/>
        </w:rPr>
      </w:pPr>
      <w:r>
        <w:rPr>
          <w:rStyle w:val="SubtleEmphasis"/>
        </w:rPr>
        <w:t>Data analysis</w:t>
      </w:r>
    </w:p>
    <w:p w14:paraId="4B8D6EDF" w14:textId="77777777" w:rsidR="002C27A8" w:rsidRDefault="00072449" w:rsidP="00FB60E5">
      <w:pPr>
        <w:ind w:left="0"/>
      </w:pPr>
      <w:r w:rsidRPr="00FB60E5">
        <w:t>Continuous variables were tested for skew and kurtosis. Where the ratio of either the skew or kurtosis statistic to its standard error exceeded 3.1, variables were considered non-normal. Time between baseline and follow-up was normally distributed, but other continuous variables were not</w:t>
      </w:r>
      <w:r w:rsidR="002C27A8">
        <w:t>.</w:t>
      </w:r>
    </w:p>
    <w:p w14:paraId="38A45F24" w14:textId="6A68A4F6" w:rsidR="00072449" w:rsidRPr="00FB60E5" w:rsidRDefault="00072449" w:rsidP="00FB60E5">
      <w:pPr>
        <w:ind w:left="0"/>
      </w:pPr>
      <w:r w:rsidRPr="00FB60E5">
        <w:t xml:space="preserve">Bivariate relationships between categorical variables were analysed with Pearson’s </w:t>
      </w:r>
      <w:r w:rsidRPr="00FB60E5">
        <w:t xml:space="preserve">2 statistic. Differences between groupings of participants on normal continuous measures were analysed with independent samples t-tests. For non-normal continuous measures, where there were 3 or more groups, </w:t>
      </w:r>
      <w:proofErr w:type="spellStart"/>
      <w:r w:rsidRPr="00FB60E5">
        <w:t>Kruskall</w:t>
      </w:r>
      <w:proofErr w:type="spellEnd"/>
      <w:r w:rsidRPr="00FB60E5">
        <w:t xml:space="preserve">-Wallis tests used for between-group comparisons of non-normal variables. Pairwise comparisons (or post-hoc testing after a significant </w:t>
      </w:r>
      <w:proofErr w:type="spellStart"/>
      <w:r w:rsidRPr="00FB60E5">
        <w:t>Kruskall</w:t>
      </w:r>
      <w:proofErr w:type="spellEnd"/>
      <w:r w:rsidRPr="00FB60E5">
        <w:t xml:space="preserve">-Wallis test result) were analysed with Mann-Whitney U tests. Changes in single variables between baseline and follow-up were analysed with </w:t>
      </w:r>
      <w:proofErr w:type="spellStart"/>
      <w:r w:rsidRPr="00FB60E5">
        <w:t>McNemar</w:t>
      </w:r>
      <w:proofErr w:type="spellEnd"/>
      <w:r w:rsidRPr="00FB60E5">
        <w:t xml:space="preserve"> tests (for categorical variables) or repeated measures Man</w:t>
      </w:r>
      <w:r w:rsidR="00B31F23" w:rsidRPr="00FB60E5">
        <w:t>n</w:t>
      </w:r>
      <w:r w:rsidRPr="00FB60E5">
        <w:t xml:space="preserve">-Whitney U tests (for continuous variables). </w:t>
      </w:r>
      <w:r w:rsidR="00CF58CD" w:rsidRPr="00FB60E5">
        <w:t xml:space="preserve">To compare follow-up </w:t>
      </w:r>
      <w:r w:rsidR="00B31F23" w:rsidRPr="00FB60E5">
        <w:t>WHOQOL</w:t>
      </w:r>
      <w:r w:rsidRPr="00FB60E5">
        <w:t xml:space="preserve"> scale scores</w:t>
      </w:r>
      <w:r w:rsidR="00CF58CD" w:rsidRPr="00FB60E5">
        <w:t xml:space="preserve"> to published general population means, we first raised WHOQOL scale scores to the power of 1.5 (i.e. multiplied scores by their square root) to create distributions of scores that did not violate assumptions of symmetry (i.e. skewness statistic:</w:t>
      </w:r>
      <w:r w:rsidR="004A4027" w:rsidRPr="00FB60E5">
        <w:t xml:space="preserve"> </w:t>
      </w:r>
      <w:r w:rsidR="00CF58CD" w:rsidRPr="00FB60E5">
        <w:t>standard error ratio &lt; 3.1 for all 4 scales). These transformed scores were then compared to the general population means (also raised to the power of 1.5) with Wilcoxon signed ranks tests</w:t>
      </w:r>
      <w:r w:rsidRPr="00FB60E5">
        <w:t>.</w:t>
      </w:r>
    </w:p>
    <w:p w14:paraId="38A45F25" w14:textId="77777777" w:rsidR="00072449" w:rsidRPr="00FB60E5" w:rsidRDefault="00072449" w:rsidP="00FB60E5">
      <w:pPr>
        <w:ind w:left="0"/>
      </w:pPr>
      <w:r w:rsidRPr="00FB60E5">
        <w:t xml:space="preserve">Logistic regression was used to analyse predictors of binary outcomes. All predictors being tested were entered in a single block. In models predicting the main treatment outcomes (abstinence from </w:t>
      </w:r>
      <w:r w:rsidR="00EE7A8F" w:rsidRPr="00FB60E5">
        <w:t>PDOC</w:t>
      </w:r>
      <w:r w:rsidRPr="00FB60E5">
        <w:t xml:space="preserve"> (or 50% reduction in frequency of use of </w:t>
      </w:r>
      <w:r w:rsidR="00EE7A8F" w:rsidRPr="00FB60E5">
        <w:t>PDOC</w:t>
      </w:r>
      <w:r w:rsidRPr="00FB60E5">
        <w:t xml:space="preserve">)), a 2-stage process was used whereby demographic and </w:t>
      </w:r>
      <w:r w:rsidR="00EE7A8F" w:rsidRPr="00FB60E5">
        <w:t>PDOC</w:t>
      </w:r>
      <w:r w:rsidRPr="00FB60E5">
        <w:t xml:space="preserve"> predictors of outcome were first tested. Only </w:t>
      </w:r>
      <w:r w:rsidRPr="00FB60E5">
        <w:lastRenderedPageBreak/>
        <w:t xml:space="preserve">statistically significant predictors from this model were then included in a second model which also included predictor variables indexing the PIT, service use, and the interval between baseline and follow-up. For all analyses, the </w:t>
      </w:r>
      <w:r w:rsidRPr="00FB60E5">
        <w:t> value for determining statistical significance was set to .05.</w:t>
      </w:r>
    </w:p>
    <w:p w14:paraId="38A45F26" w14:textId="77777777" w:rsidR="001344DB" w:rsidRPr="00FB60E5" w:rsidRDefault="00072449" w:rsidP="00FB60E5">
      <w:pPr>
        <w:ind w:left="0"/>
      </w:pPr>
      <w:r w:rsidRPr="00FB60E5">
        <w:t xml:space="preserve">For the purpose of logistic regression analyses, the distribution of the variable “number of mutual aid meetings (follow-up)” was normalised with a log10 transformation. Age was normalised with the following square root transform: </w:t>
      </w:r>
      <w:proofErr w:type="gramStart"/>
      <w:r w:rsidRPr="00FB60E5">
        <w:t>√(</w:t>
      </w:r>
      <w:proofErr w:type="gramEnd"/>
      <w:r w:rsidRPr="00FB60E5">
        <w:t>age-18).</w:t>
      </w:r>
      <w:r w:rsidR="00734645" w:rsidRPr="00FB60E5">
        <w:t xml:space="preserve"> PIT duration was normalised by taking the square root of the log10 transformation.</w:t>
      </w:r>
      <w:r w:rsidRPr="00FB60E5">
        <w:t xml:space="preserve"> For SDS and MSPSS scores, no transformation could be found that simultaneously corrected both skewness and kurtosis to acceptable levels, and they were therefore converted to binary categorical variables for inclusion in logistic regression models. For SDS, this involved grouping those w</w:t>
      </w:r>
      <w:r w:rsidR="00C61572" w:rsidRPr="00FB60E5">
        <w:t>ith</w:t>
      </w:r>
      <w:r w:rsidRPr="00FB60E5">
        <w:t xml:space="preserve"> scores &gt; 7 (i.e. in the “severely dependent” range) into one category, and those with a score &lt; 7 into the other. MSPSS scores were categorised with a median split.</w:t>
      </w:r>
    </w:p>
    <w:p w14:paraId="38A45F28" w14:textId="77777777" w:rsidR="00072449" w:rsidRPr="00FB60E5" w:rsidRDefault="00553C43" w:rsidP="00882917">
      <w:pPr>
        <w:pStyle w:val="Heading2"/>
        <w:numPr>
          <w:ilvl w:val="1"/>
          <w:numId w:val="9"/>
        </w:numPr>
      </w:pPr>
      <w:bookmarkStart w:id="122" w:name="_Toc398105045"/>
      <w:bookmarkStart w:id="123" w:name="_Toc531696247"/>
      <w:r w:rsidRPr="00FB60E5">
        <w:t xml:space="preserve">Baseline </w:t>
      </w:r>
      <w:r w:rsidR="008C1AD7" w:rsidRPr="00FB60E5">
        <w:t>r</w:t>
      </w:r>
      <w:r w:rsidRPr="00FB60E5">
        <w:t>esults</w:t>
      </w:r>
      <w:bookmarkEnd w:id="122"/>
      <w:bookmarkEnd w:id="123"/>
    </w:p>
    <w:p w14:paraId="38A45F29" w14:textId="77777777" w:rsidR="00072449" w:rsidRPr="00FB60E5" w:rsidRDefault="00072449" w:rsidP="00610031">
      <w:pPr>
        <w:pStyle w:val="Heading3"/>
      </w:pPr>
      <w:r w:rsidRPr="00FB60E5">
        <w:t>Participant characteristics</w:t>
      </w:r>
    </w:p>
    <w:p w14:paraId="74217B9B" w14:textId="77777777" w:rsidR="002C27A8" w:rsidRDefault="00072449" w:rsidP="00FB60E5">
      <w:pPr>
        <w:ind w:left="0"/>
      </w:pPr>
      <w:r w:rsidRPr="00FB60E5">
        <w:t>The final sample consisted of 796 participants who completed the baseline interview. Participants’ ages ranged from 18.1-71.5 (median = 35.9, IQR = 28.7-44.5). The sample was predominantly male (62%). A large majority of the sample were born in Australia (80%) and spoke English as their first language (95%). Regarding marital status, 20% were currently married or in a de facto relationship, 23% were currently separated or divorced, 1% were widowed, and 56% reported having never married (and not currently in a de facto relationship). Indigenous Australians represented 7% of the total sample (17/404; 4% in Victoria and 39/391; 10% in WA)</w:t>
      </w:r>
      <w:r w:rsidR="002C27A8">
        <w:t>.</w:t>
      </w:r>
    </w:p>
    <w:p w14:paraId="38A45F2B" w14:textId="4D453C27" w:rsidR="00072449" w:rsidRPr="00FB60E5" w:rsidRDefault="00072449" w:rsidP="00FB60E5">
      <w:pPr>
        <w:ind w:left="0"/>
      </w:pPr>
      <w:r w:rsidRPr="00FB60E5">
        <w:t xml:space="preserve">Most participants had completed middle secondary school, or obtained further education. While a large majority (85%) had completed at least year 10 or higher, only 48% had completed at least year 12 and/or TAFE and/or an apprenticeship. University degrees were held by 12% of the sample. Regarding their usual employment pattern during the previous year, 27% reported full-time employment, 19% reported part-time employment, </w:t>
      </w:r>
      <w:r w:rsidR="002435BD" w:rsidRPr="00FB60E5">
        <w:t>6</w:t>
      </w:r>
      <w:r w:rsidRPr="00FB60E5">
        <w:t xml:space="preserve">% reported carer or home duties, 1% were retired, </w:t>
      </w:r>
      <w:r w:rsidR="002435BD" w:rsidRPr="00FB60E5">
        <w:t>2</w:t>
      </w:r>
      <w:r w:rsidRPr="00FB60E5">
        <w:t xml:space="preserve">% were students, 12% reported a disability that prevented participation in employment, </w:t>
      </w:r>
      <w:r w:rsidR="0073758B" w:rsidRPr="00FB60E5">
        <w:t>1</w:t>
      </w:r>
      <w:r w:rsidRPr="00FB60E5">
        <w:t>% had been in a controlled environment that prevented participation in employment (e.g. prison), and 3</w:t>
      </w:r>
      <w:r w:rsidR="0073758B" w:rsidRPr="00FB60E5">
        <w:t>2</w:t>
      </w:r>
      <w:r w:rsidRPr="00FB60E5">
        <w:t>% were unemployed. Data on days involved in paid employment in the past 90 days suggest a lower rate of recent workforce participation than that suggested by participants’ reporting of their typical past year employment pattern. Only 32% had participated in any paid employment (1 or more days) and only 11% averaged over 4 days per week (52 or more days in total) during these 90 days.</w:t>
      </w:r>
    </w:p>
    <w:p w14:paraId="38A45F2C" w14:textId="77777777" w:rsidR="00072449" w:rsidRPr="00FB60E5" w:rsidRDefault="00072449" w:rsidP="00FB60E5">
      <w:pPr>
        <w:ind w:left="0"/>
      </w:pPr>
      <w:r w:rsidRPr="00FB60E5">
        <w:t xml:space="preserve">At the time of baseline interview, 84% of participants were in receipt of some type of government benefits, including 48% who received unemployment benefits, 25% who received sickness allowance or disability support pension, and 11% who received some other type of benefit (e.g. student support, aged pension, family tax benefit, etc.). Acute housing problems (defined as not having one’s own place to stay for at least one night, requiring the participant to sleep on the streets, in a shelter, hostel, or at a friend’s place) were experienced by 26% of the sample in the previous 90 days while 22% reported being at risk of eviction at some time during this period. At least one of these two types of housing problems was reported by 35% of the sample. Chronic medical problems (defined as </w:t>
      </w:r>
      <w:r w:rsidRPr="00FB60E5">
        <w:lastRenderedPageBreak/>
        <w:t>requiring regular care and impacting on the participant’s ability to engage in activities) were reported by 50% of the sample.</w:t>
      </w:r>
    </w:p>
    <w:p w14:paraId="38A45F2D" w14:textId="77777777" w:rsidR="004738B7" w:rsidRPr="00FB60E5" w:rsidRDefault="00072449" w:rsidP="00FB60E5">
      <w:pPr>
        <w:ind w:left="0"/>
      </w:pPr>
      <w:r w:rsidRPr="00FB60E5">
        <w:t xml:space="preserve">Participants were categorised by the type of substance use treatment they were receiving at baseline (primary index treatment; PIT). Of the 796 participants who met inclusion criteria, </w:t>
      </w:r>
      <w:r w:rsidR="00560215" w:rsidRPr="00FB60E5">
        <w:t xml:space="preserve">29 </w:t>
      </w:r>
      <w:r w:rsidRPr="00FB60E5">
        <w:t>(4%) were in assessment, 14</w:t>
      </w:r>
      <w:r w:rsidR="0073758B" w:rsidRPr="00FB60E5">
        <w:t>6</w:t>
      </w:r>
      <w:r w:rsidRPr="00FB60E5">
        <w:t xml:space="preserve"> (1</w:t>
      </w:r>
      <w:r w:rsidR="0073758B" w:rsidRPr="00FB60E5">
        <w:t>8</w:t>
      </w:r>
      <w:r w:rsidRPr="00FB60E5">
        <w:t xml:space="preserve">%) were receiving individual counselling, </w:t>
      </w:r>
      <w:r w:rsidR="0073758B" w:rsidRPr="00FB60E5">
        <w:t>21</w:t>
      </w:r>
      <w:r w:rsidRPr="00FB60E5">
        <w:t xml:space="preserve"> (</w:t>
      </w:r>
      <w:r w:rsidR="0073758B" w:rsidRPr="00FB60E5">
        <w:t>3</w:t>
      </w:r>
      <w:r w:rsidRPr="00FB60E5">
        <w:t>%) were receiving group counselling, 344 (43%) were undergoing inpatient withdrawal, 6 (</w:t>
      </w:r>
      <w:r w:rsidR="0073758B" w:rsidRPr="00FB60E5">
        <w:t>1</w:t>
      </w:r>
      <w:r w:rsidRPr="00FB60E5">
        <w:t>%) were undergoing home-based withdrawal, 128 (16%) were in residential rehabilitation, 8</w:t>
      </w:r>
      <w:r w:rsidR="0073758B" w:rsidRPr="00FB60E5">
        <w:t>9</w:t>
      </w:r>
      <w:r w:rsidRPr="00FB60E5">
        <w:t xml:space="preserve"> (11%) were in a therapeutic community, 15 (2%) were in supported accommodation, 15 (2%) were commencing pharmacotherapy, and </w:t>
      </w:r>
      <w:r w:rsidR="0073758B" w:rsidRPr="00FB60E5">
        <w:t>3</w:t>
      </w:r>
      <w:r w:rsidRPr="00FB60E5">
        <w:t xml:space="preserve"> (0.</w:t>
      </w:r>
      <w:r w:rsidR="0073758B" w:rsidRPr="00FB60E5">
        <w:t>4</w:t>
      </w:r>
      <w:r w:rsidRPr="00FB60E5">
        <w:t>%) were referred to a peer support group.</w:t>
      </w:r>
    </w:p>
    <w:p w14:paraId="38A45F2E" w14:textId="36656F9F" w:rsidR="00072449" w:rsidRPr="00FB60E5" w:rsidRDefault="00072449" w:rsidP="00FB60E5">
      <w:pPr>
        <w:ind w:left="0"/>
      </w:pPr>
      <w:r w:rsidRPr="00FB60E5">
        <w:t xml:space="preserve">For the purpose of further description and analysis of the sample, PIT was grouped into three categories: withdrawal (inpatient or home-based withdrawal), outpatient (assessment, individual or group counselling, pharmacotherapy, and peer support), and long-term residential (residential rehabilitation, therapeutic community, and supported accommodation). Demographic characteristics of these groups are shown in </w:t>
      </w:r>
      <w:r w:rsidR="001B3CBD">
        <w:fldChar w:fldCharType="begin"/>
      </w:r>
      <w:r w:rsidR="001B3CBD">
        <w:instrText xml:space="preserve"> REF _Ref531626069 \h </w:instrText>
      </w:r>
      <w:r w:rsidR="001B3CBD">
        <w:fldChar w:fldCharType="separate"/>
      </w:r>
      <w:r w:rsidR="001B3CBD">
        <w:t xml:space="preserve">Table </w:t>
      </w:r>
      <w:r w:rsidR="001B3CBD">
        <w:rPr>
          <w:noProof/>
        </w:rPr>
        <w:t>3</w:t>
      </w:r>
      <w:r w:rsidR="001B3CBD">
        <w:t>.</w:t>
      </w:r>
      <w:r w:rsidR="001B3CBD">
        <w:rPr>
          <w:noProof/>
        </w:rPr>
        <w:t>2</w:t>
      </w:r>
      <w:r w:rsidR="001B3CBD">
        <w:fldChar w:fldCharType="end"/>
      </w:r>
      <w:r w:rsidRPr="00FB60E5">
        <w:t xml:space="preserve">. Participants in long-term residential treatment had a significantly lower median age than both other groups, were more likely to be male, and were more likely to have experienced recent homelessness, but were less likely to report a current chronic medical condition than outpatients or those undergoing acute withdrawal. While there was a trend for long-term residential participants to be more likely than outpatients to report usually being in paid employment in the past year, they were significantly less likely than other groups to report having been engaged in any paid employment in the past 90 days. Differences in age by </w:t>
      </w:r>
      <w:r w:rsidR="00EE7A8F" w:rsidRPr="00FB60E5">
        <w:t>PDOC</w:t>
      </w:r>
      <w:r w:rsidRPr="00FB60E5">
        <w:t xml:space="preserve"> were also examined, and found to be significant (p &lt; .001). Median age of those with alcohol as their </w:t>
      </w:r>
      <w:r w:rsidR="00EE7A8F" w:rsidRPr="00FB60E5">
        <w:t>PDOC</w:t>
      </w:r>
      <w:r w:rsidRPr="00FB60E5">
        <w:t xml:space="preserve"> (41</w:t>
      </w:r>
      <w:r w:rsidR="00194304" w:rsidRPr="00FB60E5">
        <w:t>.1</w:t>
      </w:r>
      <w:r w:rsidRPr="00FB60E5">
        <w:t xml:space="preserve"> years) was significantly higher than the median age of those with cannabis (31.5 years; p &lt; .001), opioids (34.8 years; p &lt; .001), meth</w:t>
      </w:r>
      <w:r w:rsidR="00E977AF" w:rsidRPr="00FB60E5">
        <w:t>/</w:t>
      </w:r>
      <w:r w:rsidRPr="00FB60E5">
        <w:t xml:space="preserve">amphetamine (29.5 years; p &lt; .001), or other (32.9 years; p &lt; .01) as their </w:t>
      </w:r>
      <w:r w:rsidR="00EE7A8F" w:rsidRPr="00FB60E5">
        <w:t>PDOC</w:t>
      </w:r>
      <w:r w:rsidRPr="00FB60E5">
        <w:t xml:space="preserve">. Those with opioids as their </w:t>
      </w:r>
      <w:r w:rsidR="00EE7A8F" w:rsidRPr="00FB60E5">
        <w:t>PDOC</w:t>
      </w:r>
      <w:r w:rsidRPr="00FB60E5">
        <w:t xml:space="preserve"> were significantly older than those with cannabis (p &lt; .05) or meth</w:t>
      </w:r>
      <w:r w:rsidR="00E977AF" w:rsidRPr="00FB60E5">
        <w:t>/</w:t>
      </w:r>
      <w:r w:rsidRPr="00FB60E5">
        <w:t xml:space="preserve">amphetamine (p&lt; .001) as their </w:t>
      </w:r>
      <w:r w:rsidR="00EE7A8F" w:rsidRPr="00FB60E5">
        <w:t>PDOC</w:t>
      </w:r>
      <w:r w:rsidRPr="00FB60E5">
        <w:t>.</w:t>
      </w:r>
    </w:p>
    <w:p w14:paraId="38A45F2F" w14:textId="0CB51B4B" w:rsidR="00072449" w:rsidRPr="00FB60E5" w:rsidRDefault="00882917" w:rsidP="00882917">
      <w:pPr>
        <w:pStyle w:val="Caption"/>
      </w:pPr>
      <w:bookmarkStart w:id="124" w:name="_Ref531626069"/>
      <w:bookmarkStart w:id="125" w:name="_Toc531625778"/>
      <w:proofErr w:type="gramStart"/>
      <w:r>
        <w:t xml:space="preserve">Table </w:t>
      </w:r>
      <w:r w:rsidR="00552239">
        <w:fldChar w:fldCharType="begin"/>
      </w:r>
      <w:r w:rsidR="00552239">
        <w:instrText xml:space="preserve"> STYLEREF 1 \s </w:instrText>
      </w:r>
      <w:r w:rsidR="00552239">
        <w:fldChar w:fldCharType="separate"/>
      </w:r>
      <w:r w:rsidR="00552239">
        <w:rPr>
          <w:noProof/>
        </w:rPr>
        <w:t>3</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w:t>
      </w:r>
      <w:r w:rsidR="00552239">
        <w:fldChar w:fldCharType="end"/>
      </w:r>
      <w:bookmarkEnd w:id="124"/>
      <w:r w:rsidR="006244F5" w:rsidRPr="00FB60E5">
        <w:t xml:space="preserve"> </w:t>
      </w:r>
      <w:r w:rsidR="00072449" w:rsidRPr="00FB60E5">
        <w:t>Participant characteristics at baseline</w:t>
      </w:r>
      <w:bookmarkEnd w:id="125"/>
    </w:p>
    <w:tbl>
      <w:tblPr>
        <w:tblStyle w:val="LightList-Accent1"/>
        <w:tblW w:w="5000" w:type="pct"/>
        <w:tblLook w:val="04A0" w:firstRow="1" w:lastRow="0" w:firstColumn="1" w:lastColumn="0" w:noHBand="0" w:noVBand="1"/>
        <w:tblCaption w:val="  Participant characteristics at baseline "/>
        <w:tblDescription w:val="  Participant characteristics at baseline "/>
      </w:tblPr>
      <w:tblGrid>
        <w:gridCol w:w="2953"/>
        <w:gridCol w:w="1224"/>
        <w:gridCol w:w="1224"/>
        <w:gridCol w:w="1442"/>
        <w:gridCol w:w="1630"/>
        <w:gridCol w:w="769"/>
      </w:tblGrid>
      <w:tr w:rsidR="00072449" w:rsidRPr="00FB60E5" w14:paraId="38A45F36" w14:textId="77777777" w:rsidTr="006100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98" w:type="pct"/>
          </w:tcPr>
          <w:p w14:paraId="38A45F30" w14:textId="77777777" w:rsidR="00072449" w:rsidRPr="00FB60E5" w:rsidRDefault="00072449" w:rsidP="00610031">
            <w:pPr>
              <w:pStyle w:val="tabletext"/>
            </w:pPr>
          </w:p>
        </w:tc>
        <w:tc>
          <w:tcPr>
            <w:tcW w:w="662" w:type="pct"/>
          </w:tcPr>
          <w:p w14:paraId="38A45F31"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Total sample (N = 79</w:t>
            </w:r>
            <w:r w:rsidR="00F92138" w:rsidRPr="00FB60E5">
              <w:t>2</w:t>
            </w:r>
            <w:r w:rsidRPr="00FB60E5">
              <w:t>-796*)</w:t>
            </w:r>
          </w:p>
        </w:tc>
        <w:tc>
          <w:tcPr>
            <w:tcW w:w="662" w:type="pct"/>
          </w:tcPr>
          <w:p w14:paraId="38A45F32"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Outpatient (n = 21</w:t>
            </w:r>
            <w:r w:rsidR="00F92138" w:rsidRPr="00FB60E5">
              <w:t>2</w:t>
            </w:r>
            <w:r w:rsidRPr="00FB60E5">
              <w:t>-21</w:t>
            </w:r>
            <w:r w:rsidR="00F92138" w:rsidRPr="00FB60E5">
              <w:t>4</w:t>
            </w:r>
            <w:r w:rsidRPr="00FB60E5">
              <w:t>)</w:t>
            </w:r>
          </w:p>
        </w:tc>
        <w:tc>
          <w:tcPr>
            <w:tcW w:w="780" w:type="pct"/>
          </w:tcPr>
          <w:p w14:paraId="38A45F33" w14:textId="77777777" w:rsidR="00072449" w:rsidRPr="00FB60E5" w:rsidRDefault="00FD2002" w:rsidP="00610031">
            <w:pPr>
              <w:pStyle w:val="tabletext"/>
              <w:cnfStyle w:val="100000000000" w:firstRow="1" w:lastRow="0" w:firstColumn="0" w:lastColumn="0" w:oddVBand="0" w:evenVBand="0" w:oddHBand="0" w:evenHBand="0" w:firstRowFirstColumn="0" w:firstRowLastColumn="0" w:lastRowFirstColumn="0" w:lastRowLastColumn="0"/>
            </w:pPr>
            <w:r w:rsidRPr="00FB60E5">
              <w:t>Acute w</w:t>
            </w:r>
            <w:r w:rsidR="00072449" w:rsidRPr="00FB60E5">
              <w:t>ithdrawal (n = 348-350)</w:t>
            </w:r>
          </w:p>
        </w:tc>
        <w:tc>
          <w:tcPr>
            <w:tcW w:w="882" w:type="pct"/>
          </w:tcPr>
          <w:p w14:paraId="38A45F34" w14:textId="77777777" w:rsidR="00072449" w:rsidRPr="00FB60E5" w:rsidRDefault="00FD2002" w:rsidP="00610031">
            <w:pPr>
              <w:pStyle w:val="tabletext"/>
              <w:cnfStyle w:val="100000000000" w:firstRow="1" w:lastRow="0" w:firstColumn="0" w:lastColumn="0" w:oddVBand="0" w:evenVBand="0" w:oddHBand="0" w:evenHBand="0" w:firstRowFirstColumn="0" w:firstRowLastColumn="0" w:lastRowFirstColumn="0" w:lastRowLastColumn="0"/>
            </w:pPr>
            <w:r w:rsidRPr="00FB60E5">
              <w:t xml:space="preserve">Residential rehabilitation </w:t>
            </w:r>
            <w:r w:rsidR="00072449" w:rsidRPr="00FB60E5">
              <w:t>(n = 22</w:t>
            </w:r>
            <w:r w:rsidR="00F92138" w:rsidRPr="00FB60E5">
              <w:t>9</w:t>
            </w:r>
            <w:r w:rsidR="00072449" w:rsidRPr="00FB60E5">
              <w:t>-23</w:t>
            </w:r>
            <w:r w:rsidR="00F92138" w:rsidRPr="00FB60E5">
              <w:t>2</w:t>
            </w:r>
            <w:r w:rsidR="00072449" w:rsidRPr="00FB60E5">
              <w:t>)</w:t>
            </w:r>
          </w:p>
        </w:tc>
        <w:tc>
          <w:tcPr>
            <w:tcW w:w="417" w:type="pct"/>
          </w:tcPr>
          <w:p w14:paraId="38A45F35" w14:textId="77777777" w:rsidR="00072449" w:rsidRPr="00FB60E5" w:rsidRDefault="00433B1E" w:rsidP="00610031">
            <w:pPr>
              <w:pStyle w:val="tabletext"/>
              <w:cnfStyle w:val="100000000000" w:firstRow="1" w:lastRow="0" w:firstColumn="0" w:lastColumn="0" w:oddVBand="0" w:evenVBand="0" w:oddHBand="0" w:evenHBand="0" w:firstRowFirstColumn="0" w:firstRowLastColumn="0" w:lastRowFirstColumn="0" w:lastRowLastColumn="0"/>
            </w:pPr>
            <w:r w:rsidRPr="00FB60E5">
              <w:t>P</w:t>
            </w:r>
            <w:r w:rsidR="00707BB1" w:rsidRPr="00FB60E5">
              <w:footnoteReference w:id="6"/>
            </w:r>
          </w:p>
        </w:tc>
      </w:tr>
      <w:tr w:rsidR="00072449" w:rsidRPr="00FB60E5" w14:paraId="38A45F45" w14:textId="77777777" w:rsidTr="00610031">
        <w:trPr>
          <w:cnfStyle w:val="000000100000" w:firstRow="0" w:lastRow="0" w:firstColumn="0" w:lastColumn="0" w:oddVBand="0" w:evenVBand="0" w:oddHBand="1" w:evenHBand="0" w:firstRowFirstColumn="0" w:firstRowLastColumn="0" w:lastRowFirstColumn="0" w:lastRowLastColumn="0"/>
          <w:trHeight w:hRule="exact" w:val="830"/>
        </w:trPr>
        <w:tc>
          <w:tcPr>
            <w:cnfStyle w:val="001000000000" w:firstRow="0" w:lastRow="0" w:firstColumn="1" w:lastColumn="0" w:oddVBand="0" w:evenVBand="0" w:oddHBand="0" w:evenHBand="0" w:firstRowFirstColumn="0" w:firstRowLastColumn="0" w:lastRowFirstColumn="0" w:lastRowLastColumn="0"/>
            <w:tcW w:w="1598" w:type="pct"/>
          </w:tcPr>
          <w:p w14:paraId="38A45F3A" w14:textId="25304053" w:rsidR="00072449" w:rsidRPr="00214785" w:rsidRDefault="00072449" w:rsidP="00AF6D9B">
            <w:pPr>
              <w:pStyle w:val="tabletext"/>
              <w:rPr>
                <w:b w:val="0"/>
              </w:rPr>
            </w:pPr>
            <w:r w:rsidRPr="00214785">
              <w:rPr>
                <w:b w:val="0"/>
              </w:rPr>
              <w:t>Age Range</w:t>
            </w:r>
            <w:r w:rsidR="00610031" w:rsidRPr="00214785">
              <w:rPr>
                <w:b w:val="0"/>
              </w:rPr>
              <w:t xml:space="preserve"> </w:t>
            </w:r>
            <w:r w:rsidRPr="00214785">
              <w:rPr>
                <w:b w:val="0"/>
              </w:rPr>
              <w:t>Median (IQR)</w:t>
            </w:r>
          </w:p>
        </w:tc>
        <w:tc>
          <w:tcPr>
            <w:tcW w:w="662" w:type="pct"/>
          </w:tcPr>
          <w:p w14:paraId="38A45F3C" w14:textId="3ABA546F"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18.1-71.5</w:t>
            </w:r>
            <w:r w:rsidR="00610031">
              <w:t xml:space="preserve"> </w:t>
            </w:r>
            <w:r w:rsidRPr="00FB60E5">
              <w:t>35.9 (28.7-44.5)</w:t>
            </w:r>
          </w:p>
        </w:tc>
        <w:tc>
          <w:tcPr>
            <w:tcW w:w="662" w:type="pct"/>
          </w:tcPr>
          <w:p w14:paraId="38A45F3E" w14:textId="678225F5"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18.9-69.1</w:t>
            </w:r>
            <w:r w:rsidR="00610031">
              <w:t xml:space="preserve"> </w:t>
            </w:r>
            <w:r w:rsidRPr="00FB60E5">
              <w:t>36.</w:t>
            </w:r>
            <w:r w:rsidR="008B6C59" w:rsidRPr="00FB60E5">
              <w:t>3</w:t>
            </w:r>
            <w:r w:rsidRPr="00FB60E5">
              <w:t xml:space="preserve"> (29.4-4</w:t>
            </w:r>
            <w:r w:rsidR="008B6C59" w:rsidRPr="00FB60E5">
              <w:t>5.2</w:t>
            </w:r>
            <w:r w:rsidRPr="00FB60E5">
              <w:t>)</w:t>
            </w:r>
          </w:p>
        </w:tc>
        <w:tc>
          <w:tcPr>
            <w:tcW w:w="780" w:type="pct"/>
          </w:tcPr>
          <w:p w14:paraId="38A45F40" w14:textId="142D5E18"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18.3-71.5</w:t>
            </w:r>
            <w:r w:rsidR="00610031">
              <w:t xml:space="preserve"> </w:t>
            </w:r>
            <w:r w:rsidRPr="00FB60E5">
              <w:t>38.4 (30.6-46.4)</w:t>
            </w:r>
          </w:p>
        </w:tc>
        <w:tc>
          <w:tcPr>
            <w:tcW w:w="882" w:type="pct"/>
          </w:tcPr>
          <w:p w14:paraId="38A45F42" w14:textId="3CB5C1F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18.1-65.2</w:t>
            </w:r>
            <w:r w:rsidR="00610031">
              <w:t xml:space="preserve"> </w:t>
            </w:r>
            <w:r w:rsidRPr="00FB60E5">
              <w:t>32.3 (25.</w:t>
            </w:r>
            <w:r w:rsidR="00CC3BB2" w:rsidRPr="00FB60E5">
              <w:t>7</w:t>
            </w:r>
            <w:r w:rsidRPr="00FB60E5">
              <w:t>-39.</w:t>
            </w:r>
            <w:r w:rsidR="00CC3BB2" w:rsidRPr="00FB60E5">
              <w:t>6</w:t>
            </w:r>
            <w:r w:rsidRPr="00FB60E5">
              <w:t>)</w:t>
            </w:r>
          </w:p>
        </w:tc>
        <w:tc>
          <w:tcPr>
            <w:tcW w:w="417" w:type="pct"/>
          </w:tcPr>
          <w:p w14:paraId="38A45F44" w14:textId="5D11A5EA"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w:t>
            </w:r>
            <w:r w:rsidR="00362A00" w:rsidRPr="00FB60E5">
              <w:t xml:space="preserve"> </w:t>
            </w:r>
            <w:r w:rsidRPr="00FB60E5">
              <w:t>.001</w:t>
            </w:r>
            <w:r w:rsidR="00610031">
              <w:t xml:space="preserve"> </w:t>
            </w:r>
          </w:p>
        </w:tc>
      </w:tr>
      <w:tr w:rsidR="00072449" w:rsidRPr="00FB60E5" w14:paraId="38A45F4C" w14:textId="77777777" w:rsidTr="00610031">
        <w:trPr>
          <w:trHeight w:hRule="exact" w:val="397"/>
        </w:trPr>
        <w:tc>
          <w:tcPr>
            <w:cnfStyle w:val="001000000000" w:firstRow="0" w:lastRow="0" w:firstColumn="1" w:lastColumn="0" w:oddVBand="0" w:evenVBand="0" w:oddHBand="0" w:evenHBand="0" w:firstRowFirstColumn="0" w:firstRowLastColumn="0" w:lastRowFirstColumn="0" w:lastRowLastColumn="0"/>
            <w:tcW w:w="1598" w:type="pct"/>
          </w:tcPr>
          <w:p w14:paraId="38A45F46" w14:textId="77777777" w:rsidR="00072449" w:rsidRPr="00214785" w:rsidRDefault="00072449" w:rsidP="00AF6D9B">
            <w:pPr>
              <w:pStyle w:val="tabletext"/>
              <w:rPr>
                <w:b w:val="0"/>
              </w:rPr>
            </w:pPr>
            <w:r w:rsidRPr="00214785">
              <w:rPr>
                <w:b w:val="0"/>
              </w:rPr>
              <w:t>Sex (% male)</w:t>
            </w:r>
          </w:p>
        </w:tc>
        <w:tc>
          <w:tcPr>
            <w:tcW w:w="662" w:type="pct"/>
          </w:tcPr>
          <w:p w14:paraId="38A45F4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62.2%</w:t>
            </w:r>
          </w:p>
        </w:tc>
        <w:tc>
          <w:tcPr>
            <w:tcW w:w="662" w:type="pct"/>
          </w:tcPr>
          <w:p w14:paraId="38A45F4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60.</w:t>
            </w:r>
            <w:r w:rsidR="00CC3BB2" w:rsidRPr="00FB60E5">
              <w:t>3</w:t>
            </w:r>
            <w:r w:rsidRPr="00FB60E5">
              <w:t>%</w:t>
            </w:r>
          </w:p>
        </w:tc>
        <w:tc>
          <w:tcPr>
            <w:tcW w:w="780" w:type="pct"/>
          </w:tcPr>
          <w:p w14:paraId="38A45F4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58.3%</w:t>
            </w:r>
          </w:p>
        </w:tc>
        <w:tc>
          <w:tcPr>
            <w:tcW w:w="882" w:type="pct"/>
          </w:tcPr>
          <w:p w14:paraId="38A45F4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70.</w:t>
            </w:r>
            <w:r w:rsidR="00CC3BB2" w:rsidRPr="00FB60E5">
              <w:t>0</w:t>
            </w:r>
            <w:r w:rsidRPr="00FB60E5">
              <w:t>%</w:t>
            </w:r>
          </w:p>
        </w:tc>
        <w:tc>
          <w:tcPr>
            <w:tcW w:w="417" w:type="pct"/>
          </w:tcPr>
          <w:p w14:paraId="38A45F4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362A00" w:rsidRPr="00FB60E5">
              <w:t xml:space="preserve"> </w:t>
            </w:r>
            <w:r w:rsidRPr="00FB60E5">
              <w:t>.0</w:t>
            </w:r>
            <w:r w:rsidR="00CC3BB2" w:rsidRPr="00FB60E5">
              <w:t>5</w:t>
            </w:r>
          </w:p>
        </w:tc>
      </w:tr>
      <w:tr w:rsidR="00072449" w:rsidRPr="00FB60E5" w14:paraId="38A45F53" w14:textId="77777777" w:rsidTr="00610031">
        <w:trPr>
          <w:cnfStyle w:val="000000100000" w:firstRow="0" w:lastRow="0" w:firstColumn="0" w:lastColumn="0" w:oddVBand="0" w:evenVBand="0" w:oddHBand="1"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598" w:type="pct"/>
          </w:tcPr>
          <w:p w14:paraId="38A45F4D" w14:textId="77777777" w:rsidR="00072449" w:rsidRPr="00214785" w:rsidRDefault="00072449" w:rsidP="00AF6D9B">
            <w:pPr>
              <w:pStyle w:val="tabletext"/>
              <w:rPr>
                <w:b w:val="0"/>
              </w:rPr>
            </w:pPr>
            <w:r w:rsidRPr="00214785">
              <w:rPr>
                <w:b w:val="0"/>
              </w:rPr>
              <w:t>Marital status (% proportion currently married or de facto)</w:t>
            </w:r>
          </w:p>
        </w:tc>
        <w:tc>
          <w:tcPr>
            <w:tcW w:w="662" w:type="pct"/>
          </w:tcPr>
          <w:p w14:paraId="38A45F4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19.9%</w:t>
            </w:r>
          </w:p>
        </w:tc>
        <w:tc>
          <w:tcPr>
            <w:tcW w:w="662" w:type="pct"/>
          </w:tcPr>
          <w:p w14:paraId="38A45F4F" w14:textId="77777777" w:rsidR="00072449" w:rsidRPr="00FB60E5" w:rsidRDefault="0017759C" w:rsidP="00AF6D9B">
            <w:pPr>
              <w:pStyle w:val="tabletext"/>
              <w:cnfStyle w:val="000000100000" w:firstRow="0" w:lastRow="0" w:firstColumn="0" w:lastColumn="0" w:oddVBand="0" w:evenVBand="0" w:oddHBand="1" w:evenHBand="0" w:firstRowFirstColumn="0" w:firstRowLastColumn="0" w:lastRowFirstColumn="0" w:lastRowLastColumn="0"/>
            </w:pPr>
            <w:r w:rsidRPr="00FB60E5">
              <w:t>20.1</w:t>
            </w:r>
            <w:r w:rsidR="00072449" w:rsidRPr="00FB60E5">
              <w:t>%</w:t>
            </w:r>
          </w:p>
        </w:tc>
        <w:tc>
          <w:tcPr>
            <w:tcW w:w="780" w:type="pct"/>
          </w:tcPr>
          <w:p w14:paraId="38A45F5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20.3%</w:t>
            </w:r>
          </w:p>
        </w:tc>
        <w:tc>
          <w:tcPr>
            <w:tcW w:w="882" w:type="pct"/>
          </w:tcPr>
          <w:p w14:paraId="38A45F5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19.</w:t>
            </w:r>
            <w:r w:rsidR="0017759C" w:rsidRPr="00FB60E5">
              <w:t>0</w:t>
            </w:r>
            <w:r w:rsidRPr="00FB60E5">
              <w:t>%</w:t>
            </w:r>
          </w:p>
        </w:tc>
        <w:tc>
          <w:tcPr>
            <w:tcW w:w="417" w:type="pct"/>
          </w:tcPr>
          <w:p w14:paraId="38A45F5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17759C" w:rsidRPr="00FB60E5">
              <w:t>93</w:t>
            </w:r>
          </w:p>
        </w:tc>
      </w:tr>
      <w:tr w:rsidR="00072449" w:rsidRPr="00FB60E5" w14:paraId="38A45F5A" w14:textId="77777777" w:rsidTr="00610031">
        <w:trPr>
          <w:trHeight w:hRule="exact" w:val="397"/>
        </w:trPr>
        <w:tc>
          <w:tcPr>
            <w:cnfStyle w:val="001000000000" w:firstRow="0" w:lastRow="0" w:firstColumn="1" w:lastColumn="0" w:oddVBand="0" w:evenVBand="0" w:oddHBand="0" w:evenHBand="0" w:firstRowFirstColumn="0" w:firstRowLastColumn="0" w:lastRowFirstColumn="0" w:lastRowLastColumn="0"/>
            <w:tcW w:w="1598" w:type="pct"/>
          </w:tcPr>
          <w:p w14:paraId="38A45F54" w14:textId="77777777" w:rsidR="00072449" w:rsidRPr="00214785" w:rsidRDefault="00072449" w:rsidP="00AF6D9B">
            <w:pPr>
              <w:pStyle w:val="tabletext"/>
              <w:rPr>
                <w:b w:val="0"/>
              </w:rPr>
            </w:pPr>
            <w:r w:rsidRPr="00214785">
              <w:rPr>
                <w:b w:val="0"/>
              </w:rPr>
              <w:t>Born in Australia (%)</w:t>
            </w:r>
          </w:p>
        </w:tc>
        <w:tc>
          <w:tcPr>
            <w:tcW w:w="662" w:type="pct"/>
          </w:tcPr>
          <w:p w14:paraId="38A45F5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80.2%</w:t>
            </w:r>
          </w:p>
        </w:tc>
        <w:tc>
          <w:tcPr>
            <w:tcW w:w="662" w:type="pct"/>
          </w:tcPr>
          <w:p w14:paraId="38A45F5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80.</w:t>
            </w:r>
            <w:r w:rsidR="0017759C" w:rsidRPr="00FB60E5">
              <w:t>4</w:t>
            </w:r>
            <w:r w:rsidRPr="00FB60E5">
              <w:t>%</w:t>
            </w:r>
          </w:p>
        </w:tc>
        <w:tc>
          <w:tcPr>
            <w:tcW w:w="780" w:type="pct"/>
          </w:tcPr>
          <w:p w14:paraId="38A45F5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78.0%</w:t>
            </w:r>
          </w:p>
        </w:tc>
        <w:tc>
          <w:tcPr>
            <w:tcW w:w="882" w:type="pct"/>
          </w:tcPr>
          <w:p w14:paraId="38A45F5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83.</w:t>
            </w:r>
            <w:r w:rsidR="0017759C" w:rsidRPr="00FB60E5">
              <w:t>2</w:t>
            </w:r>
            <w:r w:rsidRPr="00FB60E5">
              <w:t>%</w:t>
            </w:r>
          </w:p>
        </w:tc>
        <w:tc>
          <w:tcPr>
            <w:tcW w:w="417" w:type="pct"/>
          </w:tcPr>
          <w:p w14:paraId="38A45F5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17759C" w:rsidRPr="00FB60E5">
              <w:t>31</w:t>
            </w:r>
          </w:p>
        </w:tc>
      </w:tr>
      <w:tr w:rsidR="00072449" w:rsidRPr="00FB60E5" w14:paraId="38A45F61" w14:textId="77777777" w:rsidTr="00610031">
        <w:trPr>
          <w:cnfStyle w:val="000000100000" w:firstRow="0" w:lastRow="0" w:firstColumn="0" w:lastColumn="0" w:oddVBand="0" w:evenVBand="0" w:oddHBand="1" w:evenHBand="0" w:firstRowFirstColumn="0" w:firstRowLastColumn="0" w:lastRowFirstColumn="0" w:lastRowLastColumn="0"/>
          <w:trHeight w:hRule="exact" w:val="866"/>
        </w:trPr>
        <w:tc>
          <w:tcPr>
            <w:cnfStyle w:val="001000000000" w:firstRow="0" w:lastRow="0" w:firstColumn="1" w:lastColumn="0" w:oddVBand="0" w:evenVBand="0" w:oddHBand="0" w:evenHBand="0" w:firstRowFirstColumn="0" w:firstRowLastColumn="0" w:lastRowFirstColumn="0" w:lastRowLastColumn="0"/>
            <w:tcW w:w="1598" w:type="pct"/>
          </w:tcPr>
          <w:p w14:paraId="38A45F5B" w14:textId="77777777" w:rsidR="00072449" w:rsidRPr="00214785" w:rsidRDefault="00072449" w:rsidP="00AF6D9B">
            <w:pPr>
              <w:pStyle w:val="tabletext"/>
              <w:rPr>
                <w:b w:val="0"/>
              </w:rPr>
            </w:pPr>
            <w:r w:rsidRPr="00214785">
              <w:rPr>
                <w:b w:val="0"/>
              </w:rPr>
              <w:t>Education (% completed year 12 and/or TAFE and/or apprenticeship)</w:t>
            </w:r>
          </w:p>
        </w:tc>
        <w:tc>
          <w:tcPr>
            <w:tcW w:w="662" w:type="pct"/>
          </w:tcPr>
          <w:p w14:paraId="38A45F5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48.4%</w:t>
            </w:r>
          </w:p>
        </w:tc>
        <w:tc>
          <w:tcPr>
            <w:tcW w:w="662" w:type="pct"/>
          </w:tcPr>
          <w:p w14:paraId="38A45F5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47.</w:t>
            </w:r>
            <w:r w:rsidR="00F92138" w:rsidRPr="00FB60E5">
              <w:t>7</w:t>
            </w:r>
            <w:r w:rsidRPr="00FB60E5">
              <w:t>%</w:t>
            </w:r>
          </w:p>
        </w:tc>
        <w:tc>
          <w:tcPr>
            <w:tcW w:w="780" w:type="pct"/>
          </w:tcPr>
          <w:p w14:paraId="38A45F5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50.7%</w:t>
            </w:r>
          </w:p>
        </w:tc>
        <w:tc>
          <w:tcPr>
            <w:tcW w:w="882" w:type="pct"/>
          </w:tcPr>
          <w:p w14:paraId="38A45F5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w:t>
            </w:r>
            <w:r w:rsidR="00F92138" w:rsidRPr="00FB60E5">
              <w:t>5</w:t>
            </w:r>
            <w:r w:rsidRPr="00FB60E5">
              <w:t>.</w:t>
            </w:r>
            <w:r w:rsidR="00F92138" w:rsidRPr="00FB60E5">
              <w:t>7</w:t>
            </w:r>
            <w:r w:rsidRPr="00FB60E5">
              <w:t>%</w:t>
            </w:r>
          </w:p>
        </w:tc>
        <w:tc>
          <w:tcPr>
            <w:tcW w:w="417" w:type="pct"/>
          </w:tcPr>
          <w:p w14:paraId="38A45F6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17759C" w:rsidRPr="00FB60E5">
              <w:t>47</w:t>
            </w:r>
          </w:p>
        </w:tc>
      </w:tr>
      <w:tr w:rsidR="00072449" w:rsidRPr="00FB60E5" w14:paraId="38A45F68" w14:textId="77777777" w:rsidTr="00610031">
        <w:trPr>
          <w:trHeight w:hRule="exact" w:val="836"/>
        </w:trPr>
        <w:tc>
          <w:tcPr>
            <w:cnfStyle w:val="001000000000" w:firstRow="0" w:lastRow="0" w:firstColumn="1" w:lastColumn="0" w:oddVBand="0" w:evenVBand="0" w:oddHBand="0" w:evenHBand="0" w:firstRowFirstColumn="0" w:firstRowLastColumn="0" w:lastRowFirstColumn="0" w:lastRowLastColumn="0"/>
            <w:tcW w:w="1598" w:type="pct"/>
          </w:tcPr>
          <w:p w14:paraId="38A45F62" w14:textId="1A84E263" w:rsidR="00072449" w:rsidRPr="00214785" w:rsidRDefault="00072449" w:rsidP="00AF6D9B">
            <w:pPr>
              <w:pStyle w:val="tabletext"/>
              <w:rPr>
                <w:b w:val="0"/>
              </w:rPr>
            </w:pPr>
            <w:r w:rsidRPr="00214785">
              <w:rPr>
                <w:b w:val="0"/>
              </w:rPr>
              <w:t>Employment (%</w:t>
            </w:r>
            <w:r w:rsidR="002C27A8" w:rsidRPr="00214785">
              <w:rPr>
                <w:b w:val="0"/>
              </w:rPr>
              <w:t xml:space="preserve"> </w:t>
            </w:r>
            <w:r w:rsidRPr="00214785">
              <w:rPr>
                <w:b w:val="0"/>
              </w:rPr>
              <w:t>usually in paid employment during past 12 months)</w:t>
            </w:r>
          </w:p>
        </w:tc>
        <w:tc>
          <w:tcPr>
            <w:tcW w:w="662" w:type="pct"/>
          </w:tcPr>
          <w:p w14:paraId="38A45F6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46.4%</w:t>
            </w:r>
          </w:p>
        </w:tc>
        <w:tc>
          <w:tcPr>
            <w:tcW w:w="662" w:type="pct"/>
          </w:tcPr>
          <w:p w14:paraId="38A45F6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40.</w:t>
            </w:r>
            <w:r w:rsidR="00715F2B" w:rsidRPr="00FB60E5">
              <w:t>2</w:t>
            </w:r>
            <w:r w:rsidRPr="00FB60E5">
              <w:t>%</w:t>
            </w:r>
          </w:p>
        </w:tc>
        <w:tc>
          <w:tcPr>
            <w:tcW w:w="780" w:type="pct"/>
          </w:tcPr>
          <w:p w14:paraId="38A45F6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47.7%</w:t>
            </w:r>
          </w:p>
        </w:tc>
        <w:tc>
          <w:tcPr>
            <w:tcW w:w="882" w:type="pct"/>
          </w:tcPr>
          <w:p w14:paraId="38A45F6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50.0%</w:t>
            </w:r>
          </w:p>
        </w:tc>
        <w:tc>
          <w:tcPr>
            <w:tcW w:w="417" w:type="pct"/>
          </w:tcPr>
          <w:p w14:paraId="38A45F6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.09</w:t>
            </w:r>
          </w:p>
        </w:tc>
      </w:tr>
      <w:tr w:rsidR="00072449" w:rsidRPr="00FB60E5" w14:paraId="38A45F6F" w14:textId="77777777" w:rsidTr="00AA2F44">
        <w:trPr>
          <w:cnfStyle w:val="000000100000" w:firstRow="0" w:lastRow="0" w:firstColumn="0" w:lastColumn="0" w:oddVBand="0" w:evenVBand="0" w:oddHBand="1" w:evenHBand="0" w:firstRowFirstColumn="0" w:firstRowLastColumn="0" w:lastRowFirstColumn="0" w:lastRowLastColumn="0"/>
          <w:trHeight w:hRule="exact" w:val="762"/>
        </w:trPr>
        <w:tc>
          <w:tcPr>
            <w:cnfStyle w:val="001000000000" w:firstRow="0" w:lastRow="0" w:firstColumn="1" w:lastColumn="0" w:oddVBand="0" w:evenVBand="0" w:oddHBand="0" w:evenHBand="0" w:firstRowFirstColumn="0" w:firstRowLastColumn="0" w:lastRowFirstColumn="0" w:lastRowLastColumn="0"/>
            <w:tcW w:w="1598" w:type="pct"/>
          </w:tcPr>
          <w:p w14:paraId="38A45F69" w14:textId="29D82D90" w:rsidR="00072449" w:rsidRPr="00214785" w:rsidRDefault="00072449" w:rsidP="00AF6D9B">
            <w:pPr>
              <w:pStyle w:val="tabletext"/>
              <w:rPr>
                <w:b w:val="0"/>
              </w:rPr>
            </w:pPr>
            <w:r w:rsidRPr="00214785">
              <w:rPr>
                <w:b w:val="0"/>
              </w:rPr>
              <w:lastRenderedPageBreak/>
              <w:t xml:space="preserve">Any days engaged in </w:t>
            </w:r>
            <w:r w:rsidR="00AA2F44">
              <w:rPr>
                <w:b w:val="0"/>
              </w:rPr>
              <w:t xml:space="preserve">paid employment in past 90 days </w:t>
            </w:r>
            <w:r w:rsidRPr="00214785">
              <w:rPr>
                <w:b w:val="0"/>
              </w:rPr>
              <w:t>(%)</w:t>
            </w:r>
          </w:p>
        </w:tc>
        <w:tc>
          <w:tcPr>
            <w:tcW w:w="662" w:type="pct"/>
          </w:tcPr>
          <w:p w14:paraId="38A45F6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32.3%</w:t>
            </w:r>
          </w:p>
        </w:tc>
        <w:tc>
          <w:tcPr>
            <w:tcW w:w="662" w:type="pct"/>
          </w:tcPr>
          <w:p w14:paraId="38A45F6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37.</w:t>
            </w:r>
            <w:r w:rsidR="00043611" w:rsidRPr="00FB60E5">
              <w:t>4</w:t>
            </w:r>
            <w:r w:rsidRPr="00FB60E5">
              <w:t>%</w:t>
            </w:r>
          </w:p>
        </w:tc>
        <w:tc>
          <w:tcPr>
            <w:tcW w:w="780" w:type="pct"/>
          </w:tcPr>
          <w:p w14:paraId="38A45F6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34.8%</w:t>
            </w:r>
          </w:p>
        </w:tc>
        <w:tc>
          <w:tcPr>
            <w:tcW w:w="882" w:type="pct"/>
          </w:tcPr>
          <w:p w14:paraId="38A45F6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w:t>
            </w:r>
            <w:r w:rsidR="00043611" w:rsidRPr="00FB60E5">
              <w:t>9</w:t>
            </w:r>
            <w:r w:rsidRPr="00FB60E5">
              <w:t>%</w:t>
            </w:r>
          </w:p>
        </w:tc>
        <w:tc>
          <w:tcPr>
            <w:tcW w:w="417" w:type="pct"/>
          </w:tcPr>
          <w:p w14:paraId="38A45F6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w:t>
            </w:r>
            <w:r w:rsidR="00362A00" w:rsidRPr="00FB60E5">
              <w:t xml:space="preserve"> </w:t>
            </w:r>
            <w:r w:rsidRPr="00FB60E5">
              <w:t>.01</w:t>
            </w:r>
          </w:p>
        </w:tc>
      </w:tr>
      <w:tr w:rsidR="00072449" w:rsidRPr="00FB60E5" w14:paraId="38A45F76" w14:textId="77777777" w:rsidTr="00214785">
        <w:trPr>
          <w:trHeight w:hRule="exact" w:val="741"/>
        </w:trPr>
        <w:tc>
          <w:tcPr>
            <w:cnfStyle w:val="001000000000" w:firstRow="0" w:lastRow="0" w:firstColumn="1" w:lastColumn="0" w:oddVBand="0" w:evenVBand="0" w:oddHBand="0" w:evenHBand="0" w:firstRowFirstColumn="0" w:firstRowLastColumn="0" w:lastRowFirstColumn="0" w:lastRowLastColumn="0"/>
            <w:tcW w:w="1598" w:type="pct"/>
          </w:tcPr>
          <w:p w14:paraId="38A45F70" w14:textId="77777777" w:rsidR="00072449" w:rsidRPr="00214785" w:rsidRDefault="00072449" w:rsidP="00AF6D9B">
            <w:pPr>
              <w:pStyle w:val="tabletext"/>
              <w:rPr>
                <w:b w:val="0"/>
              </w:rPr>
            </w:pPr>
            <w:r w:rsidRPr="00214785">
              <w:rPr>
                <w:b w:val="0"/>
              </w:rPr>
              <w:t>Homelessness in past 90 days (%)</w:t>
            </w:r>
          </w:p>
        </w:tc>
        <w:tc>
          <w:tcPr>
            <w:tcW w:w="662" w:type="pct"/>
          </w:tcPr>
          <w:p w14:paraId="38A45F7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26.1%</w:t>
            </w:r>
          </w:p>
        </w:tc>
        <w:tc>
          <w:tcPr>
            <w:tcW w:w="662" w:type="pct"/>
          </w:tcPr>
          <w:p w14:paraId="38A45F7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20.</w:t>
            </w:r>
            <w:r w:rsidR="00362A00" w:rsidRPr="00FB60E5">
              <w:t>2</w:t>
            </w:r>
            <w:r w:rsidRPr="00FB60E5">
              <w:t>%</w:t>
            </w:r>
          </w:p>
        </w:tc>
        <w:tc>
          <w:tcPr>
            <w:tcW w:w="780" w:type="pct"/>
          </w:tcPr>
          <w:p w14:paraId="38A45F7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24.6%</w:t>
            </w:r>
          </w:p>
        </w:tc>
        <w:tc>
          <w:tcPr>
            <w:tcW w:w="882" w:type="pct"/>
          </w:tcPr>
          <w:p w14:paraId="38A45F7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33.</w:t>
            </w:r>
            <w:r w:rsidR="00362A00" w:rsidRPr="00FB60E5">
              <w:t>6</w:t>
            </w:r>
            <w:r w:rsidRPr="00FB60E5">
              <w:t>%</w:t>
            </w:r>
          </w:p>
        </w:tc>
        <w:tc>
          <w:tcPr>
            <w:tcW w:w="417" w:type="pct"/>
          </w:tcPr>
          <w:p w14:paraId="38A45F75" w14:textId="77777777" w:rsidR="00072449" w:rsidRPr="00FB60E5" w:rsidRDefault="00362A00" w:rsidP="00AF6D9B">
            <w:pPr>
              <w:pStyle w:val="tabletext"/>
              <w:cnfStyle w:val="000000000000" w:firstRow="0" w:lastRow="0" w:firstColumn="0" w:lastColumn="0" w:oddVBand="0" w:evenVBand="0" w:oddHBand="0" w:evenHBand="0" w:firstRowFirstColumn="0" w:firstRowLastColumn="0" w:lastRowFirstColumn="0" w:lastRowLastColumn="0"/>
            </w:pPr>
            <w:r w:rsidRPr="00FB60E5">
              <w:t xml:space="preserve">&lt; </w:t>
            </w:r>
            <w:r w:rsidR="00072449" w:rsidRPr="00FB60E5">
              <w:t>.0</w:t>
            </w:r>
            <w:r w:rsidRPr="00FB60E5">
              <w:t>1</w:t>
            </w:r>
          </w:p>
        </w:tc>
      </w:tr>
      <w:tr w:rsidR="00072449" w:rsidRPr="00FB60E5" w14:paraId="38A45F7D" w14:textId="77777777" w:rsidTr="0061003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598" w:type="pct"/>
          </w:tcPr>
          <w:p w14:paraId="38A45F77" w14:textId="77777777" w:rsidR="00072449" w:rsidRPr="00214785" w:rsidRDefault="00072449" w:rsidP="00AF6D9B">
            <w:pPr>
              <w:pStyle w:val="tabletext"/>
              <w:rPr>
                <w:b w:val="0"/>
              </w:rPr>
            </w:pPr>
            <w:r w:rsidRPr="00214785">
              <w:rPr>
                <w:b w:val="0"/>
              </w:rPr>
              <w:t>Chronic medical condition (%)</w:t>
            </w:r>
          </w:p>
        </w:tc>
        <w:tc>
          <w:tcPr>
            <w:tcW w:w="662" w:type="pct"/>
          </w:tcPr>
          <w:p w14:paraId="38A45F7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50.2%</w:t>
            </w:r>
          </w:p>
        </w:tc>
        <w:tc>
          <w:tcPr>
            <w:tcW w:w="662" w:type="pct"/>
          </w:tcPr>
          <w:p w14:paraId="38A45F7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58.</w:t>
            </w:r>
            <w:r w:rsidR="00715F2B" w:rsidRPr="00FB60E5">
              <w:t>5</w:t>
            </w:r>
            <w:r w:rsidRPr="00FB60E5">
              <w:t>%</w:t>
            </w:r>
          </w:p>
        </w:tc>
        <w:tc>
          <w:tcPr>
            <w:tcW w:w="780" w:type="pct"/>
          </w:tcPr>
          <w:p w14:paraId="38A45F7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54.6%</w:t>
            </w:r>
          </w:p>
        </w:tc>
        <w:tc>
          <w:tcPr>
            <w:tcW w:w="882" w:type="pct"/>
          </w:tcPr>
          <w:p w14:paraId="38A45F7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35.</w:t>
            </w:r>
            <w:r w:rsidR="00715F2B" w:rsidRPr="00FB60E5">
              <w:t>9</w:t>
            </w:r>
            <w:r w:rsidRPr="00FB60E5">
              <w:t>%</w:t>
            </w:r>
          </w:p>
        </w:tc>
        <w:tc>
          <w:tcPr>
            <w:tcW w:w="417" w:type="pct"/>
          </w:tcPr>
          <w:p w14:paraId="38A45F7C" w14:textId="77777777" w:rsidR="00072449" w:rsidRPr="00FB60E5" w:rsidRDefault="00362A00"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.001</w:t>
            </w:r>
          </w:p>
        </w:tc>
      </w:tr>
    </w:tbl>
    <w:p w14:paraId="38A45F7E" w14:textId="77777777" w:rsidR="00433B1E" w:rsidRPr="00FB60E5" w:rsidRDefault="00072449" w:rsidP="00610031">
      <w:pPr>
        <w:pStyle w:val="FootnoteText"/>
      </w:pPr>
      <w:r w:rsidRPr="00FB60E5">
        <w:t>*Amount of missing data differed between analyses presented in this table, thus ranges given for Ns</w:t>
      </w:r>
    </w:p>
    <w:p w14:paraId="38A45F7F" w14:textId="77777777" w:rsidR="00072449" w:rsidRPr="00FB60E5" w:rsidRDefault="00072449" w:rsidP="00610031">
      <w:pPr>
        <w:pStyle w:val="Heading3"/>
      </w:pPr>
      <w:r w:rsidRPr="00FB60E5">
        <w:t>Drugs of concern</w:t>
      </w:r>
    </w:p>
    <w:p w14:paraId="38A45F80" w14:textId="4FA59E63" w:rsidR="00072449" w:rsidRPr="00FB60E5" w:rsidRDefault="00072449" w:rsidP="00FB60E5">
      <w:pPr>
        <w:ind w:left="0"/>
      </w:pPr>
      <w:r w:rsidRPr="00FB60E5">
        <w:t>Participants were asked to nominate which substance caused them the greatest level of concern (</w:t>
      </w:r>
      <w:r w:rsidR="00EE7A8F" w:rsidRPr="00FB60E5">
        <w:t>PDOC</w:t>
      </w:r>
      <w:r w:rsidRPr="00FB60E5">
        <w:t>). Alcohol was nominated by 37</w:t>
      </w:r>
      <w:r w:rsidR="00F92138" w:rsidRPr="00FB60E5">
        <w:t>5</w:t>
      </w:r>
      <w:r w:rsidRPr="00FB60E5">
        <w:t xml:space="preserve"> (47%), meth</w:t>
      </w:r>
      <w:r w:rsidR="00E977AF" w:rsidRPr="00FB60E5">
        <w:t>/</w:t>
      </w:r>
      <w:r w:rsidRPr="00FB60E5">
        <w:t>amphetamine by 15</w:t>
      </w:r>
      <w:r w:rsidR="00F92138" w:rsidRPr="00FB60E5">
        <w:t>7</w:t>
      </w:r>
      <w:r w:rsidRPr="00FB60E5">
        <w:t xml:space="preserve"> (20%), cannabis by 117 (15%), heroin by 83 (10%), prescription opioid analgesics by 17 (2%), unspecified opioids by 8 (1%), benzodiazepines by 8 (1%), tobacco by 8 (1%) and methadone by 6, buprenorphine by 6, cocaine by 3, GHB by 2, synthetic cannabinoids by 2, ecstasy by 1</w:t>
      </w:r>
      <w:r w:rsidR="0091180D" w:rsidRPr="00FB60E5">
        <w:t>,</w:t>
      </w:r>
      <w:r w:rsidRPr="00FB60E5">
        <w:t xml:space="preserve"> and solvent inhalants by 1 (all &lt;1%). For further analyses, </w:t>
      </w:r>
      <w:r w:rsidR="00EE7A8F" w:rsidRPr="00FB60E5">
        <w:t>PDOC</w:t>
      </w:r>
      <w:r w:rsidRPr="00FB60E5">
        <w:t xml:space="preserve"> was grouped into five categories: alcohol (47%); cannabis (15%); meth</w:t>
      </w:r>
      <w:r w:rsidR="00E977AF" w:rsidRPr="00FB60E5">
        <w:t>/</w:t>
      </w:r>
      <w:r w:rsidRPr="00FB60E5">
        <w:t xml:space="preserve">amphetamine (20%); opioids (heroin, methadone, buprenorphine, opioid analgesics, or other opioids; 15%); and other (3%). Proportions of participants endorsing each of these substances as their </w:t>
      </w:r>
      <w:r w:rsidR="00EE7A8F" w:rsidRPr="00FB60E5">
        <w:t>PDOC</w:t>
      </w:r>
      <w:r w:rsidRPr="00FB60E5">
        <w:t xml:space="preserve"> are shown in </w:t>
      </w:r>
      <w:r w:rsidR="00882917">
        <w:fldChar w:fldCharType="begin"/>
      </w:r>
      <w:r w:rsidR="00882917">
        <w:instrText xml:space="preserve"> REF _Ref531624035 \h </w:instrText>
      </w:r>
      <w:r w:rsidR="00882917">
        <w:fldChar w:fldCharType="separate"/>
      </w:r>
      <w:r w:rsidR="00882917">
        <w:t xml:space="preserve">Figure </w:t>
      </w:r>
      <w:r w:rsidR="00882917">
        <w:rPr>
          <w:noProof/>
        </w:rPr>
        <w:t>3</w:t>
      </w:r>
      <w:r w:rsidR="00882917">
        <w:t>.</w:t>
      </w:r>
      <w:r w:rsidR="00882917">
        <w:rPr>
          <w:noProof/>
        </w:rPr>
        <w:t>1</w:t>
      </w:r>
      <w:r w:rsidR="00882917">
        <w:fldChar w:fldCharType="end"/>
      </w:r>
      <w:r w:rsidRPr="00FB60E5">
        <w:t xml:space="preserve">. As is shown in </w:t>
      </w:r>
      <w:r w:rsidR="00882917">
        <w:fldChar w:fldCharType="begin"/>
      </w:r>
      <w:r w:rsidR="00882917">
        <w:instrText xml:space="preserve"> REF _Ref531624059 \h </w:instrText>
      </w:r>
      <w:r w:rsidR="00882917">
        <w:fldChar w:fldCharType="separate"/>
      </w:r>
      <w:r w:rsidR="00882917">
        <w:t xml:space="preserve">Table </w:t>
      </w:r>
      <w:r w:rsidR="00882917">
        <w:rPr>
          <w:noProof/>
        </w:rPr>
        <w:t>3</w:t>
      </w:r>
      <w:r w:rsidR="00882917">
        <w:t>.</w:t>
      </w:r>
      <w:r w:rsidR="00882917">
        <w:rPr>
          <w:noProof/>
        </w:rPr>
        <w:t>3</w:t>
      </w:r>
      <w:r w:rsidR="00882917">
        <w:fldChar w:fldCharType="end"/>
      </w:r>
      <w:r w:rsidRPr="00FB60E5">
        <w:t xml:space="preserve">, the proportion of participants nominating particular primary drugs of concern differed between treatment types. Alcohol was more commonly the </w:t>
      </w:r>
      <w:r w:rsidR="00EE7A8F" w:rsidRPr="00FB60E5">
        <w:t>PDOC</w:t>
      </w:r>
      <w:r w:rsidRPr="00FB60E5">
        <w:t xml:space="preserve"> for participants undergoing acute withdrawal than for other treatment types. Meth</w:t>
      </w:r>
      <w:r w:rsidR="00E977AF" w:rsidRPr="00FB60E5">
        <w:t>/</w:t>
      </w:r>
      <w:r w:rsidRPr="00FB60E5">
        <w:t xml:space="preserve">amphetamine was most common in long-term residential treatment, while opioids were most common among outpatients. These differences in </w:t>
      </w:r>
      <w:r w:rsidR="00EE7A8F" w:rsidRPr="00FB60E5">
        <w:t>PDOC</w:t>
      </w:r>
      <w:r w:rsidRPr="00FB60E5">
        <w:t xml:space="preserve"> by PIT type are dissimilar to those reported for all of Australia in the 2009-10 National Minimum Data Set, in which alcohol was similarly prevalent (51-55%) across all relevant treatment types, opioids were most strongly represented in acute withdrawal (19%) than in other treatment types (14% in residential rehabilitation, 11% in counselling), and </w:t>
      </w:r>
      <w:r w:rsidR="00087D81" w:rsidRPr="00FB60E5">
        <w:t>meth</w:t>
      </w:r>
      <w:r w:rsidR="00E977AF" w:rsidRPr="00FB60E5">
        <w:t>/</w:t>
      </w:r>
      <w:r w:rsidR="00B473EE" w:rsidRPr="00FB60E5">
        <w:t>amphetamines</w:t>
      </w:r>
      <w:r w:rsidRPr="00FB60E5">
        <w:t xml:space="preserve"> were generally less common as the </w:t>
      </w:r>
      <w:r w:rsidR="00EE7A8F" w:rsidRPr="00FB60E5">
        <w:t>PDOC</w:t>
      </w:r>
      <w:r w:rsidRPr="00FB60E5">
        <w:t xml:space="preserve"> than in our sample (9% in counselling, 4% in acute withdrawal, and 11% in residential rehabilitation).</w:t>
      </w:r>
      <w:r w:rsidR="00FF7360" w:rsidRPr="00FB60E5">
        <w:t xml:space="preserve"> </w:t>
      </w:r>
      <w:r w:rsidRPr="00FB60E5">
        <w:t>Participants were also asked to nominate any secondary drugs of concern. Five hundred (6</w:t>
      </w:r>
      <w:r w:rsidR="00F81A7D" w:rsidRPr="00FB60E5">
        <w:t>4</w:t>
      </w:r>
      <w:r w:rsidRPr="00FB60E5">
        <w:t>%) nominated a second drug of concern, 257 (32%) nominated a third drug of concern, 10</w:t>
      </w:r>
      <w:r w:rsidR="00FF7360" w:rsidRPr="00FB60E5">
        <w:t>3</w:t>
      </w:r>
      <w:r w:rsidRPr="00FB60E5">
        <w:t xml:space="preserve"> (13%) nominated a fourth drug of concern, 7 nominated five drugs, and 1 participant nominated six drugs. When those only nominating tobacco as a secondary drug of concern were excluded, a majority (52%) still nominated at least one secondary drug of concern. Participants in long-term residential treatments were more likely to nominate multiple drugs of concern than participants in other types of treatment, whether or not tobacco was counted, and were more likely than other groups to nominate benzodiazepines, </w:t>
      </w:r>
      <w:r w:rsidR="00087D81" w:rsidRPr="00FB60E5">
        <w:t>meth</w:t>
      </w:r>
      <w:r w:rsidR="00E977AF" w:rsidRPr="00FB60E5">
        <w:t>/</w:t>
      </w:r>
      <w:r w:rsidR="00B473EE" w:rsidRPr="00FB60E5">
        <w:t>amphetamines</w:t>
      </w:r>
      <w:r w:rsidRPr="00FB60E5">
        <w:t xml:space="preserve">, or tobacco as either primary or secondary drugs of concern. Remarkably, the majority of participants in long-term residential treatment nominated </w:t>
      </w:r>
      <w:r w:rsidR="00087D81" w:rsidRPr="00FB60E5">
        <w:t>meth</w:t>
      </w:r>
      <w:r w:rsidR="00E977AF" w:rsidRPr="00FB60E5">
        <w:t>/</w:t>
      </w:r>
      <w:r w:rsidR="00B473EE" w:rsidRPr="00FB60E5">
        <w:t>amphetamines</w:t>
      </w:r>
      <w:r w:rsidRPr="00FB60E5">
        <w:t xml:space="preserve"> as either their primary or as a secondary drug of concern. Alcohol was less commonly a drug of concern for outpatients than for the other treatment categories.</w:t>
      </w:r>
    </w:p>
    <w:p w14:paraId="38A45F81" w14:textId="77777777" w:rsidR="00281C2B" w:rsidRPr="00FB60E5" w:rsidRDefault="004453F1" w:rsidP="00FB60E5">
      <w:pPr>
        <w:ind w:left="0"/>
      </w:pPr>
      <w:r w:rsidRPr="00FB60E5">
        <w:rPr>
          <w:noProof/>
          <w:lang w:eastAsia="en-AU"/>
        </w:rPr>
        <w:lastRenderedPageBreak/>
        <w:drawing>
          <wp:inline distT="0" distB="0" distL="0" distR="0" wp14:anchorId="38A475ED" wp14:editId="38A475EE">
            <wp:extent cx="3111690" cy="2088338"/>
            <wp:effectExtent l="0" t="0" r="0" b="7620"/>
            <wp:docPr id="18" name="Picture 9" descr="A pie chart showing the primary drug of concern:&#10;Alcohol - 47.2%&#10;Cannabis - 14.7%&#10;Opiods - 15.1%&#10;Meth/amphetamine - 19.8%&#10;Other - 3.1%&#10;" title="Figure 3.1 Primary drug of conc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3112955" cy="2089187"/>
                    </a:xfrm>
                    <a:prstGeom prst="rect">
                      <a:avLst/>
                    </a:prstGeom>
                    <a:noFill/>
                  </pic:spPr>
                </pic:pic>
              </a:graphicData>
            </a:graphic>
          </wp:inline>
        </w:drawing>
      </w:r>
    </w:p>
    <w:p w14:paraId="3FD34CFC" w14:textId="77777777" w:rsidR="00BB0E5E" w:rsidRDefault="00BD7BD8" w:rsidP="00BD7BD8">
      <w:pPr>
        <w:pStyle w:val="Caption"/>
      </w:pPr>
      <w:bookmarkStart w:id="126" w:name="_Ref531624035"/>
      <w:bookmarkStart w:id="127" w:name="_Toc531625764"/>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1</w:t>
      </w:r>
      <w:r>
        <w:fldChar w:fldCharType="end"/>
      </w:r>
      <w:bookmarkEnd w:id="126"/>
      <w:r w:rsidR="00E41BCC" w:rsidRPr="00FB60E5">
        <w:t xml:space="preserve"> </w:t>
      </w:r>
      <w:r w:rsidR="00072449" w:rsidRPr="00FB60E5">
        <w:t>Primary drug of concern</w:t>
      </w:r>
      <w:bookmarkEnd w:id="127"/>
    </w:p>
    <w:p w14:paraId="38A45F83" w14:textId="7EF95F8B" w:rsidR="00072449" w:rsidRPr="00FB60E5" w:rsidRDefault="00072449" w:rsidP="00FB60E5">
      <w:pPr>
        <w:ind w:left="0"/>
      </w:pPr>
      <w:r w:rsidRPr="00FB60E5">
        <w:t xml:space="preserve">Clinical dependence on one’s </w:t>
      </w:r>
      <w:r w:rsidR="00EE7A8F" w:rsidRPr="00FB60E5">
        <w:t>PDOC</w:t>
      </w:r>
      <w:r w:rsidRPr="00FB60E5">
        <w:t xml:space="preserve"> was assessed using the Severity of Dependence Scale (SDS). Median SDS score was significantly lower in outpatients than in the other two groups. However, all groups tended to have high SDS scores, with 99% of participants scoring in the ‘probable dependence’ range (using a cut-off score of 3 or more) and 88% in the severely dependent range (using a cut-off score scoring 7 or more). Outpatient participants were significantly more likely to score below both of these cut-off scores than acute withdrawal or long-term residential participants.</w:t>
      </w:r>
    </w:p>
    <w:p w14:paraId="38A45F84" w14:textId="173EDDAC" w:rsidR="00072449" w:rsidRPr="00FB60E5" w:rsidRDefault="00882917" w:rsidP="00882917">
      <w:pPr>
        <w:pStyle w:val="Caption"/>
      </w:pPr>
      <w:bookmarkStart w:id="128" w:name="_Ref531624059"/>
      <w:bookmarkStart w:id="129" w:name="_Toc531625779"/>
      <w:proofErr w:type="gramStart"/>
      <w:r>
        <w:t xml:space="preserve">Table </w:t>
      </w:r>
      <w:r w:rsidR="00552239">
        <w:fldChar w:fldCharType="begin"/>
      </w:r>
      <w:r w:rsidR="00552239">
        <w:instrText xml:space="preserve"> STYLEREF 1 \s </w:instrText>
      </w:r>
      <w:r w:rsidR="00552239">
        <w:fldChar w:fldCharType="separate"/>
      </w:r>
      <w:r w:rsidR="00552239">
        <w:rPr>
          <w:noProof/>
        </w:rPr>
        <w:t>3</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3</w:t>
      </w:r>
      <w:r w:rsidR="00552239">
        <w:fldChar w:fldCharType="end"/>
      </w:r>
      <w:bookmarkEnd w:id="128"/>
      <w:r w:rsidR="006244F5" w:rsidRPr="00FB60E5">
        <w:t xml:space="preserve"> </w:t>
      </w:r>
      <w:r w:rsidR="00072449" w:rsidRPr="00FB60E5">
        <w:t>Drugs of concern by index treatment type at baseline</w:t>
      </w:r>
      <w:bookmarkEnd w:id="129"/>
    </w:p>
    <w:tbl>
      <w:tblPr>
        <w:tblStyle w:val="LightList-Accent1"/>
        <w:tblW w:w="0" w:type="auto"/>
        <w:tblLook w:val="04A0" w:firstRow="1" w:lastRow="0" w:firstColumn="1" w:lastColumn="0" w:noHBand="0" w:noVBand="1"/>
        <w:tblCaption w:val="Table 3.3  Drugs of concern by index treatment type at baseline "/>
        <w:tblDescription w:val="Table 3.3  Drugs of concern by index treatment type at baseline "/>
      </w:tblPr>
      <w:tblGrid>
        <w:gridCol w:w="2576"/>
        <w:gridCol w:w="1501"/>
        <w:gridCol w:w="1276"/>
        <w:gridCol w:w="1418"/>
        <w:gridCol w:w="1559"/>
        <w:gridCol w:w="912"/>
      </w:tblGrid>
      <w:tr w:rsidR="00072449" w:rsidRPr="00FB60E5" w14:paraId="38A45F8B" w14:textId="77777777" w:rsidTr="006100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76" w:type="dxa"/>
          </w:tcPr>
          <w:p w14:paraId="38A45F85" w14:textId="77777777" w:rsidR="00072449" w:rsidRPr="00FB60E5" w:rsidRDefault="00072449" w:rsidP="00610031">
            <w:pPr>
              <w:pStyle w:val="tabletext"/>
            </w:pPr>
          </w:p>
        </w:tc>
        <w:tc>
          <w:tcPr>
            <w:tcW w:w="1501" w:type="dxa"/>
          </w:tcPr>
          <w:p w14:paraId="38A45F86"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Total sample (N = 79</w:t>
            </w:r>
            <w:r w:rsidR="00A733D3" w:rsidRPr="00FB60E5">
              <w:t>2-794</w:t>
            </w:r>
            <w:r w:rsidR="00AF6CC7" w:rsidRPr="00FB60E5">
              <w:t>4</w:t>
            </w:r>
            <w:r w:rsidR="00A733D3" w:rsidRPr="00FB60E5">
              <w:t>*</w:t>
            </w:r>
            <w:r w:rsidRPr="00FB60E5">
              <w:t>)</w:t>
            </w:r>
          </w:p>
        </w:tc>
        <w:tc>
          <w:tcPr>
            <w:tcW w:w="1276" w:type="dxa"/>
          </w:tcPr>
          <w:p w14:paraId="38A45F87"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Outpatient (n = 21</w:t>
            </w:r>
            <w:r w:rsidR="00AF6CC7" w:rsidRPr="00FB60E5">
              <w:t>3</w:t>
            </w:r>
            <w:r w:rsidRPr="00FB60E5">
              <w:t>)</w:t>
            </w:r>
          </w:p>
        </w:tc>
        <w:tc>
          <w:tcPr>
            <w:tcW w:w="1418" w:type="dxa"/>
          </w:tcPr>
          <w:p w14:paraId="38A45F88" w14:textId="77777777" w:rsidR="00072449" w:rsidRPr="00FB60E5" w:rsidRDefault="004516BD" w:rsidP="00610031">
            <w:pPr>
              <w:pStyle w:val="tabletext"/>
              <w:cnfStyle w:val="100000000000" w:firstRow="1" w:lastRow="0" w:firstColumn="0" w:lastColumn="0" w:oddVBand="0" w:evenVBand="0" w:oddHBand="0" w:evenHBand="0" w:firstRowFirstColumn="0" w:firstRowLastColumn="0" w:lastRowFirstColumn="0" w:lastRowLastColumn="0"/>
            </w:pPr>
            <w:r w:rsidRPr="00FB60E5">
              <w:t>Acute w</w:t>
            </w:r>
            <w:r w:rsidR="00072449" w:rsidRPr="00FB60E5">
              <w:t xml:space="preserve">ithdrawal (n = </w:t>
            </w:r>
            <w:r w:rsidR="00A733D3" w:rsidRPr="00FB60E5">
              <w:t>349-</w:t>
            </w:r>
            <w:r w:rsidR="00072449" w:rsidRPr="00FB60E5">
              <w:t>350)</w:t>
            </w:r>
          </w:p>
        </w:tc>
        <w:tc>
          <w:tcPr>
            <w:tcW w:w="1559" w:type="dxa"/>
          </w:tcPr>
          <w:p w14:paraId="38A45F89" w14:textId="77777777" w:rsidR="00072449" w:rsidRPr="00FB60E5" w:rsidRDefault="004516BD" w:rsidP="00610031">
            <w:pPr>
              <w:pStyle w:val="tabletext"/>
              <w:cnfStyle w:val="100000000000" w:firstRow="1" w:lastRow="0" w:firstColumn="0" w:lastColumn="0" w:oddVBand="0" w:evenVBand="0" w:oddHBand="0" w:evenHBand="0" w:firstRowFirstColumn="0" w:firstRowLastColumn="0" w:lastRowFirstColumn="0" w:lastRowLastColumn="0"/>
            </w:pPr>
            <w:r w:rsidRPr="00FB60E5">
              <w:t>R</w:t>
            </w:r>
            <w:r w:rsidR="00072449" w:rsidRPr="00FB60E5">
              <w:t xml:space="preserve">esidential </w:t>
            </w:r>
            <w:r w:rsidR="005958CF" w:rsidRPr="00FB60E5">
              <w:t xml:space="preserve">rehabilitation </w:t>
            </w:r>
            <w:r w:rsidR="00072449" w:rsidRPr="00FB60E5">
              <w:t xml:space="preserve">(n = </w:t>
            </w:r>
            <w:r w:rsidR="00034F7A" w:rsidRPr="00FB60E5">
              <w:t>229</w:t>
            </w:r>
            <w:r w:rsidR="00A733D3" w:rsidRPr="00FB60E5">
              <w:t>-</w:t>
            </w:r>
            <w:r w:rsidR="00AF6CC7" w:rsidRPr="00FB60E5">
              <w:t>231</w:t>
            </w:r>
            <w:r w:rsidR="00072449" w:rsidRPr="00FB60E5">
              <w:t>)</w:t>
            </w:r>
          </w:p>
        </w:tc>
        <w:tc>
          <w:tcPr>
            <w:tcW w:w="912" w:type="dxa"/>
          </w:tcPr>
          <w:p w14:paraId="38A45F8A"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5F94"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8C" w14:textId="77777777" w:rsidR="00072449" w:rsidRPr="00FB60E5" w:rsidRDefault="00072449" w:rsidP="00AF6D9B">
            <w:pPr>
              <w:pStyle w:val="tabletext"/>
            </w:pPr>
            <w:r w:rsidRPr="00FB60E5">
              <w:t>Primary drug of concern:</w:t>
            </w:r>
          </w:p>
          <w:p w14:paraId="38A45F8D" w14:textId="77777777" w:rsidR="00072449" w:rsidRPr="00FB60E5" w:rsidRDefault="00072449" w:rsidP="00AF6D9B">
            <w:pPr>
              <w:pStyle w:val="tabletext"/>
            </w:pPr>
          </w:p>
          <w:p w14:paraId="38A45F8E" w14:textId="77777777" w:rsidR="00072449" w:rsidRPr="00FB60E5" w:rsidRDefault="00072449" w:rsidP="00AF6D9B">
            <w:pPr>
              <w:pStyle w:val="tabletext"/>
            </w:pPr>
            <w:r w:rsidRPr="00FB60E5">
              <w:t>\</w:t>
            </w:r>
          </w:p>
        </w:tc>
        <w:tc>
          <w:tcPr>
            <w:tcW w:w="1501" w:type="dxa"/>
          </w:tcPr>
          <w:p w14:paraId="38A45F8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p>
        </w:tc>
        <w:tc>
          <w:tcPr>
            <w:tcW w:w="1276" w:type="dxa"/>
          </w:tcPr>
          <w:p w14:paraId="38A45F9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p>
        </w:tc>
        <w:tc>
          <w:tcPr>
            <w:tcW w:w="1418" w:type="dxa"/>
          </w:tcPr>
          <w:p w14:paraId="38A45F9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p>
        </w:tc>
        <w:tc>
          <w:tcPr>
            <w:tcW w:w="1559" w:type="dxa"/>
          </w:tcPr>
          <w:p w14:paraId="38A45F9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p>
        </w:tc>
        <w:tc>
          <w:tcPr>
            <w:tcW w:w="912" w:type="dxa"/>
          </w:tcPr>
          <w:p w14:paraId="38A45F93" w14:textId="77777777" w:rsidR="00072449" w:rsidRPr="00FB60E5" w:rsidRDefault="0091180D"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072449" w:rsidRPr="00FB60E5" w14:paraId="38A45F9B"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95" w14:textId="77777777" w:rsidR="00072449" w:rsidRPr="00214785" w:rsidRDefault="00072449" w:rsidP="00AF6D9B">
            <w:pPr>
              <w:pStyle w:val="tabletext"/>
              <w:rPr>
                <w:b w:val="0"/>
              </w:rPr>
            </w:pPr>
            <w:r w:rsidRPr="00214785">
              <w:rPr>
                <w:b w:val="0"/>
              </w:rPr>
              <w:t>Alcohol</w:t>
            </w:r>
          </w:p>
        </w:tc>
        <w:tc>
          <w:tcPr>
            <w:tcW w:w="1501" w:type="dxa"/>
          </w:tcPr>
          <w:p w14:paraId="38A45F9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47.2%</w:t>
            </w:r>
          </w:p>
        </w:tc>
        <w:tc>
          <w:tcPr>
            <w:tcW w:w="1276" w:type="dxa"/>
          </w:tcPr>
          <w:p w14:paraId="38A45F9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40.</w:t>
            </w:r>
            <w:r w:rsidR="00AF6CC7" w:rsidRPr="00FB60E5">
              <w:t>4</w:t>
            </w:r>
            <w:r w:rsidRPr="00FB60E5">
              <w:t>%</w:t>
            </w:r>
          </w:p>
        </w:tc>
        <w:tc>
          <w:tcPr>
            <w:tcW w:w="1418" w:type="dxa"/>
          </w:tcPr>
          <w:p w14:paraId="38A45F9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55.7%</w:t>
            </w:r>
          </w:p>
        </w:tc>
        <w:tc>
          <w:tcPr>
            <w:tcW w:w="1559" w:type="dxa"/>
          </w:tcPr>
          <w:p w14:paraId="38A45F9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40.</w:t>
            </w:r>
            <w:r w:rsidR="00AF6CC7" w:rsidRPr="00FB60E5">
              <w:t>7</w:t>
            </w:r>
            <w:r w:rsidRPr="00FB60E5">
              <w:t>%</w:t>
            </w:r>
          </w:p>
        </w:tc>
        <w:tc>
          <w:tcPr>
            <w:tcW w:w="912" w:type="dxa"/>
          </w:tcPr>
          <w:p w14:paraId="38A45F9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p>
        </w:tc>
      </w:tr>
      <w:tr w:rsidR="00072449" w:rsidRPr="00FB60E5" w14:paraId="38A45FA3"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9C" w14:textId="77777777" w:rsidR="00072449" w:rsidRPr="00214785" w:rsidRDefault="00072449" w:rsidP="00AF6D9B">
            <w:pPr>
              <w:pStyle w:val="tabletext"/>
              <w:rPr>
                <w:b w:val="0"/>
              </w:rPr>
            </w:pPr>
            <w:r w:rsidRPr="00214785">
              <w:rPr>
                <w:b w:val="0"/>
              </w:rPr>
              <w:t>Cannabis</w:t>
            </w:r>
          </w:p>
          <w:p w14:paraId="38A45F9D" w14:textId="77777777" w:rsidR="00072449" w:rsidRPr="00214785" w:rsidRDefault="00072449" w:rsidP="00AF6D9B">
            <w:pPr>
              <w:pStyle w:val="tabletext"/>
              <w:rPr>
                <w:b w:val="0"/>
              </w:rPr>
            </w:pPr>
          </w:p>
        </w:tc>
        <w:tc>
          <w:tcPr>
            <w:tcW w:w="1501" w:type="dxa"/>
          </w:tcPr>
          <w:p w14:paraId="38A45F9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14.</w:t>
            </w:r>
            <w:r w:rsidR="00AF6CC7" w:rsidRPr="00FB60E5">
              <w:t>7</w:t>
            </w:r>
            <w:r w:rsidRPr="00FB60E5">
              <w:t>%</w:t>
            </w:r>
          </w:p>
        </w:tc>
        <w:tc>
          <w:tcPr>
            <w:tcW w:w="1276" w:type="dxa"/>
          </w:tcPr>
          <w:p w14:paraId="38A45F9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w:t>
            </w:r>
            <w:r w:rsidR="00AF6CC7" w:rsidRPr="00FB60E5">
              <w:t>8</w:t>
            </w:r>
            <w:r w:rsidRPr="00FB60E5">
              <w:t>%</w:t>
            </w:r>
          </w:p>
        </w:tc>
        <w:tc>
          <w:tcPr>
            <w:tcW w:w="1418" w:type="dxa"/>
          </w:tcPr>
          <w:p w14:paraId="38A45FA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14.9%</w:t>
            </w:r>
          </w:p>
        </w:tc>
        <w:tc>
          <w:tcPr>
            <w:tcW w:w="1559" w:type="dxa"/>
          </w:tcPr>
          <w:p w14:paraId="38A45FA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11.</w:t>
            </w:r>
            <w:r w:rsidR="00AF6CC7" w:rsidRPr="00FB60E5">
              <w:t>7</w:t>
            </w:r>
            <w:r w:rsidRPr="00FB60E5">
              <w:t>%</w:t>
            </w:r>
          </w:p>
        </w:tc>
        <w:tc>
          <w:tcPr>
            <w:tcW w:w="912" w:type="dxa"/>
          </w:tcPr>
          <w:p w14:paraId="38A45FA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p>
        </w:tc>
      </w:tr>
      <w:tr w:rsidR="00072449" w:rsidRPr="00FB60E5" w14:paraId="38A45FAB"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A4" w14:textId="77777777" w:rsidR="00072449" w:rsidRPr="00214785" w:rsidRDefault="00072449" w:rsidP="00AF6D9B">
            <w:pPr>
              <w:pStyle w:val="tabletext"/>
              <w:rPr>
                <w:b w:val="0"/>
              </w:rPr>
            </w:pPr>
            <w:r w:rsidRPr="00214785">
              <w:rPr>
                <w:b w:val="0"/>
              </w:rPr>
              <w:t>Meth</w:t>
            </w:r>
            <w:r w:rsidR="00E977AF" w:rsidRPr="00214785">
              <w:rPr>
                <w:b w:val="0"/>
              </w:rPr>
              <w:t>/</w:t>
            </w:r>
            <w:r w:rsidRPr="00214785">
              <w:rPr>
                <w:b w:val="0"/>
              </w:rPr>
              <w:t>amphetamine</w:t>
            </w:r>
          </w:p>
          <w:p w14:paraId="38A45FA5" w14:textId="77777777" w:rsidR="00072449" w:rsidRPr="00214785" w:rsidRDefault="00072449" w:rsidP="00AF6D9B">
            <w:pPr>
              <w:pStyle w:val="tabletext"/>
              <w:rPr>
                <w:b w:val="0"/>
              </w:rPr>
            </w:pPr>
          </w:p>
        </w:tc>
        <w:tc>
          <w:tcPr>
            <w:tcW w:w="1501" w:type="dxa"/>
          </w:tcPr>
          <w:p w14:paraId="38A45FA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19.</w:t>
            </w:r>
            <w:r w:rsidR="00AF6CC7" w:rsidRPr="00FB60E5">
              <w:t>8</w:t>
            </w:r>
            <w:r w:rsidRPr="00FB60E5">
              <w:t>%</w:t>
            </w:r>
          </w:p>
        </w:tc>
        <w:tc>
          <w:tcPr>
            <w:tcW w:w="1276" w:type="dxa"/>
          </w:tcPr>
          <w:p w14:paraId="38A45FA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w:t>
            </w:r>
            <w:r w:rsidR="00AF6CC7" w:rsidRPr="00FB60E5">
              <w:t>4</w:t>
            </w:r>
            <w:r w:rsidRPr="00FB60E5">
              <w:t>%</w:t>
            </w:r>
          </w:p>
        </w:tc>
        <w:tc>
          <w:tcPr>
            <w:tcW w:w="1418" w:type="dxa"/>
          </w:tcPr>
          <w:p w14:paraId="38A45FA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12.3%</w:t>
            </w:r>
          </w:p>
        </w:tc>
        <w:tc>
          <w:tcPr>
            <w:tcW w:w="1559" w:type="dxa"/>
          </w:tcPr>
          <w:p w14:paraId="38A45FA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33.</w:t>
            </w:r>
            <w:r w:rsidR="00AF6CC7" w:rsidRPr="00FB60E5">
              <w:t>3</w:t>
            </w:r>
            <w:r w:rsidRPr="00FB60E5">
              <w:t>%</w:t>
            </w:r>
          </w:p>
        </w:tc>
        <w:tc>
          <w:tcPr>
            <w:tcW w:w="912" w:type="dxa"/>
          </w:tcPr>
          <w:p w14:paraId="38A45FA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p>
        </w:tc>
      </w:tr>
      <w:tr w:rsidR="00072449" w:rsidRPr="00FB60E5" w14:paraId="38A45FB3"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AC" w14:textId="77777777" w:rsidR="00072449" w:rsidRPr="00214785" w:rsidRDefault="00072449" w:rsidP="00AF6D9B">
            <w:pPr>
              <w:pStyle w:val="tabletext"/>
              <w:rPr>
                <w:b w:val="0"/>
              </w:rPr>
            </w:pPr>
            <w:r w:rsidRPr="00214785">
              <w:rPr>
                <w:b w:val="0"/>
              </w:rPr>
              <w:t>Opioids</w:t>
            </w:r>
          </w:p>
          <w:p w14:paraId="38A45FAD" w14:textId="77777777" w:rsidR="00072449" w:rsidRPr="00214785" w:rsidRDefault="00072449" w:rsidP="00AF6D9B">
            <w:pPr>
              <w:pStyle w:val="tabletext"/>
              <w:rPr>
                <w:b w:val="0"/>
              </w:rPr>
            </w:pPr>
          </w:p>
        </w:tc>
        <w:tc>
          <w:tcPr>
            <w:tcW w:w="1501" w:type="dxa"/>
          </w:tcPr>
          <w:p w14:paraId="38A45FA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15.</w:t>
            </w:r>
            <w:r w:rsidR="00AF6CC7" w:rsidRPr="00FB60E5">
              <w:t>1</w:t>
            </w:r>
            <w:r w:rsidRPr="00FB60E5">
              <w:t>%</w:t>
            </w:r>
          </w:p>
        </w:tc>
        <w:tc>
          <w:tcPr>
            <w:tcW w:w="1276" w:type="dxa"/>
          </w:tcPr>
          <w:p w14:paraId="38A45FA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w:t>
            </w:r>
            <w:r w:rsidR="00AF6CC7" w:rsidRPr="00FB60E5">
              <w:t>2.1</w:t>
            </w:r>
            <w:r w:rsidRPr="00FB60E5">
              <w:t>%</w:t>
            </w:r>
          </w:p>
        </w:tc>
        <w:tc>
          <w:tcPr>
            <w:tcW w:w="1418" w:type="dxa"/>
          </w:tcPr>
          <w:p w14:paraId="38A45FB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12.6%</w:t>
            </w:r>
          </w:p>
        </w:tc>
        <w:tc>
          <w:tcPr>
            <w:tcW w:w="1559" w:type="dxa"/>
          </w:tcPr>
          <w:p w14:paraId="38A45FB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12.</w:t>
            </w:r>
            <w:r w:rsidR="00AF6CC7" w:rsidRPr="00FB60E5">
              <w:t>6</w:t>
            </w:r>
            <w:r w:rsidRPr="00FB60E5">
              <w:t>%</w:t>
            </w:r>
          </w:p>
        </w:tc>
        <w:tc>
          <w:tcPr>
            <w:tcW w:w="912" w:type="dxa"/>
          </w:tcPr>
          <w:p w14:paraId="38A45FB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p>
        </w:tc>
      </w:tr>
      <w:tr w:rsidR="00072449" w:rsidRPr="00FB60E5" w14:paraId="38A45FBB"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B4" w14:textId="77777777" w:rsidR="00072449" w:rsidRPr="00214785" w:rsidRDefault="00072449" w:rsidP="00AF6D9B">
            <w:pPr>
              <w:pStyle w:val="tabletext"/>
              <w:rPr>
                <w:b w:val="0"/>
              </w:rPr>
            </w:pPr>
            <w:r w:rsidRPr="00214785">
              <w:rPr>
                <w:b w:val="0"/>
              </w:rPr>
              <w:t>Other</w:t>
            </w:r>
          </w:p>
          <w:p w14:paraId="38A45FB5" w14:textId="77777777" w:rsidR="00072449" w:rsidRPr="00214785" w:rsidRDefault="00072449" w:rsidP="00AF6D9B">
            <w:pPr>
              <w:pStyle w:val="tabletext"/>
              <w:rPr>
                <w:b w:val="0"/>
              </w:rPr>
            </w:pPr>
          </w:p>
        </w:tc>
        <w:tc>
          <w:tcPr>
            <w:tcW w:w="1501" w:type="dxa"/>
          </w:tcPr>
          <w:p w14:paraId="38A45FB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w:t>
            </w:r>
            <w:r w:rsidR="00AF6CC7" w:rsidRPr="00FB60E5">
              <w:t>1</w:t>
            </w:r>
            <w:r w:rsidRPr="00FB60E5">
              <w:t>%</w:t>
            </w:r>
          </w:p>
        </w:tc>
        <w:tc>
          <w:tcPr>
            <w:tcW w:w="1276" w:type="dxa"/>
          </w:tcPr>
          <w:p w14:paraId="38A45FB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w:t>
            </w:r>
          </w:p>
        </w:tc>
        <w:tc>
          <w:tcPr>
            <w:tcW w:w="1418" w:type="dxa"/>
          </w:tcPr>
          <w:p w14:paraId="38A45FB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4.6%</w:t>
            </w:r>
          </w:p>
        </w:tc>
        <w:tc>
          <w:tcPr>
            <w:tcW w:w="1559" w:type="dxa"/>
          </w:tcPr>
          <w:p w14:paraId="38A45FB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w:t>
            </w:r>
            <w:r w:rsidR="00AF6CC7" w:rsidRPr="00FB60E5">
              <w:t>7</w:t>
            </w:r>
            <w:r w:rsidRPr="00FB60E5">
              <w:t>%</w:t>
            </w:r>
          </w:p>
        </w:tc>
        <w:tc>
          <w:tcPr>
            <w:tcW w:w="912" w:type="dxa"/>
          </w:tcPr>
          <w:p w14:paraId="38A45FB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p>
        </w:tc>
      </w:tr>
      <w:tr w:rsidR="00072449" w:rsidRPr="00FB60E5" w14:paraId="38A45FC2" w14:textId="77777777" w:rsidTr="0061003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576" w:type="dxa"/>
          </w:tcPr>
          <w:p w14:paraId="38A45FBC" w14:textId="77777777" w:rsidR="00072449" w:rsidRPr="00214785" w:rsidRDefault="00072449" w:rsidP="00AF6D9B">
            <w:pPr>
              <w:pStyle w:val="tabletext"/>
              <w:rPr>
                <w:b w:val="0"/>
              </w:rPr>
            </w:pPr>
            <w:r w:rsidRPr="00214785">
              <w:rPr>
                <w:b w:val="0"/>
              </w:rPr>
              <w:t xml:space="preserve">Median (IQR) SDS score for </w:t>
            </w:r>
            <w:r w:rsidR="00EE7A8F" w:rsidRPr="00214785">
              <w:rPr>
                <w:b w:val="0"/>
              </w:rPr>
              <w:t>PDOC</w:t>
            </w:r>
          </w:p>
        </w:tc>
        <w:tc>
          <w:tcPr>
            <w:tcW w:w="1501" w:type="dxa"/>
          </w:tcPr>
          <w:p w14:paraId="38A45FB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11 (8-13)</w:t>
            </w:r>
          </w:p>
        </w:tc>
        <w:tc>
          <w:tcPr>
            <w:tcW w:w="1276" w:type="dxa"/>
          </w:tcPr>
          <w:p w14:paraId="38A45FB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 (7-12)</w:t>
            </w:r>
          </w:p>
        </w:tc>
        <w:tc>
          <w:tcPr>
            <w:tcW w:w="1418" w:type="dxa"/>
          </w:tcPr>
          <w:p w14:paraId="38A45FB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12 (9-14)</w:t>
            </w:r>
          </w:p>
        </w:tc>
        <w:tc>
          <w:tcPr>
            <w:tcW w:w="1559" w:type="dxa"/>
          </w:tcPr>
          <w:p w14:paraId="38A45FC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11 (8-13)</w:t>
            </w:r>
          </w:p>
        </w:tc>
        <w:tc>
          <w:tcPr>
            <w:tcW w:w="912" w:type="dxa"/>
          </w:tcPr>
          <w:p w14:paraId="38A45FC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072449" w:rsidRPr="00FB60E5" w14:paraId="38A45FC9"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C3" w14:textId="77777777" w:rsidR="00072449" w:rsidRPr="00214785" w:rsidRDefault="00072449" w:rsidP="00AF6D9B">
            <w:pPr>
              <w:pStyle w:val="tabletext"/>
              <w:rPr>
                <w:b w:val="0"/>
              </w:rPr>
            </w:pPr>
            <w:r w:rsidRPr="00214785">
              <w:rPr>
                <w:b w:val="0"/>
              </w:rPr>
              <w:t xml:space="preserve">SDS score for </w:t>
            </w:r>
            <w:r w:rsidR="00EE7A8F" w:rsidRPr="00214785">
              <w:rPr>
                <w:b w:val="0"/>
              </w:rPr>
              <w:t>PDOC</w:t>
            </w:r>
            <w:r w:rsidRPr="00214785">
              <w:rPr>
                <w:b w:val="0"/>
              </w:rPr>
              <w:t xml:space="preserve"> (&gt; 7)</w:t>
            </w:r>
          </w:p>
        </w:tc>
        <w:tc>
          <w:tcPr>
            <w:tcW w:w="1501" w:type="dxa"/>
          </w:tcPr>
          <w:p w14:paraId="38A45FC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87.8%</w:t>
            </w:r>
          </w:p>
        </w:tc>
        <w:tc>
          <w:tcPr>
            <w:tcW w:w="1276" w:type="dxa"/>
          </w:tcPr>
          <w:p w14:paraId="38A45FC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82.</w:t>
            </w:r>
            <w:r w:rsidR="00A522DA" w:rsidRPr="00FB60E5">
              <w:t>2</w:t>
            </w:r>
            <w:r w:rsidRPr="00FB60E5">
              <w:t>%</w:t>
            </w:r>
          </w:p>
        </w:tc>
        <w:tc>
          <w:tcPr>
            <w:tcW w:w="1418" w:type="dxa"/>
          </w:tcPr>
          <w:p w14:paraId="38A45FC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89.4%</w:t>
            </w:r>
          </w:p>
        </w:tc>
        <w:tc>
          <w:tcPr>
            <w:tcW w:w="1559" w:type="dxa"/>
          </w:tcPr>
          <w:p w14:paraId="38A45FC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90.4%</w:t>
            </w:r>
          </w:p>
        </w:tc>
        <w:tc>
          <w:tcPr>
            <w:tcW w:w="912" w:type="dxa"/>
          </w:tcPr>
          <w:p w14:paraId="38A45FC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 .05</w:t>
            </w:r>
          </w:p>
        </w:tc>
      </w:tr>
      <w:tr w:rsidR="00072449" w:rsidRPr="00FB60E5" w14:paraId="38A45FD0" w14:textId="77777777" w:rsidTr="0061003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576" w:type="dxa"/>
          </w:tcPr>
          <w:p w14:paraId="38A45FCA" w14:textId="77777777" w:rsidR="00072449" w:rsidRPr="00214785" w:rsidRDefault="00072449" w:rsidP="00AF6D9B">
            <w:pPr>
              <w:pStyle w:val="tabletext"/>
              <w:rPr>
                <w:b w:val="0"/>
              </w:rPr>
            </w:pPr>
            <w:r w:rsidRPr="00214785">
              <w:rPr>
                <w:b w:val="0"/>
              </w:rPr>
              <w:t>Any secondary DOC (excluding tobacco)</w:t>
            </w:r>
          </w:p>
        </w:tc>
        <w:tc>
          <w:tcPr>
            <w:tcW w:w="1501" w:type="dxa"/>
          </w:tcPr>
          <w:p w14:paraId="38A45FC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51.8%</w:t>
            </w:r>
          </w:p>
        </w:tc>
        <w:tc>
          <w:tcPr>
            <w:tcW w:w="1276" w:type="dxa"/>
          </w:tcPr>
          <w:p w14:paraId="38A45FC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47.</w:t>
            </w:r>
            <w:r w:rsidR="002A0656" w:rsidRPr="00FB60E5">
              <w:t>4</w:t>
            </w:r>
            <w:r w:rsidRPr="00FB60E5">
              <w:t>%</w:t>
            </w:r>
          </w:p>
        </w:tc>
        <w:tc>
          <w:tcPr>
            <w:tcW w:w="1418" w:type="dxa"/>
          </w:tcPr>
          <w:p w14:paraId="38A45FC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46.0%</w:t>
            </w:r>
          </w:p>
        </w:tc>
        <w:tc>
          <w:tcPr>
            <w:tcW w:w="1559" w:type="dxa"/>
          </w:tcPr>
          <w:p w14:paraId="38A45FC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64.</w:t>
            </w:r>
            <w:r w:rsidR="002A0656" w:rsidRPr="00FB60E5">
              <w:t>8</w:t>
            </w:r>
            <w:r w:rsidRPr="00FB60E5">
              <w:t>%</w:t>
            </w:r>
          </w:p>
        </w:tc>
        <w:tc>
          <w:tcPr>
            <w:tcW w:w="912" w:type="dxa"/>
          </w:tcPr>
          <w:p w14:paraId="38A45FC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072449" w:rsidRPr="00FB60E5" w14:paraId="38A45FD7"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D1" w14:textId="77777777" w:rsidR="00072449" w:rsidRPr="00214785" w:rsidRDefault="00072449" w:rsidP="00AF6D9B">
            <w:pPr>
              <w:pStyle w:val="tabletext"/>
              <w:rPr>
                <w:b w:val="0"/>
              </w:rPr>
            </w:pPr>
            <w:r w:rsidRPr="00214785">
              <w:rPr>
                <w:b w:val="0"/>
              </w:rPr>
              <w:t>Alcohol as DOC</w:t>
            </w:r>
          </w:p>
        </w:tc>
        <w:tc>
          <w:tcPr>
            <w:tcW w:w="1501" w:type="dxa"/>
          </w:tcPr>
          <w:p w14:paraId="38A45FD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63.1%</w:t>
            </w:r>
          </w:p>
        </w:tc>
        <w:tc>
          <w:tcPr>
            <w:tcW w:w="1276" w:type="dxa"/>
          </w:tcPr>
          <w:p w14:paraId="38A45FD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51.6%</w:t>
            </w:r>
          </w:p>
        </w:tc>
        <w:tc>
          <w:tcPr>
            <w:tcW w:w="1418" w:type="dxa"/>
          </w:tcPr>
          <w:p w14:paraId="38A45FD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70.0%</w:t>
            </w:r>
          </w:p>
        </w:tc>
        <w:tc>
          <w:tcPr>
            <w:tcW w:w="1559" w:type="dxa"/>
          </w:tcPr>
          <w:p w14:paraId="38A45FD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63.2%</w:t>
            </w:r>
          </w:p>
        </w:tc>
        <w:tc>
          <w:tcPr>
            <w:tcW w:w="912" w:type="dxa"/>
          </w:tcPr>
          <w:p w14:paraId="38A45FD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072449" w:rsidRPr="00FB60E5" w14:paraId="38A45FDE"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D8" w14:textId="77777777" w:rsidR="00072449" w:rsidRPr="00214785" w:rsidRDefault="00072449" w:rsidP="00AF6D9B">
            <w:pPr>
              <w:pStyle w:val="tabletext"/>
              <w:rPr>
                <w:b w:val="0"/>
              </w:rPr>
            </w:pPr>
            <w:r w:rsidRPr="00214785">
              <w:rPr>
                <w:b w:val="0"/>
              </w:rPr>
              <w:t xml:space="preserve">Benzodiazepines as DOC </w:t>
            </w:r>
          </w:p>
        </w:tc>
        <w:tc>
          <w:tcPr>
            <w:tcW w:w="1501" w:type="dxa"/>
          </w:tcPr>
          <w:p w14:paraId="38A45FD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13.8%</w:t>
            </w:r>
          </w:p>
        </w:tc>
        <w:tc>
          <w:tcPr>
            <w:tcW w:w="1276" w:type="dxa"/>
          </w:tcPr>
          <w:p w14:paraId="38A45FD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14.</w:t>
            </w:r>
            <w:r w:rsidR="00034F7A" w:rsidRPr="00FB60E5">
              <w:t>6</w:t>
            </w:r>
            <w:r w:rsidRPr="00FB60E5">
              <w:t>%</w:t>
            </w:r>
          </w:p>
        </w:tc>
        <w:tc>
          <w:tcPr>
            <w:tcW w:w="1418" w:type="dxa"/>
          </w:tcPr>
          <w:p w14:paraId="38A45FD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w:t>
            </w:r>
            <w:r w:rsidR="00034F7A" w:rsidRPr="00FB60E5">
              <w:t>6</w:t>
            </w:r>
            <w:r w:rsidRPr="00FB60E5">
              <w:t>%</w:t>
            </w:r>
          </w:p>
        </w:tc>
        <w:tc>
          <w:tcPr>
            <w:tcW w:w="1559" w:type="dxa"/>
          </w:tcPr>
          <w:p w14:paraId="38A45FD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w:t>
            </w:r>
            <w:r w:rsidR="00034F7A" w:rsidRPr="00FB60E5">
              <w:t>9</w:t>
            </w:r>
            <w:r w:rsidRPr="00FB60E5">
              <w:t>%</w:t>
            </w:r>
          </w:p>
        </w:tc>
        <w:tc>
          <w:tcPr>
            <w:tcW w:w="912" w:type="dxa"/>
          </w:tcPr>
          <w:p w14:paraId="38A45FD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 .05</w:t>
            </w:r>
          </w:p>
        </w:tc>
      </w:tr>
      <w:tr w:rsidR="00072449" w:rsidRPr="00FB60E5" w14:paraId="38A45FE5"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DF" w14:textId="77777777" w:rsidR="00072449" w:rsidRPr="00214785" w:rsidRDefault="00072449" w:rsidP="00AF6D9B">
            <w:pPr>
              <w:pStyle w:val="tabletext"/>
              <w:rPr>
                <w:b w:val="0"/>
              </w:rPr>
            </w:pPr>
            <w:r w:rsidRPr="00214785">
              <w:rPr>
                <w:b w:val="0"/>
              </w:rPr>
              <w:t>Cannabis as DOC</w:t>
            </w:r>
          </w:p>
        </w:tc>
        <w:tc>
          <w:tcPr>
            <w:tcW w:w="1501" w:type="dxa"/>
          </w:tcPr>
          <w:p w14:paraId="38A45FE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38.5%</w:t>
            </w:r>
          </w:p>
        </w:tc>
        <w:tc>
          <w:tcPr>
            <w:tcW w:w="1276" w:type="dxa"/>
          </w:tcPr>
          <w:p w14:paraId="38A45FE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37.</w:t>
            </w:r>
            <w:r w:rsidR="002A0656" w:rsidRPr="00FB60E5">
              <w:t>6</w:t>
            </w:r>
            <w:r w:rsidRPr="00FB60E5">
              <w:t>%</w:t>
            </w:r>
          </w:p>
        </w:tc>
        <w:tc>
          <w:tcPr>
            <w:tcW w:w="1418" w:type="dxa"/>
          </w:tcPr>
          <w:p w14:paraId="38A45FE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37.1%</w:t>
            </w:r>
          </w:p>
        </w:tc>
        <w:tc>
          <w:tcPr>
            <w:tcW w:w="1559" w:type="dxa"/>
          </w:tcPr>
          <w:p w14:paraId="38A45FE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41.</w:t>
            </w:r>
            <w:r w:rsidR="002A0656" w:rsidRPr="00FB60E5">
              <w:t>3</w:t>
            </w:r>
            <w:r w:rsidRPr="00FB60E5">
              <w:t>%</w:t>
            </w:r>
          </w:p>
        </w:tc>
        <w:tc>
          <w:tcPr>
            <w:tcW w:w="912" w:type="dxa"/>
          </w:tcPr>
          <w:p w14:paraId="38A45FE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w:t>
            </w:r>
            <w:r w:rsidR="002A0656" w:rsidRPr="00FB60E5">
              <w:t>7</w:t>
            </w:r>
          </w:p>
        </w:tc>
      </w:tr>
      <w:tr w:rsidR="00072449" w:rsidRPr="00FB60E5" w14:paraId="38A45FEC" w14:textId="77777777" w:rsidTr="00610031">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576" w:type="dxa"/>
          </w:tcPr>
          <w:p w14:paraId="38A45FE6" w14:textId="77777777" w:rsidR="00072449" w:rsidRPr="00214785" w:rsidRDefault="00087D81" w:rsidP="00AF6D9B">
            <w:pPr>
              <w:pStyle w:val="tabletext"/>
              <w:rPr>
                <w:b w:val="0"/>
              </w:rPr>
            </w:pPr>
            <w:r w:rsidRPr="00214785">
              <w:rPr>
                <w:b w:val="0"/>
              </w:rPr>
              <w:t>Meth</w:t>
            </w:r>
            <w:r w:rsidR="00E977AF" w:rsidRPr="00214785">
              <w:rPr>
                <w:b w:val="0"/>
              </w:rPr>
              <w:t>/</w:t>
            </w:r>
            <w:r w:rsidR="00B473EE" w:rsidRPr="00214785">
              <w:rPr>
                <w:b w:val="0"/>
              </w:rPr>
              <w:t>amphetamines</w:t>
            </w:r>
            <w:r w:rsidR="00072449" w:rsidRPr="00214785">
              <w:rPr>
                <w:b w:val="0"/>
              </w:rPr>
              <w:t xml:space="preserve"> as DOC </w:t>
            </w:r>
          </w:p>
        </w:tc>
        <w:tc>
          <w:tcPr>
            <w:tcW w:w="1501" w:type="dxa"/>
          </w:tcPr>
          <w:p w14:paraId="38A45FE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w:t>
            </w:r>
            <w:r w:rsidR="00034F7A" w:rsidRPr="00FB60E5">
              <w:t>5</w:t>
            </w:r>
            <w:r w:rsidRPr="00FB60E5">
              <w:t>.</w:t>
            </w:r>
            <w:r w:rsidR="00034F7A" w:rsidRPr="00FB60E5">
              <w:t>0</w:t>
            </w:r>
            <w:r w:rsidRPr="00FB60E5">
              <w:t>%</w:t>
            </w:r>
          </w:p>
        </w:tc>
        <w:tc>
          <w:tcPr>
            <w:tcW w:w="1276" w:type="dxa"/>
          </w:tcPr>
          <w:p w14:paraId="38A45FE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29.</w:t>
            </w:r>
            <w:r w:rsidR="00034F7A" w:rsidRPr="00FB60E5">
              <w:t>6</w:t>
            </w:r>
            <w:r w:rsidRPr="00FB60E5">
              <w:t>%</w:t>
            </w:r>
          </w:p>
        </w:tc>
        <w:tc>
          <w:tcPr>
            <w:tcW w:w="1418" w:type="dxa"/>
          </w:tcPr>
          <w:p w14:paraId="38A45FE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26.3%</w:t>
            </w:r>
          </w:p>
        </w:tc>
        <w:tc>
          <w:tcPr>
            <w:tcW w:w="1559" w:type="dxa"/>
          </w:tcPr>
          <w:p w14:paraId="38A45FE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53.3%</w:t>
            </w:r>
          </w:p>
        </w:tc>
        <w:tc>
          <w:tcPr>
            <w:tcW w:w="912" w:type="dxa"/>
          </w:tcPr>
          <w:p w14:paraId="38A45FE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072449" w:rsidRPr="00FB60E5" w14:paraId="38A45FF3"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2576" w:type="dxa"/>
          </w:tcPr>
          <w:p w14:paraId="38A45FED" w14:textId="77777777" w:rsidR="00072449" w:rsidRPr="00214785" w:rsidRDefault="00072449" w:rsidP="00AF6D9B">
            <w:pPr>
              <w:pStyle w:val="tabletext"/>
              <w:rPr>
                <w:b w:val="0"/>
              </w:rPr>
            </w:pPr>
            <w:r w:rsidRPr="00214785">
              <w:rPr>
                <w:b w:val="0"/>
              </w:rPr>
              <w:t xml:space="preserve">Opioids as DOC </w:t>
            </w:r>
          </w:p>
        </w:tc>
        <w:tc>
          <w:tcPr>
            <w:tcW w:w="1501" w:type="dxa"/>
          </w:tcPr>
          <w:p w14:paraId="38A45FE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25.5%</w:t>
            </w:r>
          </w:p>
        </w:tc>
        <w:tc>
          <w:tcPr>
            <w:tcW w:w="1276" w:type="dxa"/>
          </w:tcPr>
          <w:p w14:paraId="38A45FE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30.</w:t>
            </w:r>
            <w:r w:rsidR="00034F7A" w:rsidRPr="00FB60E5">
              <w:t>5</w:t>
            </w:r>
            <w:r w:rsidRPr="00FB60E5">
              <w:t>%</w:t>
            </w:r>
          </w:p>
        </w:tc>
        <w:tc>
          <w:tcPr>
            <w:tcW w:w="1418" w:type="dxa"/>
          </w:tcPr>
          <w:p w14:paraId="38A45FF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22.9%</w:t>
            </w:r>
          </w:p>
        </w:tc>
        <w:tc>
          <w:tcPr>
            <w:tcW w:w="1559" w:type="dxa"/>
          </w:tcPr>
          <w:p w14:paraId="38A45FF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24.</w:t>
            </w:r>
            <w:r w:rsidR="00034F7A" w:rsidRPr="00FB60E5">
              <w:t>9</w:t>
            </w:r>
            <w:r w:rsidRPr="00FB60E5">
              <w:t>%</w:t>
            </w:r>
          </w:p>
        </w:tc>
        <w:tc>
          <w:tcPr>
            <w:tcW w:w="912" w:type="dxa"/>
          </w:tcPr>
          <w:p w14:paraId="38A45FF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w:t>
            </w:r>
            <w:r w:rsidR="002A0656" w:rsidRPr="00FB60E5">
              <w:t>3</w:t>
            </w:r>
          </w:p>
        </w:tc>
      </w:tr>
    </w:tbl>
    <w:p w14:paraId="38A45FF4" w14:textId="77777777" w:rsidR="001C692B" w:rsidRPr="00FB60E5" w:rsidRDefault="00072449" w:rsidP="00610031">
      <w:pPr>
        <w:pStyle w:val="FootnoteText"/>
      </w:pPr>
      <w:r w:rsidRPr="00FB60E5">
        <w:t xml:space="preserve">DOC= drug of concern, </w:t>
      </w:r>
      <w:r w:rsidR="00EE7A8F" w:rsidRPr="00FB60E5">
        <w:t>PDOC</w:t>
      </w:r>
      <w:r w:rsidRPr="00FB60E5">
        <w:t xml:space="preserve"> =primary drug of concern</w:t>
      </w:r>
    </w:p>
    <w:p w14:paraId="38A45FF5" w14:textId="77777777" w:rsidR="00A733D3" w:rsidRPr="00FB60E5" w:rsidRDefault="00A733D3" w:rsidP="00610031">
      <w:pPr>
        <w:pStyle w:val="FootnoteText"/>
      </w:pPr>
      <w:r w:rsidRPr="00FB60E5">
        <w:t>*Amount of missing data differed between analyses presented in this table, thus ranges given for Ns</w:t>
      </w:r>
    </w:p>
    <w:p w14:paraId="38A45FF7" w14:textId="77777777" w:rsidR="00072449" w:rsidRPr="00610031" w:rsidRDefault="00072449" w:rsidP="00824B01">
      <w:pPr>
        <w:pStyle w:val="Heading3"/>
        <w:rPr>
          <w:rStyle w:val="SubtleEmphasis"/>
        </w:rPr>
      </w:pPr>
      <w:r w:rsidRPr="00610031">
        <w:rPr>
          <w:rStyle w:val="SubtleEmphasis"/>
        </w:rPr>
        <w:t>Comparisons with Victorian ADIS data</w:t>
      </w:r>
    </w:p>
    <w:p w14:paraId="38A45FF8" w14:textId="77777777" w:rsidR="00072449" w:rsidRPr="00FB60E5" w:rsidRDefault="00072449" w:rsidP="00FB60E5">
      <w:pPr>
        <w:ind w:left="0"/>
      </w:pPr>
      <w:r w:rsidRPr="00FB60E5">
        <w:t xml:space="preserve">To examine the degree to which the Victorian data in the Patient Pathways sample was representative of the broader treatment population, we compared information on participant characteristics to that from the Victorian Alcohol and Drug Information Service </w:t>
      </w:r>
      <w:r w:rsidRPr="00FB60E5">
        <w:lastRenderedPageBreak/>
        <w:t xml:space="preserve">(ADIS) regarding the entire population of clients new to treatment in the past 31 days at any time during the calendar year 2012 (N = 51,289), during which the majority of Pathways recruitment occurred. The Patient Pathways cohort was broadly representative of the Victorian client population as represented in ADIS data: 65% of the ADIS </w:t>
      </w:r>
      <w:r w:rsidR="00B05A37" w:rsidRPr="00FB60E5">
        <w:t>sample was</w:t>
      </w:r>
      <w:r w:rsidRPr="00FB60E5">
        <w:t xml:space="preserve"> male, as </w:t>
      </w:r>
      <w:r w:rsidR="00B05A37" w:rsidRPr="00FB60E5">
        <w:t xml:space="preserve">was </w:t>
      </w:r>
      <w:r w:rsidRPr="00FB60E5">
        <w:t>64% of the Victorian Pathways sample. A similar trend was seen in the age categories between the Patient Pathways cohort and ADIS data, with the highest proportion being in the 20-29 and 30-39 age categories, followed by clients aged 40-49 years. ADIS data was comprised of more clients aged 19 or below. However this is due to the inclusion criteria (age 18 or above) adopted in the current study.</w:t>
      </w:r>
    </w:p>
    <w:p w14:paraId="38A45FF9" w14:textId="72D3274E" w:rsidR="00072449" w:rsidRPr="00FB60E5" w:rsidRDefault="00552239" w:rsidP="00552239">
      <w:pPr>
        <w:pStyle w:val="Caption"/>
      </w:pPr>
      <w:bookmarkStart w:id="130" w:name="_Toc531625780"/>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4</w:t>
      </w:r>
      <w:r>
        <w:fldChar w:fldCharType="end"/>
      </w:r>
      <w:r w:rsidR="00072449" w:rsidRPr="00FB60E5">
        <w:t xml:space="preserve"> Age comparison of Pathways sample and Victorian new-to-treatment population</w:t>
      </w:r>
      <w:bookmarkEnd w:id="130"/>
    </w:p>
    <w:tbl>
      <w:tblPr>
        <w:tblStyle w:val="LightList-Accent1"/>
        <w:tblW w:w="5000" w:type="pct"/>
        <w:tblLook w:val="04A0" w:firstRow="1" w:lastRow="0" w:firstColumn="1" w:lastColumn="0" w:noHBand="0" w:noVBand="1"/>
        <w:tblCaption w:val="Table 3.4  Age comparison of Pathways sample and Victorian new-to-treatment population "/>
        <w:tblDescription w:val="Table 3.4  Age comparison of Pathways sample and Victorian new-to-treatment population "/>
      </w:tblPr>
      <w:tblGrid>
        <w:gridCol w:w="2376"/>
        <w:gridCol w:w="3678"/>
        <w:gridCol w:w="3188"/>
      </w:tblGrid>
      <w:tr w:rsidR="00072449" w:rsidRPr="00FB60E5" w14:paraId="38A45FFD" w14:textId="77777777" w:rsidTr="00610031">
        <w:trPr>
          <w:cnfStyle w:val="100000000000" w:firstRow="1" w:lastRow="0" w:firstColumn="0" w:lastColumn="0" w:oddVBand="0" w:evenVBand="0" w:oddHBand="0" w:evenHBand="0" w:firstRowFirstColumn="0" w:firstRowLastColumn="0" w:lastRowFirstColumn="0" w:lastRowLastColumn="0"/>
          <w:trHeight w:hRule="exact" w:val="567"/>
          <w:tblHeader/>
        </w:trPr>
        <w:tc>
          <w:tcPr>
            <w:cnfStyle w:val="001000000000" w:firstRow="0" w:lastRow="0" w:firstColumn="1" w:lastColumn="0" w:oddVBand="0" w:evenVBand="0" w:oddHBand="0" w:evenHBand="0" w:firstRowFirstColumn="0" w:firstRowLastColumn="0" w:lastRowFirstColumn="0" w:lastRowLastColumn="0"/>
            <w:tcW w:w="1285" w:type="pct"/>
          </w:tcPr>
          <w:p w14:paraId="38A45FFA" w14:textId="77777777" w:rsidR="00072449" w:rsidRPr="00FB60E5" w:rsidRDefault="00072449" w:rsidP="00610031">
            <w:pPr>
              <w:pStyle w:val="tabletext"/>
            </w:pPr>
            <w:r w:rsidRPr="00FB60E5">
              <w:t>Age category</w:t>
            </w:r>
          </w:p>
        </w:tc>
        <w:tc>
          <w:tcPr>
            <w:tcW w:w="1990" w:type="pct"/>
          </w:tcPr>
          <w:p w14:paraId="38A45FFB"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Whole Victorian new-to-treatment population in 2012</w:t>
            </w:r>
            <w:r w:rsidR="004453F1" w:rsidRPr="00FB60E5">
              <w:t xml:space="preserve"> (%)</w:t>
            </w:r>
          </w:p>
        </w:tc>
        <w:tc>
          <w:tcPr>
            <w:tcW w:w="1725" w:type="pct"/>
          </w:tcPr>
          <w:p w14:paraId="38A45FFC" w14:textId="77777777" w:rsidR="00072449" w:rsidRPr="00FB60E5" w:rsidRDefault="00072449" w:rsidP="00610031">
            <w:pPr>
              <w:pStyle w:val="tabletext"/>
              <w:cnfStyle w:val="100000000000" w:firstRow="1" w:lastRow="0" w:firstColumn="0" w:lastColumn="0" w:oddVBand="0" w:evenVBand="0" w:oddHBand="0" w:evenHBand="0" w:firstRowFirstColumn="0" w:firstRowLastColumn="0" w:lastRowFirstColumn="0" w:lastRowLastColumn="0"/>
            </w:pPr>
            <w:r w:rsidRPr="00FB60E5">
              <w:t>Victorian Pathways sample</w:t>
            </w:r>
            <w:r w:rsidR="004453F1" w:rsidRPr="00FB60E5">
              <w:t xml:space="preserve"> (%)</w:t>
            </w:r>
          </w:p>
        </w:tc>
      </w:tr>
      <w:tr w:rsidR="00072449" w:rsidRPr="00FB60E5" w14:paraId="38A46001"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5FFE" w14:textId="77777777" w:rsidR="00072449" w:rsidRPr="00214785" w:rsidRDefault="00072449" w:rsidP="00AF6D9B">
            <w:pPr>
              <w:pStyle w:val="tabletext"/>
              <w:rPr>
                <w:b w:val="0"/>
              </w:rPr>
            </w:pPr>
            <w:r w:rsidRPr="00214785">
              <w:rPr>
                <w:b w:val="0"/>
              </w:rPr>
              <w:t>10-14*</w:t>
            </w:r>
          </w:p>
        </w:tc>
        <w:tc>
          <w:tcPr>
            <w:tcW w:w="1990" w:type="pct"/>
          </w:tcPr>
          <w:p w14:paraId="38A45FFF"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1.6</w:t>
            </w:r>
          </w:p>
        </w:tc>
        <w:tc>
          <w:tcPr>
            <w:tcW w:w="1725" w:type="pct"/>
          </w:tcPr>
          <w:p w14:paraId="38A46000"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proofErr w:type="spellStart"/>
            <w:r w:rsidRPr="00AF6D9B">
              <w:t>n.a</w:t>
            </w:r>
            <w:proofErr w:type="spellEnd"/>
            <w:r w:rsidRPr="00AF6D9B">
              <w:t>.</w:t>
            </w:r>
          </w:p>
        </w:tc>
      </w:tr>
      <w:tr w:rsidR="00072449" w:rsidRPr="00FB60E5" w14:paraId="38A46005"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6002" w14:textId="77777777" w:rsidR="00072449" w:rsidRPr="00214785" w:rsidRDefault="00072449" w:rsidP="00AF6D9B">
            <w:pPr>
              <w:pStyle w:val="tabletext"/>
              <w:rPr>
                <w:b w:val="0"/>
              </w:rPr>
            </w:pPr>
            <w:r w:rsidRPr="00214785">
              <w:rPr>
                <w:b w:val="0"/>
              </w:rPr>
              <w:t>15-19*</w:t>
            </w:r>
          </w:p>
        </w:tc>
        <w:tc>
          <w:tcPr>
            <w:tcW w:w="1990" w:type="pct"/>
          </w:tcPr>
          <w:p w14:paraId="38A46003"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12.3</w:t>
            </w:r>
          </w:p>
        </w:tc>
        <w:tc>
          <w:tcPr>
            <w:tcW w:w="1725" w:type="pct"/>
          </w:tcPr>
          <w:p w14:paraId="38A46004"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2.2</w:t>
            </w:r>
          </w:p>
        </w:tc>
      </w:tr>
      <w:tr w:rsidR="00072449" w:rsidRPr="00FB60E5" w14:paraId="38A46009"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6006" w14:textId="77777777" w:rsidR="00072449" w:rsidRPr="00214785" w:rsidRDefault="00072449" w:rsidP="00AF6D9B">
            <w:pPr>
              <w:pStyle w:val="tabletext"/>
              <w:rPr>
                <w:b w:val="0"/>
              </w:rPr>
            </w:pPr>
            <w:r w:rsidRPr="00214785">
              <w:rPr>
                <w:b w:val="0"/>
              </w:rPr>
              <w:t>20-29</w:t>
            </w:r>
          </w:p>
        </w:tc>
        <w:tc>
          <w:tcPr>
            <w:tcW w:w="1990" w:type="pct"/>
          </w:tcPr>
          <w:p w14:paraId="38A46007"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28.3</w:t>
            </w:r>
          </w:p>
        </w:tc>
        <w:tc>
          <w:tcPr>
            <w:tcW w:w="1725" w:type="pct"/>
          </w:tcPr>
          <w:p w14:paraId="38A46008"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30.9</w:t>
            </w:r>
          </w:p>
        </w:tc>
      </w:tr>
      <w:tr w:rsidR="00072449" w:rsidRPr="00FB60E5" w14:paraId="38A4600D"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600A" w14:textId="77777777" w:rsidR="00072449" w:rsidRPr="00214785" w:rsidRDefault="00072449" w:rsidP="00AF6D9B">
            <w:pPr>
              <w:pStyle w:val="tabletext"/>
              <w:rPr>
                <w:b w:val="0"/>
              </w:rPr>
            </w:pPr>
            <w:r w:rsidRPr="00214785">
              <w:rPr>
                <w:b w:val="0"/>
              </w:rPr>
              <w:t>30-39</w:t>
            </w:r>
          </w:p>
        </w:tc>
        <w:tc>
          <w:tcPr>
            <w:tcW w:w="1990" w:type="pct"/>
          </w:tcPr>
          <w:p w14:paraId="38A4600B"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26.6</w:t>
            </w:r>
          </w:p>
        </w:tc>
        <w:tc>
          <w:tcPr>
            <w:tcW w:w="1725" w:type="pct"/>
          </w:tcPr>
          <w:p w14:paraId="38A4600C"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31.7</w:t>
            </w:r>
          </w:p>
        </w:tc>
      </w:tr>
      <w:tr w:rsidR="00072449" w:rsidRPr="00FB60E5" w14:paraId="38A46011"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600E" w14:textId="77777777" w:rsidR="00072449" w:rsidRPr="00214785" w:rsidRDefault="00072449" w:rsidP="00AF6D9B">
            <w:pPr>
              <w:pStyle w:val="tabletext"/>
              <w:rPr>
                <w:b w:val="0"/>
              </w:rPr>
            </w:pPr>
            <w:r w:rsidRPr="00214785">
              <w:rPr>
                <w:b w:val="0"/>
              </w:rPr>
              <w:t>40-49</w:t>
            </w:r>
          </w:p>
        </w:tc>
        <w:tc>
          <w:tcPr>
            <w:tcW w:w="1990" w:type="pct"/>
          </w:tcPr>
          <w:p w14:paraId="38A4600F"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19.1</w:t>
            </w:r>
          </w:p>
        </w:tc>
        <w:tc>
          <w:tcPr>
            <w:tcW w:w="1725" w:type="pct"/>
          </w:tcPr>
          <w:p w14:paraId="38A46010"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23.0</w:t>
            </w:r>
          </w:p>
        </w:tc>
      </w:tr>
      <w:tr w:rsidR="00072449" w:rsidRPr="00FB60E5" w14:paraId="38A46015" w14:textId="77777777" w:rsidTr="00610031">
        <w:trPr>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6012" w14:textId="77777777" w:rsidR="00072449" w:rsidRPr="00214785" w:rsidRDefault="00072449" w:rsidP="00AF6D9B">
            <w:pPr>
              <w:pStyle w:val="tabletext"/>
              <w:rPr>
                <w:b w:val="0"/>
              </w:rPr>
            </w:pPr>
            <w:r w:rsidRPr="00214785">
              <w:rPr>
                <w:b w:val="0"/>
              </w:rPr>
              <w:t>50-59</w:t>
            </w:r>
          </w:p>
        </w:tc>
        <w:tc>
          <w:tcPr>
            <w:tcW w:w="1990" w:type="pct"/>
          </w:tcPr>
          <w:p w14:paraId="38A46013"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8.5</w:t>
            </w:r>
          </w:p>
        </w:tc>
        <w:tc>
          <w:tcPr>
            <w:tcW w:w="1725" w:type="pct"/>
          </w:tcPr>
          <w:p w14:paraId="38A46014"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9.9</w:t>
            </w:r>
          </w:p>
        </w:tc>
      </w:tr>
      <w:tr w:rsidR="00072449" w:rsidRPr="00FB60E5" w14:paraId="38A46019" w14:textId="77777777" w:rsidTr="00610031">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285" w:type="pct"/>
          </w:tcPr>
          <w:p w14:paraId="38A46016" w14:textId="77777777" w:rsidR="00072449" w:rsidRPr="00214785" w:rsidRDefault="00072449" w:rsidP="00AF6D9B">
            <w:pPr>
              <w:pStyle w:val="tabletext"/>
              <w:rPr>
                <w:b w:val="0"/>
              </w:rPr>
            </w:pPr>
            <w:r w:rsidRPr="00214785">
              <w:rPr>
                <w:b w:val="0"/>
              </w:rPr>
              <w:t>60+</w:t>
            </w:r>
          </w:p>
        </w:tc>
        <w:tc>
          <w:tcPr>
            <w:tcW w:w="1990" w:type="pct"/>
          </w:tcPr>
          <w:p w14:paraId="38A46017"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3.6</w:t>
            </w:r>
          </w:p>
        </w:tc>
        <w:tc>
          <w:tcPr>
            <w:tcW w:w="1725" w:type="pct"/>
          </w:tcPr>
          <w:p w14:paraId="38A46018"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2.2</w:t>
            </w:r>
          </w:p>
        </w:tc>
      </w:tr>
    </w:tbl>
    <w:p w14:paraId="38A4601A" w14:textId="77777777" w:rsidR="00072449" w:rsidRPr="00FB60E5" w:rsidRDefault="00072449" w:rsidP="00610031">
      <w:pPr>
        <w:pStyle w:val="FootnoteText"/>
      </w:pPr>
      <w:r w:rsidRPr="00FB60E5">
        <w:t>*Pathways sample only contains participants aged 18+</w:t>
      </w:r>
    </w:p>
    <w:p w14:paraId="38A4601B" w14:textId="77777777" w:rsidR="00072449" w:rsidRPr="00610031" w:rsidRDefault="00072449" w:rsidP="00610031">
      <w:pPr>
        <w:pStyle w:val="Heading3"/>
      </w:pPr>
      <w:r w:rsidRPr="00FB60E5">
        <w:t>Treatment goals</w:t>
      </w:r>
    </w:p>
    <w:p w14:paraId="38A4601C" w14:textId="77777777" w:rsidR="00072449" w:rsidRPr="00FB60E5" w:rsidRDefault="00072449" w:rsidP="00FB60E5">
      <w:pPr>
        <w:ind w:left="0"/>
      </w:pPr>
      <w:r w:rsidRPr="00FB60E5">
        <w:t>Participants were asked to choose one of four treatment goals related to their alcohol use and one of five treatment goals related to other drug use. For the purpose of analysing responses related to alcohol, only participants who nominated alcohol as either a primary or secondary drug of concern (n = 49</w:t>
      </w:r>
      <w:r w:rsidR="00B05A37" w:rsidRPr="00FB60E5">
        <w:t>8</w:t>
      </w:r>
      <w:r w:rsidRPr="00FB60E5">
        <w:t xml:space="preserve">) were included. Proportions who endorsed each goal are shown in Figure 3.2. Complete cessation of </w:t>
      </w:r>
      <w:r w:rsidR="00AC2FC1" w:rsidRPr="00FB60E5">
        <w:t xml:space="preserve">alcohol </w:t>
      </w:r>
      <w:r w:rsidRPr="00FB60E5">
        <w:t>use was the motive for treatment endorsed by the majority of participants in withdrawal and residential services and the most common motive in outpatient services. Outpatient participants who had nominated alcohol as a drug of concern were less likely than other groups to endorse complete abstinence as a goal, and more likely to endorse reduced or more controlled drinking instead.</w:t>
      </w:r>
    </w:p>
    <w:p w14:paraId="38A4601D" w14:textId="2C5B0346" w:rsidR="00072449" w:rsidRPr="00FB60E5" w:rsidRDefault="00072449" w:rsidP="00FB60E5">
      <w:pPr>
        <w:ind w:left="0"/>
      </w:pPr>
      <w:r w:rsidRPr="00FB60E5">
        <w:t xml:space="preserve">For the purpose of analysing responses related to other drugs, only participants who nominated any drug other than alcohol or tobacco as either a primary or secondary drug of concern (n = 547) were included. Proportions who endorsed each goal are shown in </w:t>
      </w:r>
      <w:r w:rsidR="00BD7BD8">
        <w:fldChar w:fldCharType="begin"/>
      </w:r>
      <w:r w:rsidR="00BD7BD8">
        <w:instrText xml:space="preserve"> REF _Ref531625583 \h </w:instrText>
      </w:r>
      <w:r w:rsidR="00BD7BD8">
        <w:fldChar w:fldCharType="separate"/>
      </w:r>
      <w:r w:rsidR="00BD7BD8">
        <w:t xml:space="preserve">Figure </w:t>
      </w:r>
      <w:r w:rsidR="00BD7BD8">
        <w:rPr>
          <w:noProof/>
        </w:rPr>
        <w:t>3</w:t>
      </w:r>
      <w:r w:rsidR="00BD7BD8">
        <w:t>.</w:t>
      </w:r>
      <w:r w:rsidR="00BD7BD8">
        <w:rPr>
          <w:noProof/>
        </w:rPr>
        <w:t>3</w:t>
      </w:r>
      <w:r w:rsidR="00BD7BD8">
        <w:fldChar w:fldCharType="end"/>
      </w:r>
      <w:r w:rsidRPr="00FB60E5">
        <w:t>. Complete cessation was endorsed by a majority of participants from all PIT types. Participants in long-term residential treatment were significantly more likely than other groups to endorse complete abstinence as their goal and less likely than other groups to endorse any other goal. As with alcohol, outpatient participants were less likely than other groups to endorse complete abstinence as a goal and more likely to endorse reduced or more controlled drug use instead.</w:t>
      </w:r>
    </w:p>
    <w:p w14:paraId="38A4601E" w14:textId="77777777" w:rsidR="00072449" w:rsidRPr="00FB60E5" w:rsidRDefault="00072449" w:rsidP="00FB60E5">
      <w:pPr>
        <w:ind w:left="0"/>
      </w:pPr>
      <w:r w:rsidRPr="00FB60E5">
        <w:rPr>
          <w:noProof/>
          <w:lang w:eastAsia="en-AU"/>
        </w:rPr>
        <w:lastRenderedPageBreak/>
        <w:drawing>
          <wp:inline distT="0" distB="0" distL="0" distR="0" wp14:anchorId="38A475EF" wp14:editId="38A475F0">
            <wp:extent cx="4072128" cy="2438400"/>
            <wp:effectExtent l="0" t="0" r="5080" b="0"/>
            <wp:docPr id="17" name="Chart 17" descr="Column graph showing the proportion of participants (outpatients, acute withdrawal and residential rehabilitation), who nominated alcohol as a drug of concern endorsing each alcohol-related treatment goal. &#10;&#10;The vertical line showing the percentage. The horizontal line showing: Stop alcohol altogether, Cut down or control drinking, Eliminate alcohol-related problems and No alcohol problem/NA" title="Figure 3.2  Proportion of participants who nominated alcohol as a drug of concern endorsing each alcohol-related treatment goal"/>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A4601F" w14:textId="222C3FA2" w:rsidR="00072449" w:rsidRPr="00FB60E5" w:rsidRDefault="00BD7BD8" w:rsidP="00BD7BD8">
      <w:pPr>
        <w:pStyle w:val="Caption"/>
      </w:pPr>
      <w:bookmarkStart w:id="131" w:name="_Toc531625765"/>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2</w:t>
      </w:r>
      <w:r>
        <w:fldChar w:fldCharType="end"/>
      </w:r>
      <w:r w:rsidR="00072449" w:rsidRPr="00FB60E5">
        <w:t xml:space="preserve"> Proportion of participants who nominated alcohol as a drug of concern endorsing each alcohol-related treatment goal</w:t>
      </w:r>
      <w:bookmarkEnd w:id="131"/>
    </w:p>
    <w:p w14:paraId="38A46021" w14:textId="77777777" w:rsidR="007D5CD8" w:rsidRPr="00FB60E5" w:rsidRDefault="00EA157D" w:rsidP="00FB60E5">
      <w:pPr>
        <w:ind w:left="0"/>
      </w:pPr>
      <w:r w:rsidRPr="00FB60E5">
        <w:rPr>
          <w:noProof/>
          <w:lang w:eastAsia="en-AU"/>
        </w:rPr>
        <w:drawing>
          <wp:inline distT="0" distB="0" distL="0" distR="0" wp14:anchorId="38A475F1" wp14:editId="0F1785DE">
            <wp:extent cx="4470400" cy="2533650"/>
            <wp:effectExtent l="0" t="0" r="6350" b="0"/>
            <wp:docPr id="24" name="Chart 6" descr="Column graph showing the proportion of participants (outpatient, acute withdrawal, residential rehabilitation) who nominated any substance other than alcohol or tobacco as a drug of concern endorsing each drug-related treatment goal. &#10;&#10;The vertical line showing the percentage. The horizontal line showing those who:&#10;Stopped drugs altogether&#10;Cut down or control drug use&#10;Eliminate drug-related problems&#10;Get substitution pharmacotherapy&#10;No drug problem/NA" title="Figure 3.3  Proportion of participants who nominated any substance other than alcohol or tobacco as a drug of concern endorsing each drug-related treatment goal"/>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A46022" w14:textId="71DF698A" w:rsidR="00072449" w:rsidRPr="00FB60E5" w:rsidRDefault="00BD7BD8" w:rsidP="00BD7BD8">
      <w:pPr>
        <w:pStyle w:val="Caption"/>
      </w:pPr>
      <w:bookmarkStart w:id="132" w:name="_Ref531625583"/>
      <w:bookmarkStart w:id="133" w:name="_Toc531625766"/>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3</w:t>
      </w:r>
      <w:r>
        <w:fldChar w:fldCharType="end"/>
      </w:r>
      <w:bookmarkEnd w:id="132"/>
      <w:r w:rsidR="00E41BCC" w:rsidRPr="00FB60E5">
        <w:t xml:space="preserve"> </w:t>
      </w:r>
      <w:r w:rsidR="00072449" w:rsidRPr="00FB60E5">
        <w:t>Proportion of participants who nominated any substance other than alcohol or tobacco as a drug of concern endorsing each drug-related treatment goal</w:t>
      </w:r>
      <w:bookmarkEnd w:id="133"/>
    </w:p>
    <w:p w14:paraId="38A46024" w14:textId="77777777" w:rsidR="00072449" w:rsidRPr="00FB60E5" w:rsidRDefault="00072449" w:rsidP="00985872">
      <w:pPr>
        <w:pStyle w:val="Heading3"/>
      </w:pPr>
      <w:r w:rsidRPr="00FB60E5">
        <w:t>Quality of life</w:t>
      </w:r>
    </w:p>
    <w:p w14:paraId="38A46025" w14:textId="599947E4" w:rsidR="00072449" w:rsidRPr="00FB60E5" w:rsidRDefault="00072449" w:rsidP="00FB60E5">
      <w:pPr>
        <w:ind w:left="0"/>
      </w:pPr>
      <w:r w:rsidRPr="00FB60E5">
        <w:t xml:space="preserve">Participants were asked to rate their overall quality of life and overall satisfaction with their health on scales of 1-5 (for quality of life: 1 = very poor, 5 = very good; satisfaction with health: 1 = very dissatisfied, 5 = very satisfied). </w:t>
      </w:r>
      <w:r w:rsidR="00AA748F" w:rsidRPr="00FB60E5">
        <w:t xml:space="preserve">Median ratings differed significantly by PIT type for both overall quality of life (p &lt; .001) and for overall health satisfaction (p &lt; .001). </w:t>
      </w:r>
      <w:r w:rsidRPr="00FB60E5">
        <w:t>Participants in acute withdrawal reported significantly lower quality of life than both outpatient participants and long-term residential participants (</w:t>
      </w:r>
      <w:proofErr w:type="spellStart"/>
      <w:r w:rsidRPr="00FB60E5">
        <w:t>ps</w:t>
      </w:r>
      <w:proofErr w:type="spellEnd"/>
      <w:r w:rsidRPr="00FB60E5">
        <w:t xml:space="preserve"> &lt; .001) and were significantly more likely to give below-neutral ratings of 1 or 2 (very poor or poor; p &lt; .001). </w:t>
      </w:r>
      <w:r w:rsidR="00505A69" w:rsidRPr="00FB60E5">
        <w:t>Acute withdrawal participants also reported significantly lower health satisfaction than both outpatients (p &lt; .05) and long-term residential participants (p &lt; .001), and outpatients reported significantly lower health satisfaction than participants in long-term residential treatment (p &lt; .001). Participants in long-term residential treatment were significantly less likely than other groups to give below-neutral ratings of 1 or 2 (</w:t>
      </w:r>
      <w:r w:rsidR="00130D5B" w:rsidRPr="00FB60E5">
        <w:t>very dissatisfied or dissatisfied; p &lt; .001)</w:t>
      </w:r>
    </w:p>
    <w:p w14:paraId="38A46026" w14:textId="77777777" w:rsidR="00072449" w:rsidRPr="00FB60E5" w:rsidRDefault="00072449" w:rsidP="00FB60E5">
      <w:pPr>
        <w:ind w:left="0"/>
      </w:pPr>
      <w:r w:rsidRPr="00FB60E5">
        <w:t>Median WHO</w:t>
      </w:r>
      <w:r w:rsidR="00EE7A8F" w:rsidRPr="00FB60E5">
        <w:t>QOL</w:t>
      </w:r>
      <w:r w:rsidRPr="00FB60E5">
        <w:t xml:space="preserve"> domain scores for physical, psychological, social, and environmental quality of life were 1.1, 1.8, 1.6, and 1.2 standard deviations below the means reported in an </w:t>
      </w:r>
      <w:r w:rsidRPr="00FB60E5">
        <w:lastRenderedPageBreak/>
        <w:t xml:space="preserve">Australian general population sample by Hawthorne, </w:t>
      </w:r>
      <w:proofErr w:type="spellStart"/>
      <w:r w:rsidRPr="00FB60E5">
        <w:t>Herrman</w:t>
      </w:r>
      <w:proofErr w:type="spellEnd"/>
      <w:r w:rsidRPr="00FB60E5">
        <w:t>, and Murphy (2006). Indeed, for each of these domains, over 80% of participants scored below the mean reported for Hawthorne et al.’s (2006) normative sample, over 50% scored more than 1 standard deviation below these general population means (indicating low quality of life), and over 20% scored more than 2 standard deviations below general population means (indicating very low quality of life). Acute withdrawal participants rated their physical (p</w:t>
      </w:r>
      <w:r w:rsidR="00F85EE6" w:rsidRPr="00FB60E5">
        <w:t xml:space="preserve"> </w:t>
      </w:r>
      <w:r w:rsidRPr="00FB60E5">
        <w:t>&lt;</w:t>
      </w:r>
      <w:r w:rsidR="00F85EE6" w:rsidRPr="00FB60E5">
        <w:t xml:space="preserve"> </w:t>
      </w:r>
      <w:r w:rsidRPr="00FB60E5">
        <w:t>.001), psychological (p</w:t>
      </w:r>
      <w:r w:rsidR="00F85EE6" w:rsidRPr="00FB60E5">
        <w:t xml:space="preserve"> </w:t>
      </w:r>
      <w:r w:rsidRPr="00FB60E5">
        <w:t>&lt;</w:t>
      </w:r>
      <w:r w:rsidR="00F85EE6" w:rsidRPr="00FB60E5">
        <w:t xml:space="preserve"> </w:t>
      </w:r>
      <w:r w:rsidRPr="00FB60E5">
        <w:t>.001), and social (p</w:t>
      </w:r>
      <w:r w:rsidR="00F85EE6" w:rsidRPr="00FB60E5">
        <w:t xml:space="preserve"> </w:t>
      </w:r>
      <w:r w:rsidRPr="00FB60E5">
        <w:t>&lt;</w:t>
      </w:r>
      <w:r w:rsidR="00F85EE6" w:rsidRPr="00FB60E5">
        <w:t xml:space="preserve"> </w:t>
      </w:r>
      <w:r w:rsidRPr="00FB60E5">
        <w:t>.01), quality of life significantly lower than long-term residential participants and rated their physical (p</w:t>
      </w:r>
      <w:r w:rsidR="00F85EE6" w:rsidRPr="00FB60E5">
        <w:t xml:space="preserve"> </w:t>
      </w:r>
      <w:r w:rsidRPr="00FB60E5">
        <w:t>&lt;</w:t>
      </w:r>
      <w:r w:rsidR="00F85EE6" w:rsidRPr="00FB60E5">
        <w:t xml:space="preserve"> </w:t>
      </w:r>
      <w:r w:rsidRPr="00FB60E5">
        <w:t>.0</w:t>
      </w:r>
      <w:r w:rsidR="00130D5B" w:rsidRPr="00FB60E5">
        <w:t>5</w:t>
      </w:r>
      <w:r w:rsidRPr="00FB60E5">
        <w:t>) and psychological (p &lt; .05) quality of life lower than outpatient participants. Outpatient participants rated their physical (p &lt; .001) and psychological (p &lt; .01) quality of life significantly lower than participants in long-term residential treatment. Similar patterns of differences between groups were evident when proportions of participants with scores indicating low or very low quality of life were analysed (data not shown).</w:t>
      </w:r>
    </w:p>
    <w:p w14:paraId="38A46027" w14:textId="25F2D1E2" w:rsidR="00072449" w:rsidRPr="00FB60E5" w:rsidRDefault="00552239" w:rsidP="00552239">
      <w:pPr>
        <w:pStyle w:val="Caption"/>
      </w:pPr>
      <w:bookmarkStart w:id="134" w:name="_Toc386108209"/>
      <w:bookmarkStart w:id="135" w:name="_Toc387426357"/>
      <w:bookmarkStart w:id="136" w:name="_Toc531625781"/>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5</w:t>
      </w:r>
      <w:r>
        <w:fldChar w:fldCharType="end"/>
      </w:r>
      <w:r w:rsidR="00072449" w:rsidRPr="00FB60E5">
        <w:t xml:space="preserve"> Level of quality of life by index treatment type at baseline</w:t>
      </w:r>
      <w:bookmarkEnd w:id="134"/>
      <w:bookmarkEnd w:id="135"/>
      <w:bookmarkEnd w:id="136"/>
    </w:p>
    <w:tbl>
      <w:tblPr>
        <w:tblStyle w:val="LightList-Accent1"/>
        <w:tblW w:w="5120" w:type="pct"/>
        <w:tblLook w:val="04A0" w:firstRow="1" w:lastRow="0" w:firstColumn="1" w:lastColumn="0" w:noHBand="0" w:noVBand="1"/>
        <w:tblCaption w:val="Table 3.5  Level of quality of life by index treatment type at baseline "/>
        <w:tblDescription w:val="Table 3.5  Level of quality of life by index treatment type at baseline "/>
      </w:tblPr>
      <w:tblGrid>
        <w:gridCol w:w="1809"/>
        <w:gridCol w:w="1701"/>
        <w:gridCol w:w="1702"/>
        <w:gridCol w:w="1702"/>
        <w:gridCol w:w="1700"/>
        <w:gridCol w:w="850"/>
      </w:tblGrid>
      <w:tr w:rsidR="00FF5DD5" w:rsidRPr="00FB60E5" w14:paraId="38A46031" w14:textId="77777777" w:rsidTr="009858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6" w:type="pct"/>
          </w:tcPr>
          <w:p w14:paraId="38A46028" w14:textId="77777777" w:rsidR="00072449" w:rsidRPr="00FB60E5" w:rsidRDefault="00072449" w:rsidP="00985872">
            <w:pPr>
              <w:pStyle w:val="tabletext"/>
            </w:pPr>
          </w:p>
        </w:tc>
        <w:tc>
          <w:tcPr>
            <w:tcW w:w="899" w:type="pct"/>
          </w:tcPr>
          <w:p w14:paraId="38A46029" w14:textId="5B2BED8C" w:rsidR="00072449" w:rsidRPr="00FB60E5" w:rsidRDefault="00985872" w:rsidP="00985872">
            <w:pPr>
              <w:pStyle w:val="tabletext"/>
              <w:cnfStyle w:val="100000000000" w:firstRow="1" w:lastRow="0" w:firstColumn="0" w:lastColumn="0" w:oddVBand="0" w:evenVBand="0" w:oddHBand="0" w:evenHBand="0" w:firstRowFirstColumn="0" w:firstRowLastColumn="0" w:lastRowFirstColumn="0" w:lastRowLastColumn="0"/>
            </w:pPr>
            <w:r>
              <w:t xml:space="preserve">Total sample </w:t>
            </w:r>
            <w:r w:rsidR="00072449" w:rsidRPr="00FB60E5">
              <w:t>(n</w:t>
            </w:r>
            <w:r w:rsidR="00F85EE6" w:rsidRPr="00FB60E5">
              <w:t xml:space="preserve"> </w:t>
            </w:r>
            <w:r w:rsidR="00072449" w:rsidRPr="00FB60E5">
              <w:t>=</w:t>
            </w:r>
            <w:r w:rsidR="00F85EE6" w:rsidRPr="00FB60E5">
              <w:t xml:space="preserve"> </w:t>
            </w:r>
            <w:r w:rsidR="00072449" w:rsidRPr="00FB60E5">
              <w:t>794-795)</w:t>
            </w:r>
          </w:p>
        </w:tc>
        <w:tc>
          <w:tcPr>
            <w:tcW w:w="899" w:type="pct"/>
          </w:tcPr>
          <w:p w14:paraId="38A4602A"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Outpatient</w:t>
            </w:r>
          </w:p>
          <w:p w14:paraId="38A4602B"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(n</w:t>
            </w:r>
            <w:r w:rsidR="00F85EE6" w:rsidRPr="00FB60E5">
              <w:t xml:space="preserve"> </w:t>
            </w:r>
            <w:r w:rsidRPr="00FB60E5">
              <w:t>=</w:t>
            </w:r>
            <w:r w:rsidR="00F85EE6" w:rsidRPr="00FB60E5">
              <w:t xml:space="preserve"> </w:t>
            </w:r>
            <w:r w:rsidRPr="00FB60E5">
              <w:t>21</w:t>
            </w:r>
            <w:r w:rsidR="00FC63F8" w:rsidRPr="00FB60E5">
              <w:t>3</w:t>
            </w:r>
            <w:r w:rsidRPr="00FB60E5">
              <w:t>-21</w:t>
            </w:r>
            <w:r w:rsidR="00FC63F8" w:rsidRPr="00FB60E5">
              <w:t>4</w:t>
            </w:r>
            <w:r w:rsidRPr="00FB60E5">
              <w:t>)</w:t>
            </w:r>
          </w:p>
        </w:tc>
        <w:tc>
          <w:tcPr>
            <w:tcW w:w="899" w:type="pct"/>
          </w:tcPr>
          <w:p w14:paraId="38A4602C"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Acute withdrawal</w:t>
            </w:r>
          </w:p>
          <w:p w14:paraId="38A4602D"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(n = 349)</w:t>
            </w:r>
          </w:p>
        </w:tc>
        <w:tc>
          <w:tcPr>
            <w:tcW w:w="898" w:type="pct"/>
          </w:tcPr>
          <w:p w14:paraId="4EBB690D" w14:textId="77777777" w:rsidR="00BB0E5E"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Residential</w:t>
            </w:r>
            <w:r w:rsidR="004516BD" w:rsidRPr="00FB60E5">
              <w:t xml:space="preserve"> rehabilitation</w:t>
            </w:r>
          </w:p>
          <w:p w14:paraId="38A4602F" w14:textId="283D3232"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(n = 23</w:t>
            </w:r>
            <w:r w:rsidR="00FC63F8" w:rsidRPr="00FB60E5">
              <w:t>2</w:t>
            </w:r>
            <w:r w:rsidRPr="00FB60E5">
              <w:t>)</w:t>
            </w:r>
          </w:p>
        </w:tc>
        <w:tc>
          <w:tcPr>
            <w:tcW w:w="450" w:type="pct"/>
          </w:tcPr>
          <w:p w14:paraId="38A46030"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FF5DD5" w:rsidRPr="00FB60E5" w14:paraId="38A46038" w14:textId="77777777" w:rsidTr="0098587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56" w:type="pct"/>
          </w:tcPr>
          <w:p w14:paraId="38A46032" w14:textId="77777777" w:rsidR="00072449" w:rsidRPr="00214785" w:rsidRDefault="00072449" w:rsidP="00AF6D9B">
            <w:pPr>
              <w:pStyle w:val="tabletext"/>
              <w:rPr>
                <w:b w:val="0"/>
              </w:rPr>
            </w:pPr>
            <w:r w:rsidRPr="00214785">
              <w:rPr>
                <w:b w:val="0"/>
              </w:rPr>
              <w:t xml:space="preserve">Median (IQR) physical </w:t>
            </w:r>
            <w:r w:rsidR="00EE7A8F" w:rsidRPr="00214785">
              <w:rPr>
                <w:b w:val="0"/>
              </w:rPr>
              <w:t>QOL</w:t>
            </w:r>
          </w:p>
        </w:tc>
        <w:tc>
          <w:tcPr>
            <w:tcW w:w="899" w:type="pct"/>
          </w:tcPr>
          <w:p w14:paraId="38A46033"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53.6 (39.3-67.9)</w:t>
            </w:r>
          </w:p>
        </w:tc>
        <w:tc>
          <w:tcPr>
            <w:tcW w:w="899" w:type="pct"/>
          </w:tcPr>
          <w:p w14:paraId="38A46034"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5</w:t>
            </w:r>
            <w:r w:rsidR="005B77C0" w:rsidRPr="00AF6D9B">
              <w:t>0.0</w:t>
            </w:r>
            <w:r w:rsidRPr="00AF6D9B">
              <w:t xml:space="preserve"> (39.3-64.3)</w:t>
            </w:r>
          </w:p>
        </w:tc>
        <w:tc>
          <w:tcPr>
            <w:tcW w:w="899" w:type="pct"/>
          </w:tcPr>
          <w:p w14:paraId="38A46035"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46.4 (32.1-60.7)</w:t>
            </w:r>
          </w:p>
        </w:tc>
        <w:tc>
          <w:tcPr>
            <w:tcW w:w="898" w:type="pct"/>
          </w:tcPr>
          <w:p w14:paraId="38A46036"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64.3 (50.0-75.0)</w:t>
            </w:r>
          </w:p>
        </w:tc>
        <w:tc>
          <w:tcPr>
            <w:tcW w:w="450" w:type="pct"/>
          </w:tcPr>
          <w:p w14:paraId="38A46037"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&lt; .001</w:t>
            </w:r>
          </w:p>
        </w:tc>
      </w:tr>
      <w:tr w:rsidR="00FF5DD5" w:rsidRPr="00FB60E5" w14:paraId="38A4603F" w14:textId="77777777" w:rsidTr="00985872">
        <w:trPr>
          <w:trHeight w:hRule="exact" w:val="851"/>
        </w:trPr>
        <w:tc>
          <w:tcPr>
            <w:cnfStyle w:val="001000000000" w:firstRow="0" w:lastRow="0" w:firstColumn="1" w:lastColumn="0" w:oddVBand="0" w:evenVBand="0" w:oddHBand="0" w:evenHBand="0" w:firstRowFirstColumn="0" w:firstRowLastColumn="0" w:lastRowFirstColumn="0" w:lastRowLastColumn="0"/>
            <w:tcW w:w="956" w:type="pct"/>
          </w:tcPr>
          <w:p w14:paraId="38A46039" w14:textId="77777777" w:rsidR="00072449" w:rsidRPr="00214785" w:rsidRDefault="00072449" w:rsidP="00AF6D9B">
            <w:pPr>
              <w:pStyle w:val="tabletext"/>
              <w:rPr>
                <w:b w:val="0"/>
              </w:rPr>
            </w:pPr>
            <w:r w:rsidRPr="00214785">
              <w:rPr>
                <w:b w:val="0"/>
              </w:rPr>
              <w:t xml:space="preserve">Median (IQR) psychological </w:t>
            </w:r>
            <w:r w:rsidR="00EE7A8F" w:rsidRPr="00214785">
              <w:rPr>
                <w:b w:val="0"/>
              </w:rPr>
              <w:t>QOL</w:t>
            </w:r>
          </w:p>
        </w:tc>
        <w:tc>
          <w:tcPr>
            <w:tcW w:w="899" w:type="pct"/>
          </w:tcPr>
          <w:p w14:paraId="38A4603A"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45.8 (29.2-62.5)</w:t>
            </w:r>
          </w:p>
        </w:tc>
        <w:tc>
          <w:tcPr>
            <w:tcW w:w="899" w:type="pct"/>
          </w:tcPr>
          <w:p w14:paraId="38A4603B"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4</w:t>
            </w:r>
            <w:r w:rsidR="005B77C0" w:rsidRPr="00AF6D9B">
              <w:t>1.7</w:t>
            </w:r>
            <w:r w:rsidRPr="00AF6D9B">
              <w:t xml:space="preserve"> (3</w:t>
            </w:r>
            <w:r w:rsidR="005B77C0" w:rsidRPr="00AF6D9B">
              <w:t>2</w:t>
            </w:r>
            <w:r w:rsidRPr="00AF6D9B">
              <w:t>.3-62.5)</w:t>
            </w:r>
          </w:p>
        </w:tc>
        <w:tc>
          <w:tcPr>
            <w:tcW w:w="899" w:type="pct"/>
          </w:tcPr>
          <w:p w14:paraId="38A4603C"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41.7 (25.0-58.3)</w:t>
            </w:r>
          </w:p>
        </w:tc>
        <w:tc>
          <w:tcPr>
            <w:tcW w:w="898" w:type="pct"/>
          </w:tcPr>
          <w:p w14:paraId="38A4603D"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54.2 (37.5-66.7)</w:t>
            </w:r>
          </w:p>
        </w:tc>
        <w:tc>
          <w:tcPr>
            <w:tcW w:w="450" w:type="pct"/>
          </w:tcPr>
          <w:p w14:paraId="38A4603E"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&lt; .001</w:t>
            </w:r>
          </w:p>
        </w:tc>
      </w:tr>
      <w:tr w:rsidR="00FF5DD5" w:rsidRPr="00FB60E5" w14:paraId="38A46046" w14:textId="77777777" w:rsidTr="0098587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56" w:type="pct"/>
          </w:tcPr>
          <w:p w14:paraId="38A46040" w14:textId="77777777" w:rsidR="00072449" w:rsidRPr="00214785" w:rsidRDefault="00072449" w:rsidP="00AF6D9B">
            <w:pPr>
              <w:pStyle w:val="tabletext"/>
              <w:rPr>
                <w:b w:val="0"/>
              </w:rPr>
            </w:pPr>
            <w:r w:rsidRPr="00214785">
              <w:rPr>
                <w:b w:val="0"/>
              </w:rPr>
              <w:t xml:space="preserve">Median (IQR) social </w:t>
            </w:r>
            <w:r w:rsidR="00EE7A8F" w:rsidRPr="00214785">
              <w:rPr>
                <w:b w:val="0"/>
              </w:rPr>
              <w:t>QOL</w:t>
            </w:r>
          </w:p>
        </w:tc>
        <w:tc>
          <w:tcPr>
            <w:tcW w:w="899" w:type="pct"/>
          </w:tcPr>
          <w:p w14:paraId="38A46041"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41.7 (25.0-58.3)</w:t>
            </w:r>
          </w:p>
        </w:tc>
        <w:tc>
          <w:tcPr>
            <w:tcW w:w="899" w:type="pct"/>
          </w:tcPr>
          <w:p w14:paraId="38A46042"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50.0 (25.0-58.3)</w:t>
            </w:r>
          </w:p>
        </w:tc>
        <w:tc>
          <w:tcPr>
            <w:tcW w:w="899" w:type="pct"/>
          </w:tcPr>
          <w:p w14:paraId="38A46043"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41.7 (25.0-58.3)</w:t>
            </w:r>
          </w:p>
        </w:tc>
        <w:tc>
          <w:tcPr>
            <w:tcW w:w="898" w:type="pct"/>
          </w:tcPr>
          <w:p w14:paraId="38A46044"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50.0 (33.3-66.7)</w:t>
            </w:r>
          </w:p>
        </w:tc>
        <w:tc>
          <w:tcPr>
            <w:tcW w:w="450" w:type="pct"/>
          </w:tcPr>
          <w:p w14:paraId="38A46045"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&lt; .05</w:t>
            </w:r>
          </w:p>
        </w:tc>
      </w:tr>
      <w:tr w:rsidR="00FF5DD5" w:rsidRPr="00FB60E5" w14:paraId="38A4604D" w14:textId="77777777" w:rsidTr="00985872">
        <w:trPr>
          <w:trHeight w:hRule="exact" w:val="851"/>
        </w:trPr>
        <w:tc>
          <w:tcPr>
            <w:cnfStyle w:val="001000000000" w:firstRow="0" w:lastRow="0" w:firstColumn="1" w:lastColumn="0" w:oddVBand="0" w:evenVBand="0" w:oddHBand="0" w:evenHBand="0" w:firstRowFirstColumn="0" w:firstRowLastColumn="0" w:lastRowFirstColumn="0" w:lastRowLastColumn="0"/>
            <w:tcW w:w="956" w:type="pct"/>
          </w:tcPr>
          <w:p w14:paraId="38A46047" w14:textId="77777777" w:rsidR="00072449" w:rsidRPr="00214785" w:rsidRDefault="00072449" w:rsidP="00AF6D9B">
            <w:pPr>
              <w:pStyle w:val="tabletext"/>
              <w:rPr>
                <w:b w:val="0"/>
              </w:rPr>
            </w:pPr>
            <w:r w:rsidRPr="00214785">
              <w:rPr>
                <w:b w:val="0"/>
              </w:rPr>
              <w:t xml:space="preserve">Median (IQR) environmental </w:t>
            </w:r>
            <w:r w:rsidR="00EE7A8F" w:rsidRPr="00214785">
              <w:rPr>
                <w:b w:val="0"/>
              </w:rPr>
              <w:t>QOL</w:t>
            </w:r>
          </w:p>
        </w:tc>
        <w:tc>
          <w:tcPr>
            <w:tcW w:w="899" w:type="pct"/>
          </w:tcPr>
          <w:p w14:paraId="38A46048"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59.4 (46.9-71.9)</w:t>
            </w:r>
          </w:p>
        </w:tc>
        <w:tc>
          <w:tcPr>
            <w:tcW w:w="899" w:type="pct"/>
          </w:tcPr>
          <w:p w14:paraId="38A46049"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59.4 (43.8-71.9)</w:t>
            </w:r>
          </w:p>
        </w:tc>
        <w:tc>
          <w:tcPr>
            <w:tcW w:w="899" w:type="pct"/>
          </w:tcPr>
          <w:p w14:paraId="38A4604A"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56.2 (46.9-71.9)</w:t>
            </w:r>
          </w:p>
        </w:tc>
        <w:tc>
          <w:tcPr>
            <w:tcW w:w="898" w:type="pct"/>
          </w:tcPr>
          <w:p w14:paraId="38A4604B"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59.4 (50.0-71.9)</w:t>
            </w:r>
          </w:p>
        </w:tc>
        <w:tc>
          <w:tcPr>
            <w:tcW w:w="450" w:type="pct"/>
          </w:tcPr>
          <w:p w14:paraId="38A4604C"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.36</w:t>
            </w:r>
          </w:p>
        </w:tc>
      </w:tr>
    </w:tbl>
    <w:p w14:paraId="38A4604E" w14:textId="77777777" w:rsidR="00072449" w:rsidRPr="00FB60E5" w:rsidRDefault="00072449" w:rsidP="00985872">
      <w:pPr>
        <w:pStyle w:val="FootnoteText"/>
      </w:pPr>
      <w:r w:rsidRPr="00FB60E5">
        <w:t>*Amount of missing data differed between analyses presented in this table, thus ranges given for Ns</w:t>
      </w:r>
    </w:p>
    <w:p w14:paraId="38A46050" w14:textId="77777777" w:rsidR="00072449" w:rsidRPr="00FB60E5" w:rsidRDefault="00072449" w:rsidP="00985872">
      <w:pPr>
        <w:pStyle w:val="Heading3"/>
      </w:pPr>
      <w:r w:rsidRPr="00FB60E5">
        <w:t>Use of services in the year prior to study intake</w:t>
      </w:r>
    </w:p>
    <w:p w14:paraId="06841087" w14:textId="3477DFF1" w:rsidR="002C27A8" w:rsidRDefault="00072449" w:rsidP="00FB60E5">
      <w:pPr>
        <w:ind w:left="0"/>
      </w:pPr>
      <w:r w:rsidRPr="00FB60E5">
        <w:t xml:space="preserve">Participants were asked to report on their use of AOD-specialist treatment, health and welfare and acute service use in the year prior to their PIT. </w:t>
      </w:r>
      <w:r w:rsidR="001B3CBD">
        <w:fldChar w:fldCharType="begin"/>
      </w:r>
      <w:r w:rsidR="001B3CBD">
        <w:instrText xml:space="preserve"> REF _Ref531626089 \h </w:instrText>
      </w:r>
      <w:r w:rsidR="001B3CBD">
        <w:fldChar w:fldCharType="separate"/>
      </w:r>
      <w:r w:rsidR="001B3CBD">
        <w:t xml:space="preserve">Table </w:t>
      </w:r>
      <w:r w:rsidR="001B3CBD">
        <w:rPr>
          <w:noProof/>
        </w:rPr>
        <w:t>3</w:t>
      </w:r>
      <w:r w:rsidR="001B3CBD">
        <w:t>.</w:t>
      </w:r>
      <w:r w:rsidR="001B3CBD">
        <w:rPr>
          <w:noProof/>
        </w:rPr>
        <w:t>6</w:t>
      </w:r>
      <w:r w:rsidR="001B3CBD">
        <w:fldChar w:fldCharType="end"/>
      </w:r>
      <w:r w:rsidRPr="00FB60E5">
        <w:t xml:space="preserve"> displays the proportion of participants who engaged in each of these types of services</w:t>
      </w:r>
      <w:r w:rsidR="004516BD" w:rsidRPr="00FB60E5">
        <w:t xml:space="preserve">. </w:t>
      </w:r>
      <w:r w:rsidRPr="00FB60E5">
        <w:t xml:space="preserve">Based on participants’ reports of number of attendances at each type of service, we estimated that the 795 participants who completed these questions collectively engaged in 541 episodes of acute withdrawal, 5,063 AOD counselling sessions, 139 episodes of long-term residential rehabilitation, 8,890 appointments with a general practitioner, 723 ambulance attendances, 1,175 emergency department presentations, 493 hospital inpatient admissions, 3,177 outpatient mental health service appointments, 803 legal aid appointments, 3,666 employment service appointments, and 1,068 attendances at a housing or homelessness service in the year prior to their PIT. Overall, </w:t>
      </w:r>
      <w:r w:rsidR="00C808EB" w:rsidRPr="00FB60E5">
        <w:t>68</w:t>
      </w:r>
      <w:r w:rsidRPr="00FB60E5">
        <w:t>% of participants had previously attended some type of AOD service. Prior AOD service use was significantly more common among those in long-term residential treatment (80%) than outpatient participants (60%) or acute withdrawal participants (64%). Participants in long-term residential treatment were significantly more likely than those in other groups to report prior attendance at an acute withdrawal service (perhaps reflecting the fact that supervised acute withdrawal is a prerequisite for attendance at many long-term residential services) and engagement in previous long-term residential treatments</w:t>
      </w:r>
      <w:r w:rsidR="002C27A8">
        <w:t>.</w:t>
      </w:r>
    </w:p>
    <w:p w14:paraId="2F062867" w14:textId="77777777" w:rsidR="002C27A8" w:rsidRDefault="00072449" w:rsidP="00FB60E5">
      <w:pPr>
        <w:ind w:left="0"/>
      </w:pPr>
      <w:r w:rsidRPr="00FB60E5">
        <w:lastRenderedPageBreak/>
        <w:t>While there were no differences between groups in the proportion who had attended an appointment with a general practitioner (GP), or in mean number of visits, it is noteworthy that 25% of the sample averaged more than one GP visit per month (13 or more visits in the past year), suggesting a high rate of general health problems in at least a large minority of the sample. This is further supported by the fact that 60% of participants used an acute health service (ambulance, emergency department (ED), or hospital inpatient admission) in this 12-month period, including 53% who reported at least one ED presentation. While overall proportion of participants attending these service types did not differ significantly between groups, long-term residential participants were significantly more likely to report multiple (2 or more) ED presentations than outpatient participants or acute withdrawal participants (37% vs. 23% and 29% respectively). Outpatient participants were significantly more likely than other groups to have attended outpatient mental health services and housing/homelessness services</w:t>
      </w:r>
      <w:r w:rsidR="002C27A8">
        <w:t>.</w:t>
      </w:r>
    </w:p>
    <w:p w14:paraId="38A46054" w14:textId="668EE284" w:rsidR="00072449" w:rsidRPr="00FB60E5" w:rsidRDefault="00552239" w:rsidP="00552239">
      <w:pPr>
        <w:pStyle w:val="Caption"/>
      </w:pPr>
      <w:bookmarkStart w:id="137" w:name="_Ref531626089"/>
      <w:bookmarkStart w:id="138" w:name="_Toc386108210"/>
      <w:bookmarkStart w:id="139" w:name="_Toc387426358"/>
      <w:bookmarkStart w:id="140" w:name="_Toc531625782"/>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6</w:t>
      </w:r>
      <w:r>
        <w:fldChar w:fldCharType="end"/>
      </w:r>
      <w:bookmarkEnd w:id="137"/>
      <w:r w:rsidR="005958CF" w:rsidRPr="00FB60E5">
        <w:t xml:space="preserve"> </w:t>
      </w:r>
      <w:r w:rsidR="00072449" w:rsidRPr="00FB60E5">
        <w:t>Level of service use in past 12 months by index treatment type at baseline</w:t>
      </w:r>
      <w:bookmarkEnd w:id="138"/>
      <w:bookmarkEnd w:id="139"/>
      <w:bookmarkEnd w:id="140"/>
    </w:p>
    <w:tbl>
      <w:tblPr>
        <w:tblStyle w:val="LightList-Accent1"/>
        <w:tblW w:w="0" w:type="auto"/>
        <w:tblLook w:val="04A0" w:firstRow="1" w:lastRow="0" w:firstColumn="1" w:lastColumn="0" w:noHBand="0" w:noVBand="1"/>
        <w:tblCaption w:val="Table 3.6  Level of service use in past 12 months by index treatment type at baseline "/>
        <w:tblDescription w:val="Table 3.6  Level of service use in past 12 months by index treatment type at baseline "/>
      </w:tblPr>
      <w:tblGrid>
        <w:gridCol w:w="1791"/>
        <w:gridCol w:w="1578"/>
        <w:gridCol w:w="1559"/>
        <w:gridCol w:w="1701"/>
        <w:gridCol w:w="1559"/>
        <w:gridCol w:w="1054"/>
      </w:tblGrid>
      <w:tr w:rsidR="00072449" w:rsidRPr="00FB60E5" w14:paraId="38A4605D" w14:textId="77777777" w:rsidTr="009858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1" w:type="dxa"/>
          </w:tcPr>
          <w:p w14:paraId="38A46055" w14:textId="77777777" w:rsidR="00072449" w:rsidRPr="00FB60E5" w:rsidRDefault="00072449" w:rsidP="00985872">
            <w:pPr>
              <w:pStyle w:val="tabletext"/>
            </w:pPr>
            <w:r w:rsidRPr="00FB60E5">
              <w:t>Prior service use in past 12 months</w:t>
            </w:r>
          </w:p>
        </w:tc>
        <w:tc>
          <w:tcPr>
            <w:tcW w:w="1578" w:type="dxa"/>
          </w:tcPr>
          <w:p w14:paraId="38A46056"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Total sample (N = 783-795)</w:t>
            </w:r>
          </w:p>
        </w:tc>
        <w:tc>
          <w:tcPr>
            <w:tcW w:w="1559" w:type="dxa"/>
          </w:tcPr>
          <w:p w14:paraId="38A46057" w14:textId="77777777" w:rsidR="004212FD"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Outpatient</w:t>
            </w:r>
          </w:p>
          <w:p w14:paraId="38A46058" w14:textId="77777777" w:rsidR="00072449" w:rsidRPr="00FB60E5" w:rsidRDefault="00FF5DD5" w:rsidP="00985872">
            <w:pPr>
              <w:pStyle w:val="tabletext"/>
              <w:cnfStyle w:val="100000000000" w:firstRow="1" w:lastRow="0" w:firstColumn="0" w:lastColumn="0" w:oddVBand="0" w:evenVBand="0" w:oddHBand="0" w:evenHBand="0" w:firstRowFirstColumn="0" w:firstRowLastColumn="0" w:lastRowFirstColumn="0" w:lastRowLastColumn="0"/>
            </w:pPr>
            <w:r w:rsidRPr="00FB60E5">
              <w:t xml:space="preserve"> </w:t>
            </w:r>
            <w:r w:rsidR="00072449" w:rsidRPr="00FB60E5">
              <w:t>(n = 21</w:t>
            </w:r>
            <w:r w:rsidR="0022341D" w:rsidRPr="00FB60E5">
              <w:t>2</w:t>
            </w:r>
            <w:r w:rsidR="00072449" w:rsidRPr="00FB60E5">
              <w:t>-21</w:t>
            </w:r>
            <w:r w:rsidR="0022341D" w:rsidRPr="00FB60E5">
              <w:t>4</w:t>
            </w:r>
            <w:r w:rsidR="00072449" w:rsidRPr="00FB60E5">
              <w:t>)</w:t>
            </w:r>
          </w:p>
        </w:tc>
        <w:tc>
          <w:tcPr>
            <w:tcW w:w="1701" w:type="dxa"/>
          </w:tcPr>
          <w:p w14:paraId="38A46059" w14:textId="77777777" w:rsidR="004212FD"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Acute withdrawal</w:t>
            </w:r>
          </w:p>
          <w:p w14:paraId="38A4605A"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 xml:space="preserve"> (n = 341-349)</w:t>
            </w:r>
          </w:p>
        </w:tc>
        <w:tc>
          <w:tcPr>
            <w:tcW w:w="1559" w:type="dxa"/>
          </w:tcPr>
          <w:p w14:paraId="38A4605B"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Residential</w:t>
            </w:r>
            <w:r w:rsidR="004516BD" w:rsidRPr="00FB60E5">
              <w:t xml:space="preserve"> rehabilitation</w:t>
            </w:r>
            <w:r w:rsidRPr="00FB60E5">
              <w:t xml:space="preserve"> (n = 2</w:t>
            </w:r>
            <w:r w:rsidR="0022341D" w:rsidRPr="00FB60E5">
              <w:t>30</w:t>
            </w:r>
            <w:r w:rsidRPr="00FB60E5">
              <w:t>-23</w:t>
            </w:r>
            <w:r w:rsidR="0022341D" w:rsidRPr="00FB60E5">
              <w:t>2</w:t>
            </w:r>
            <w:r w:rsidRPr="00FB60E5">
              <w:t>)</w:t>
            </w:r>
          </w:p>
        </w:tc>
        <w:tc>
          <w:tcPr>
            <w:tcW w:w="1054" w:type="dxa"/>
          </w:tcPr>
          <w:p w14:paraId="38A4605C"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064" w14:textId="77777777" w:rsidTr="0098587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791" w:type="dxa"/>
          </w:tcPr>
          <w:p w14:paraId="38A4605E" w14:textId="77777777" w:rsidR="00072449" w:rsidRPr="00214785" w:rsidRDefault="00072449" w:rsidP="00985872">
            <w:pPr>
              <w:pStyle w:val="tabletext"/>
              <w:rPr>
                <w:b w:val="0"/>
              </w:rPr>
            </w:pPr>
            <w:r w:rsidRPr="00214785">
              <w:rPr>
                <w:b w:val="0"/>
              </w:rPr>
              <w:t>Acute withdrawal</w:t>
            </w:r>
          </w:p>
        </w:tc>
        <w:tc>
          <w:tcPr>
            <w:tcW w:w="1578" w:type="dxa"/>
          </w:tcPr>
          <w:p w14:paraId="38A4605F"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36.0%</w:t>
            </w:r>
          </w:p>
        </w:tc>
        <w:tc>
          <w:tcPr>
            <w:tcW w:w="1559" w:type="dxa"/>
          </w:tcPr>
          <w:p w14:paraId="38A46060"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25.</w:t>
            </w:r>
            <w:r w:rsidR="00A87C88" w:rsidRPr="00FB60E5">
              <w:t>2</w:t>
            </w:r>
            <w:r w:rsidRPr="00FB60E5">
              <w:t>%</w:t>
            </w:r>
          </w:p>
        </w:tc>
        <w:tc>
          <w:tcPr>
            <w:tcW w:w="1701" w:type="dxa"/>
          </w:tcPr>
          <w:p w14:paraId="38A46061"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28.9%</w:t>
            </w:r>
          </w:p>
        </w:tc>
        <w:tc>
          <w:tcPr>
            <w:tcW w:w="1559" w:type="dxa"/>
          </w:tcPr>
          <w:p w14:paraId="38A46062"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5</w:t>
            </w:r>
            <w:r w:rsidR="00A87C88" w:rsidRPr="00FB60E5">
              <w:t>6.5</w:t>
            </w:r>
            <w:r w:rsidRPr="00FB60E5">
              <w:t>%</w:t>
            </w:r>
          </w:p>
        </w:tc>
        <w:tc>
          <w:tcPr>
            <w:tcW w:w="1054" w:type="dxa"/>
          </w:tcPr>
          <w:p w14:paraId="38A46063"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072449" w:rsidRPr="00FB60E5" w14:paraId="38A4606B" w14:textId="77777777" w:rsidTr="00985872">
        <w:trPr>
          <w:trHeight w:hRule="exact" w:val="340"/>
        </w:trPr>
        <w:tc>
          <w:tcPr>
            <w:cnfStyle w:val="001000000000" w:firstRow="0" w:lastRow="0" w:firstColumn="1" w:lastColumn="0" w:oddVBand="0" w:evenVBand="0" w:oddHBand="0" w:evenHBand="0" w:firstRowFirstColumn="0" w:firstRowLastColumn="0" w:lastRowFirstColumn="0" w:lastRowLastColumn="0"/>
            <w:tcW w:w="1791" w:type="dxa"/>
          </w:tcPr>
          <w:p w14:paraId="38A46065" w14:textId="77777777" w:rsidR="00072449" w:rsidRPr="00214785" w:rsidRDefault="00072449" w:rsidP="00985872">
            <w:pPr>
              <w:pStyle w:val="tabletext"/>
              <w:rPr>
                <w:b w:val="0"/>
              </w:rPr>
            </w:pPr>
            <w:r w:rsidRPr="00214785">
              <w:rPr>
                <w:b w:val="0"/>
              </w:rPr>
              <w:t>A</w:t>
            </w:r>
            <w:r w:rsidR="004516BD" w:rsidRPr="00214785">
              <w:rPr>
                <w:b w:val="0"/>
              </w:rPr>
              <w:t>O</w:t>
            </w:r>
            <w:r w:rsidRPr="00214785">
              <w:rPr>
                <w:b w:val="0"/>
              </w:rPr>
              <w:t>D counselling</w:t>
            </w:r>
          </w:p>
        </w:tc>
        <w:tc>
          <w:tcPr>
            <w:tcW w:w="1578" w:type="dxa"/>
          </w:tcPr>
          <w:p w14:paraId="38A46066"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53.1%</w:t>
            </w:r>
          </w:p>
        </w:tc>
        <w:tc>
          <w:tcPr>
            <w:tcW w:w="1559" w:type="dxa"/>
          </w:tcPr>
          <w:p w14:paraId="38A46067"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47.2%</w:t>
            </w:r>
          </w:p>
        </w:tc>
        <w:tc>
          <w:tcPr>
            <w:tcW w:w="1701" w:type="dxa"/>
          </w:tcPr>
          <w:p w14:paraId="38A46068"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55.5%</w:t>
            </w:r>
          </w:p>
        </w:tc>
        <w:tc>
          <w:tcPr>
            <w:tcW w:w="1559" w:type="dxa"/>
          </w:tcPr>
          <w:p w14:paraId="38A46069"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55.2%</w:t>
            </w:r>
          </w:p>
        </w:tc>
        <w:tc>
          <w:tcPr>
            <w:tcW w:w="1054" w:type="dxa"/>
          </w:tcPr>
          <w:p w14:paraId="38A4606A"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.12</w:t>
            </w:r>
          </w:p>
        </w:tc>
      </w:tr>
      <w:tr w:rsidR="00072449" w:rsidRPr="00FB60E5" w14:paraId="38A46072" w14:textId="77777777" w:rsidTr="0098587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791" w:type="dxa"/>
          </w:tcPr>
          <w:p w14:paraId="38A4606C" w14:textId="77777777" w:rsidR="00072449" w:rsidRPr="00214785" w:rsidRDefault="00072449" w:rsidP="00985872">
            <w:pPr>
              <w:pStyle w:val="tabletext"/>
              <w:rPr>
                <w:b w:val="0"/>
              </w:rPr>
            </w:pPr>
            <w:r w:rsidRPr="00214785">
              <w:rPr>
                <w:b w:val="0"/>
              </w:rPr>
              <w:t>Residential rehabilitation</w:t>
            </w:r>
          </w:p>
        </w:tc>
        <w:tc>
          <w:tcPr>
            <w:tcW w:w="1578" w:type="dxa"/>
          </w:tcPr>
          <w:p w14:paraId="38A4606D"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12.8%</w:t>
            </w:r>
          </w:p>
        </w:tc>
        <w:tc>
          <w:tcPr>
            <w:tcW w:w="1559" w:type="dxa"/>
          </w:tcPr>
          <w:p w14:paraId="38A4606E"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6.5%</w:t>
            </w:r>
          </w:p>
        </w:tc>
        <w:tc>
          <w:tcPr>
            <w:tcW w:w="1701" w:type="dxa"/>
          </w:tcPr>
          <w:p w14:paraId="38A4606F"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8.9%</w:t>
            </w:r>
          </w:p>
        </w:tc>
        <w:tc>
          <w:tcPr>
            <w:tcW w:w="1559" w:type="dxa"/>
          </w:tcPr>
          <w:p w14:paraId="38A46070"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24.</w:t>
            </w:r>
            <w:r w:rsidR="00EE2E65" w:rsidRPr="00FB60E5">
              <w:t>6</w:t>
            </w:r>
            <w:r w:rsidRPr="00FB60E5">
              <w:t>%</w:t>
            </w:r>
          </w:p>
        </w:tc>
        <w:tc>
          <w:tcPr>
            <w:tcW w:w="1054" w:type="dxa"/>
          </w:tcPr>
          <w:p w14:paraId="38A46071"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&lt;</w:t>
            </w:r>
            <w:r w:rsidR="00A87C88" w:rsidRPr="00FB60E5">
              <w:t xml:space="preserve"> </w:t>
            </w:r>
            <w:r w:rsidRPr="00FB60E5">
              <w:t>.001</w:t>
            </w:r>
          </w:p>
        </w:tc>
      </w:tr>
      <w:tr w:rsidR="00072449" w:rsidRPr="00FB60E5" w14:paraId="38A46079" w14:textId="77777777" w:rsidTr="00985872">
        <w:trPr>
          <w:trHeight w:hRule="exact" w:val="567"/>
        </w:trPr>
        <w:tc>
          <w:tcPr>
            <w:cnfStyle w:val="001000000000" w:firstRow="0" w:lastRow="0" w:firstColumn="1" w:lastColumn="0" w:oddVBand="0" w:evenVBand="0" w:oddHBand="0" w:evenHBand="0" w:firstRowFirstColumn="0" w:firstRowLastColumn="0" w:lastRowFirstColumn="0" w:lastRowLastColumn="0"/>
            <w:tcW w:w="1791" w:type="dxa"/>
          </w:tcPr>
          <w:p w14:paraId="38A46073" w14:textId="77777777" w:rsidR="00072449" w:rsidRPr="00214785" w:rsidRDefault="00072449" w:rsidP="00985872">
            <w:pPr>
              <w:pStyle w:val="tabletext"/>
              <w:rPr>
                <w:b w:val="0"/>
              </w:rPr>
            </w:pPr>
            <w:r w:rsidRPr="00214785">
              <w:rPr>
                <w:b w:val="0"/>
              </w:rPr>
              <w:t>General practitioner</w:t>
            </w:r>
          </w:p>
        </w:tc>
        <w:tc>
          <w:tcPr>
            <w:tcW w:w="1578" w:type="dxa"/>
          </w:tcPr>
          <w:p w14:paraId="38A46074"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90.4%</w:t>
            </w:r>
          </w:p>
        </w:tc>
        <w:tc>
          <w:tcPr>
            <w:tcW w:w="1559" w:type="dxa"/>
          </w:tcPr>
          <w:p w14:paraId="38A46075"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93.5%</w:t>
            </w:r>
          </w:p>
        </w:tc>
        <w:tc>
          <w:tcPr>
            <w:tcW w:w="1701" w:type="dxa"/>
          </w:tcPr>
          <w:p w14:paraId="38A46076"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89.7%</w:t>
            </w:r>
          </w:p>
        </w:tc>
        <w:tc>
          <w:tcPr>
            <w:tcW w:w="1559" w:type="dxa"/>
          </w:tcPr>
          <w:p w14:paraId="38A46077"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88.</w:t>
            </w:r>
            <w:r w:rsidR="00EE2E65" w:rsidRPr="00FB60E5">
              <w:t>7</w:t>
            </w:r>
            <w:r w:rsidRPr="00FB60E5">
              <w:t>%</w:t>
            </w:r>
          </w:p>
        </w:tc>
        <w:tc>
          <w:tcPr>
            <w:tcW w:w="1054" w:type="dxa"/>
          </w:tcPr>
          <w:p w14:paraId="38A46078"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.1</w:t>
            </w:r>
            <w:r w:rsidR="00EE2E65" w:rsidRPr="00FB60E5">
              <w:t>9</w:t>
            </w:r>
          </w:p>
        </w:tc>
      </w:tr>
      <w:tr w:rsidR="00072449" w:rsidRPr="00FB60E5" w14:paraId="38A46080" w14:textId="77777777" w:rsidTr="0098587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791" w:type="dxa"/>
          </w:tcPr>
          <w:p w14:paraId="38A4607A" w14:textId="77777777" w:rsidR="00072449" w:rsidRPr="00214785" w:rsidRDefault="00072449" w:rsidP="00985872">
            <w:pPr>
              <w:pStyle w:val="tabletext"/>
              <w:rPr>
                <w:b w:val="0"/>
              </w:rPr>
            </w:pPr>
            <w:r w:rsidRPr="00214785">
              <w:rPr>
                <w:b w:val="0"/>
              </w:rPr>
              <w:t>Ambulance</w:t>
            </w:r>
          </w:p>
        </w:tc>
        <w:tc>
          <w:tcPr>
            <w:tcW w:w="1578" w:type="dxa"/>
          </w:tcPr>
          <w:p w14:paraId="38A4607B"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34.8%</w:t>
            </w:r>
          </w:p>
        </w:tc>
        <w:tc>
          <w:tcPr>
            <w:tcW w:w="1559" w:type="dxa"/>
          </w:tcPr>
          <w:p w14:paraId="38A4607C"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w:t>
            </w:r>
            <w:r w:rsidR="00DC24EA" w:rsidRPr="00FB60E5">
              <w:t>9.0</w:t>
            </w:r>
            <w:r w:rsidRPr="00FB60E5">
              <w:t>%</w:t>
            </w:r>
          </w:p>
        </w:tc>
        <w:tc>
          <w:tcPr>
            <w:tcW w:w="1701" w:type="dxa"/>
          </w:tcPr>
          <w:p w14:paraId="38A4607D"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36.5%</w:t>
            </w:r>
          </w:p>
        </w:tc>
        <w:tc>
          <w:tcPr>
            <w:tcW w:w="1559" w:type="dxa"/>
          </w:tcPr>
          <w:p w14:paraId="38A4607E"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37.</w:t>
            </w:r>
            <w:r w:rsidR="00DC24EA" w:rsidRPr="00FB60E5">
              <w:t>5</w:t>
            </w:r>
            <w:r w:rsidRPr="00FB60E5">
              <w:t>%</w:t>
            </w:r>
          </w:p>
        </w:tc>
        <w:tc>
          <w:tcPr>
            <w:tcW w:w="1054" w:type="dxa"/>
          </w:tcPr>
          <w:p w14:paraId="38A4607F"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w:t>
            </w:r>
            <w:r w:rsidR="00EE2E65" w:rsidRPr="00FB60E5">
              <w:t>11</w:t>
            </w:r>
          </w:p>
        </w:tc>
      </w:tr>
      <w:tr w:rsidR="00072449" w:rsidRPr="00FB60E5" w14:paraId="38A46087" w14:textId="77777777" w:rsidTr="00985872">
        <w:trPr>
          <w:trHeight w:hRule="exact" w:val="567"/>
        </w:trPr>
        <w:tc>
          <w:tcPr>
            <w:cnfStyle w:val="001000000000" w:firstRow="0" w:lastRow="0" w:firstColumn="1" w:lastColumn="0" w:oddVBand="0" w:evenVBand="0" w:oddHBand="0" w:evenHBand="0" w:firstRowFirstColumn="0" w:firstRowLastColumn="0" w:lastRowFirstColumn="0" w:lastRowLastColumn="0"/>
            <w:tcW w:w="1791" w:type="dxa"/>
          </w:tcPr>
          <w:p w14:paraId="38A46081" w14:textId="77777777" w:rsidR="00072449" w:rsidRPr="00214785" w:rsidRDefault="00072449" w:rsidP="00985872">
            <w:pPr>
              <w:pStyle w:val="tabletext"/>
              <w:rPr>
                <w:b w:val="0"/>
              </w:rPr>
            </w:pPr>
            <w:r w:rsidRPr="00214785">
              <w:rPr>
                <w:b w:val="0"/>
              </w:rPr>
              <w:t>Emergency department</w:t>
            </w:r>
          </w:p>
        </w:tc>
        <w:tc>
          <w:tcPr>
            <w:tcW w:w="1578" w:type="dxa"/>
          </w:tcPr>
          <w:p w14:paraId="38A46082"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53.4%</w:t>
            </w:r>
          </w:p>
        </w:tc>
        <w:tc>
          <w:tcPr>
            <w:tcW w:w="1559" w:type="dxa"/>
          </w:tcPr>
          <w:p w14:paraId="38A46083"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47.7%</w:t>
            </w:r>
          </w:p>
        </w:tc>
        <w:tc>
          <w:tcPr>
            <w:tcW w:w="1701" w:type="dxa"/>
          </w:tcPr>
          <w:p w14:paraId="38A46084"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53.7%</w:t>
            </w:r>
          </w:p>
        </w:tc>
        <w:tc>
          <w:tcPr>
            <w:tcW w:w="1559" w:type="dxa"/>
          </w:tcPr>
          <w:p w14:paraId="38A46085"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58.2%</w:t>
            </w:r>
          </w:p>
        </w:tc>
        <w:tc>
          <w:tcPr>
            <w:tcW w:w="1054" w:type="dxa"/>
          </w:tcPr>
          <w:p w14:paraId="38A46086"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.08</w:t>
            </w:r>
          </w:p>
        </w:tc>
      </w:tr>
      <w:tr w:rsidR="00072449" w:rsidRPr="00FB60E5" w14:paraId="38A4608E" w14:textId="77777777" w:rsidTr="0098587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791" w:type="dxa"/>
          </w:tcPr>
          <w:p w14:paraId="38A46088" w14:textId="77777777" w:rsidR="00072449" w:rsidRPr="00214785" w:rsidRDefault="00072449" w:rsidP="00985872">
            <w:pPr>
              <w:pStyle w:val="tabletext"/>
              <w:rPr>
                <w:b w:val="0"/>
              </w:rPr>
            </w:pPr>
            <w:r w:rsidRPr="00214785">
              <w:rPr>
                <w:b w:val="0"/>
              </w:rPr>
              <w:t>Hospital inpatient admission</w:t>
            </w:r>
          </w:p>
        </w:tc>
        <w:tc>
          <w:tcPr>
            <w:tcW w:w="1578" w:type="dxa"/>
          </w:tcPr>
          <w:p w14:paraId="38A46089"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27.7%</w:t>
            </w:r>
          </w:p>
        </w:tc>
        <w:tc>
          <w:tcPr>
            <w:tcW w:w="1559" w:type="dxa"/>
          </w:tcPr>
          <w:p w14:paraId="38A4608A"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w:t>
            </w:r>
            <w:r w:rsidR="00DC24EA" w:rsidRPr="00FB60E5">
              <w:t>7.1</w:t>
            </w:r>
            <w:r w:rsidRPr="00FB60E5">
              <w:t>%</w:t>
            </w:r>
          </w:p>
        </w:tc>
        <w:tc>
          <w:tcPr>
            <w:tcW w:w="1701" w:type="dxa"/>
          </w:tcPr>
          <w:p w14:paraId="38A4608B"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27.3%</w:t>
            </w:r>
          </w:p>
        </w:tc>
        <w:tc>
          <w:tcPr>
            <w:tcW w:w="1559" w:type="dxa"/>
          </w:tcPr>
          <w:p w14:paraId="38A4608C"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w:t>
            </w:r>
            <w:r w:rsidR="00A40466" w:rsidRPr="00FB60E5">
              <w:t>8.9</w:t>
            </w:r>
            <w:r w:rsidRPr="00FB60E5">
              <w:t>%</w:t>
            </w:r>
          </w:p>
        </w:tc>
        <w:tc>
          <w:tcPr>
            <w:tcW w:w="1054" w:type="dxa"/>
          </w:tcPr>
          <w:p w14:paraId="38A4608D"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.8</w:t>
            </w:r>
            <w:r w:rsidR="00DC24EA" w:rsidRPr="00FB60E5">
              <w:t>9</w:t>
            </w:r>
          </w:p>
        </w:tc>
      </w:tr>
      <w:tr w:rsidR="00072449" w:rsidRPr="00FB60E5" w14:paraId="38A46095" w14:textId="77777777" w:rsidTr="00985872">
        <w:trPr>
          <w:trHeight w:hRule="exact" w:val="851"/>
        </w:trPr>
        <w:tc>
          <w:tcPr>
            <w:cnfStyle w:val="001000000000" w:firstRow="0" w:lastRow="0" w:firstColumn="1" w:lastColumn="0" w:oddVBand="0" w:evenVBand="0" w:oddHBand="0" w:evenHBand="0" w:firstRowFirstColumn="0" w:firstRowLastColumn="0" w:lastRowFirstColumn="0" w:lastRowLastColumn="0"/>
            <w:tcW w:w="1791" w:type="dxa"/>
          </w:tcPr>
          <w:p w14:paraId="38A4608F" w14:textId="77777777" w:rsidR="00072449" w:rsidRPr="00214785" w:rsidRDefault="00072449" w:rsidP="00985872">
            <w:pPr>
              <w:pStyle w:val="tabletext"/>
              <w:rPr>
                <w:b w:val="0"/>
              </w:rPr>
            </w:pPr>
            <w:r w:rsidRPr="00214785">
              <w:rPr>
                <w:b w:val="0"/>
              </w:rPr>
              <w:t>Outpatient mental health service</w:t>
            </w:r>
          </w:p>
        </w:tc>
        <w:tc>
          <w:tcPr>
            <w:tcW w:w="1578" w:type="dxa"/>
          </w:tcPr>
          <w:p w14:paraId="38A46090"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39.0%</w:t>
            </w:r>
          </w:p>
        </w:tc>
        <w:tc>
          <w:tcPr>
            <w:tcW w:w="1559" w:type="dxa"/>
          </w:tcPr>
          <w:p w14:paraId="38A46091"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47.2%</w:t>
            </w:r>
          </w:p>
        </w:tc>
        <w:tc>
          <w:tcPr>
            <w:tcW w:w="1701" w:type="dxa"/>
          </w:tcPr>
          <w:p w14:paraId="38A46092"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35.6%</w:t>
            </w:r>
          </w:p>
        </w:tc>
        <w:tc>
          <w:tcPr>
            <w:tcW w:w="1559" w:type="dxa"/>
          </w:tcPr>
          <w:p w14:paraId="38A46093"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36.</w:t>
            </w:r>
            <w:r w:rsidR="00A40466" w:rsidRPr="00FB60E5">
              <w:t>6</w:t>
            </w:r>
            <w:r w:rsidRPr="00FB60E5">
              <w:t>%</w:t>
            </w:r>
          </w:p>
        </w:tc>
        <w:tc>
          <w:tcPr>
            <w:tcW w:w="1054" w:type="dxa"/>
          </w:tcPr>
          <w:p w14:paraId="38A46094"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&lt;</w:t>
            </w:r>
            <w:r w:rsidR="00A87C88" w:rsidRPr="00FB60E5">
              <w:t xml:space="preserve"> </w:t>
            </w:r>
            <w:r w:rsidRPr="00FB60E5">
              <w:t>.05</w:t>
            </w:r>
          </w:p>
        </w:tc>
      </w:tr>
      <w:tr w:rsidR="00072449" w:rsidRPr="00FB60E5" w14:paraId="38A4609C" w14:textId="77777777" w:rsidTr="0098587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791" w:type="dxa"/>
          </w:tcPr>
          <w:p w14:paraId="38A46096" w14:textId="77777777" w:rsidR="00072449" w:rsidRPr="00214785" w:rsidRDefault="00072449" w:rsidP="00985872">
            <w:pPr>
              <w:pStyle w:val="tabletext"/>
              <w:rPr>
                <w:b w:val="0"/>
              </w:rPr>
            </w:pPr>
            <w:r w:rsidRPr="00214785">
              <w:rPr>
                <w:b w:val="0"/>
              </w:rPr>
              <w:t>Legal Aid</w:t>
            </w:r>
          </w:p>
        </w:tc>
        <w:tc>
          <w:tcPr>
            <w:tcW w:w="1578" w:type="dxa"/>
          </w:tcPr>
          <w:p w14:paraId="38A46097"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29.1%</w:t>
            </w:r>
          </w:p>
        </w:tc>
        <w:tc>
          <w:tcPr>
            <w:tcW w:w="1559" w:type="dxa"/>
          </w:tcPr>
          <w:p w14:paraId="38A46098"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32.</w:t>
            </w:r>
            <w:r w:rsidR="00A40466" w:rsidRPr="00FB60E5">
              <w:t>2</w:t>
            </w:r>
            <w:r w:rsidRPr="00FB60E5">
              <w:t>%</w:t>
            </w:r>
          </w:p>
        </w:tc>
        <w:tc>
          <w:tcPr>
            <w:tcW w:w="1701" w:type="dxa"/>
          </w:tcPr>
          <w:p w14:paraId="38A46099"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21.6%</w:t>
            </w:r>
          </w:p>
        </w:tc>
        <w:tc>
          <w:tcPr>
            <w:tcW w:w="1559" w:type="dxa"/>
          </w:tcPr>
          <w:p w14:paraId="38A4609A"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37.</w:t>
            </w:r>
            <w:r w:rsidR="00A40466" w:rsidRPr="00FB60E5">
              <w:t>5</w:t>
            </w:r>
            <w:r w:rsidRPr="00FB60E5">
              <w:t>%</w:t>
            </w:r>
          </w:p>
        </w:tc>
        <w:tc>
          <w:tcPr>
            <w:tcW w:w="1054" w:type="dxa"/>
          </w:tcPr>
          <w:p w14:paraId="38A4609B" w14:textId="77777777" w:rsidR="00072449" w:rsidRPr="00FB60E5" w:rsidRDefault="00A40466" w:rsidP="00985872">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.001</w:t>
            </w:r>
          </w:p>
        </w:tc>
      </w:tr>
      <w:tr w:rsidR="00072449" w:rsidRPr="00FB60E5" w14:paraId="38A460A3" w14:textId="77777777" w:rsidTr="00985872">
        <w:trPr>
          <w:trHeight w:hRule="exact" w:val="567"/>
        </w:trPr>
        <w:tc>
          <w:tcPr>
            <w:cnfStyle w:val="001000000000" w:firstRow="0" w:lastRow="0" w:firstColumn="1" w:lastColumn="0" w:oddVBand="0" w:evenVBand="0" w:oddHBand="0" w:evenHBand="0" w:firstRowFirstColumn="0" w:firstRowLastColumn="0" w:lastRowFirstColumn="0" w:lastRowLastColumn="0"/>
            <w:tcW w:w="1791" w:type="dxa"/>
          </w:tcPr>
          <w:p w14:paraId="38A4609D" w14:textId="77777777" w:rsidR="00072449" w:rsidRPr="00214785" w:rsidRDefault="00072449" w:rsidP="00985872">
            <w:pPr>
              <w:pStyle w:val="tabletext"/>
              <w:rPr>
                <w:b w:val="0"/>
              </w:rPr>
            </w:pPr>
            <w:r w:rsidRPr="00214785">
              <w:rPr>
                <w:b w:val="0"/>
              </w:rPr>
              <w:t>Employment service</w:t>
            </w:r>
          </w:p>
        </w:tc>
        <w:tc>
          <w:tcPr>
            <w:tcW w:w="1578" w:type="dxa"/>
          </w:tcPr>
          <w:p w14:paraId="38A4609E"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40.8%</w:t>
            </w:r>
          </w:p>
        </w:tc>
        <w:tc>
          <w:tcPr>
            <w:tcW w:w="1559" w:type="dxa"/>
          </w:tcPr>
          <w:p w14:paraId="38A4609F"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42.</w:t>
            </w:r>
            <w:r w:rsidR="00E53FC1" w:rsidRPr="00FB60E5">
              <w:t>1</w:t>
            </w:r>
            <w:r w:rsidRPr="00FB60E5">
              <w:t>%</w:t>
            </w:r>
          </w:p>
        </w:tc>
        <w:tc>
          <w:tcPr>
            <w:tcW w:w="1701" w:type="dxa"/>
          </w:tcPr>
          <w:p w14:paraId="38A460A0"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39.4%</w:t>
            </w:r>
          </w:p>
        </w:tc>
        <w:tc>
          <w:tcPr>
            <w:tcW w:w="1559" w:type="dxa"/>
          </w:tcPr>
          <w:p w14:paraId="38A460A1"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41.</w:t>
            </w:r>
            <w:r w:rsidR="00E53FC1" w:rsidRPr="00FB60E5">
              <w:t>8</w:t>
            </w:r>
            <w:r w:rsidRPr="00FB60E5">
              <w:t>%</w:t>
            </w:r>
          </w:p>
        </w:tc>
        <w:tc>
          <w:tcPr>
            <w:tcW w:w="1054" w:type="dxa"/>
          </w:tcPr>
          <w:p w14:paraId="38A460A2"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.7</w:t>
            </w:r>
            <w:r w:rsidR="00E53FC1" w:rsidRPr="00FB60E5">
              <w:t>7</w:t>
            </w:r>
          </w:p>
        </w:tc>
      </w:tr>
      <w:tr w:rsidR="00072449" w:rsidRPr="00FB60E5" w14:paraId="38A460AA" w14:textId="77777777" w:rsidTr="0098587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791" w:type="dxa"/>
          </w:tcPr>
          <w:p w14:paraId="38A460A4" w14:textId="77777777" w:rsidR="00072449" w:rsidRPr="00214785" w:rsidRDefault="00072449" w:rsidP="00985872">
            <w:pPr>
              <w:pStyle w:val="tabletext"/>
              <w:rPr>
                <w:b w:val="0"/>
              </w:rPr>
            </w:pPr>
            <w:r w:rsidRPr="00214785">
              <w:rPr>
                <w:b w:val="0"/>
              </w:rPr>
              <w:t>Housing or Homelessness service</w:t>
            </w:r>
          </w:p>
        </w:tc>
        <w:tc>
          <w:tcPr>
            <w:tcW w:w="1578" w:type="dxa"/>
          </w:tcPr>
          <w:p w14:paraId="38A460A5"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19.8%</w:t>
            </w:r>
          </w:p>
        </w:tc>
        <w:tc>
          <w:tcPr>
            <w:tcW w:w="1559" w:type="dxa"/>
          </w:tcPr>
          <w:p w14:paraId="38A460A6"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26.</w:t>
            </w:r>
            <w:r w:rsidR="00E53FC1" w:rsidRPr="00FB60E5">
              <w:t>4</w:t>
            </w:r>
            <w:r w:rsidRPr="00FB60E5">
              <w:t>%</w:t>
            </w:r>
          </w:p>
        </w:tc>
        <w:tc>
          <w:tcPr>
            <w:tcW w:w="1701" w:type="dxa"/>
          </w:tcPr>
          <w:p w14:paraId="38A460A7"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17.3%</w:t>
            </w:r>
          </w:p>
        </w:tc>
        <w:tc>
          <w:tcPr>
            <w:tcW w:w="1559" w:type="dxa"/>
          </w:tcPr>
          <w:p w14:paraId="38A460A8"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17.</w:t>
            </w:r>
            <w:r w:rsidR="00E53FC1" w:rsidRPr="00FB60E5">
              <w:t>4</w:t>
            </w:r>
            <w:r w:rsidRPr="00FB60E5">
              <w:t>%</w:t>
            </w:r>
          </w:p>
        </w:tc>
        <w:tc>
          <w:tcPr>
            <w:tcW w:w="1054" w:type="dxa"/>
          </w:tcPr>
          <w:p w14:paraId="38A460A9"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&lt;</w:t>
            </w:r>
            <w:r w:rsidR="00A87C88" w:rsidRPr="00FB60E5">
              <w:t xml:space="preserve"> </w:t>
            </w:r>
            <w:r w:rsidRPr="00FB60E5">
              <w:t>.05</w:t>
            </w:r>
          </w:p>
        </w:tc>
      </w:tr>
    </w:tbl>
    <w:p w14:paraId="38A460AB" w14:textId="77777777" w:rsidR="00072449" w:rsidRPr="00FB60E5" w:rsidRDefault="00072449" w:rsidP="00985872">
      <w:pPr>
        <w:pStyle w:val="FootnoteText"/>
      </w:pPr>
      <w:r w:rsidRPr="00FB60E5">
        <w:t>*Amount of missing data differed between analyses presented in this table, thus ranges given for Ns</w:t>
      </w:r>
    </w:p>
    <w:p w14:paraId="38A460AD" w14:textId="77777777" w:rsidR="00072449" w:rsidRPr="00FB60E5" w:rsidRDefault="00072449" w:rsidP="00985872">
      <w:pPr>
        <w:pStyle w:val="Heading3"/>
      </w:pPr>
      <w:r w:rsidRPr="00FB60E5">
        <w:t>Contact with the criminal justice system</w:t>
      </w:r>
    </w:p>
    <w:p w14:paraId="38A460AE" w14:textId="4B5780F8" w:rsidR="00072449" w:rsidRPr="00FB60E5" w:rsidRDefault="00072449" w:rsidP="00FB60E5">
      <w:pPr>
        <w:ind w:left="0"/>
      </w:pPr>
      <w:r w:rsidRPr="00FB60E5">
        <w:t xml:space="preserve">Participants had a rate of engagement with the criminal justice system that is typically observed among this population, with 35% having either been imprisoned, in a community-based offender program, held in lock-up, or remanded in custody in the past year or currently on bail; awaiting charges, trial, or sentencing; on bond; on some type of court order; or on parole, suspended sentence, or probation; or facing a warrant. These problems were significantly more common in long-term residential participants than in outpatients or acute withdrawal participants (49% vs. 34% and 26% respectively). Specific indices of </w:t>
      </w:r>
      <w:r w:rsidRPr="00FB60E5">
        <w:lastRenderedPageBreak/>
        <w:t xml:space="preserve">involvement in the criminal justice system are shown in </w:t>
      </w:r>
      <w:r w:rsidR="001B3CBD">
        <w:fldChar w:fldCharType="begin"/>
      </w:r>
      <w:r w:rsidR="001B3CBD">
        <w:instrText xml:space="preserve"> REF _Ref531624175 \h </w:instrText>
      </w:r>
      <w:r w:rsidR="001B3CBD">
        <w:fldChar w:fldCharType="separate"/>
      </w:r>
      <w:r w:rsidR="001B3CBD">
        <w:t xml:space="preserve">Table </w:t>
      </w:r>
      <w:r w:rsidR="001B3CBD">
        <w:rPr>
          <w:noProof/>
        </w:rPr>
        <w:t>3</w:t>
      </w:r>
      <w:r w:rsidR="001B3CBD">
        <w:t>.</w:t>
      </w:r>
      <w:r w:rsidR="001B3CBD">
        <w:rPr>
          <w:noProof/>
        </w:rPr>
        <w:t>7</w:t>
      </w:r>
      <w:r w:rsidR="001B3CBD">
        <w:fldChar w:fldCharType="end"/>
      </w:r>
      <w:r w:rsidRPr="00FB60E5">
        <w:t>. Long-term residential participants had substantially higher rates of involvement for every one of these indices.</w:t>
      </w:r>
      <w:bookmarkStart w:id="141" w:name="_Toc386108211"/>
      <w:bookmarkStart w:id="142" w:name="_Toc387426359"/>
    </w:p>
    <w:p w14:paraId="38A460B0" w14:textId="47F0FC2E" w:rsidR="001C692B" w:rsidRPr="00FB60E5" w:rsidRDefault="00552239" w:rsidP="00552239">
      <w:pPr>
        <w:pStyle w:val="Caption"/>
      </w:pPr>
      <w:bookmarkStart w:id="143" w:name="_Ref531624175"/>
      <w:bookmarkStart w:id="144" w:name="_Toc531625783"/>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7</w:t>
      </w:r>
      <w:r>
        <w:fldChar w:fldCharType="end"/>
      </w:r>
      <w:bookmarkEnd w:id="143"/>
      <w:r w:rsidR="00072449" w:rsidRPr="00FB60E5">
        <w:t xml:space="preserve"> Contact with the justice system by index treatment type at baseline</w:t>
      </w:r>
      <w:bookmarkEnd w:id="141"/>
      <w:bookmarkEnd w:id="142"/>
      <w:bookmarkEnd w:id="144"/>
    </w:p>
    <w:tbl>
      <w:tblPr>
        <w:tblStyle w:val="LightList-Accent1"/>
        <w:tblW w:w="0" w:type="auto"/>
        <w:tblLayout w:type="fixed"/>
        <w:tblLook w:val="04A0" w:firstRow="1" w:lastRow="0" w:firstColumn="1" w:lastColumn="0" w:noHBand="0" w:noVBand="1"/>
        <w:tblCaption w:val="Table 3.7  Contact with the justice system by index treatment type at baseline "/>
        <w:tblDescription w:val="Table 3.7  Contact with the justice system by index treatment type at baseline "/>
      </w:tblPr>
      <w:tblGrid>
        <w:gridCol w:w="2376"/>
        <w:gridCol w:w="1560"/>
        <w:gridCol w:w="1417"/>
        <w:gridCol w:w="1418"/>
        <w:gridCol w:w="1559"/>
        <w:gridCol w:w="912"/>
      </w:tblGrid>
      <w:tr w:rsidR="00042B28" w:rsidRPr="00FB60E5" w14:paraId="38A460B7" w14:textId="77777777" w:rsidTr="0098587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14:paraId="38A460B1" w14:textId="77777777" w:rsidR="00072449" w:rsidRPr="00FB60E5" w:rsidRDefault="00072449" w:rsidP="00985872">
            <w:pPr>
              <w:pStyle w:val="tabletext"/>
            </w:pPr>
          </w:p>
        </w:tc>
        <w:tc>
          <w:tcPr>
            <w:tcW w:w="1560" w:type="dxa"/>
          </w:tcPr>
          <w:p w14:paraId="38A460B2"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Total sample (N = 775-793)</w:t>
            </w:r>
          </w:p>
        </w:tc>
        <w:tc>
          <w:tcPr>
            <w:tcW w:w="1417" w:type="dxa"/>
          </w:tcPr>
          <w:p w14:paraId="38A460B3"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Outpatient (n = 20</w:t>
            </w:r>
            <w:r w:rsidR="003B5EDA" w:rsidRPr="00FB60E5">
              <w:t>8</w:t>
            </w:r>
            <w:r w:rsidRPr="00FB60E5">
              <w:t>-21</w:t>
            </w:r>
            <w:r w:rsidR="003B5EDA" w:rsidRPr="00FB60E5">
              <w:t>3</w:t>
            </w:r>
            <w:r w:rsidRPr="00FB60E5">
              <w:t>)</w:t>
            </w:r>
          </w:p>
        </w:tc>
        <w:tc>
          <w:tcPr>
            <w:tcW w:w="1418" w:type="dxa"/>
          </w:tcPr>
          <w:p w14:paraId="38A460B4" w14:textId="77777777" w:rsidR="00072449" w:rsidRPr="00FB60E5" w:rsidRDefault="00072449" w:rsidP="00985872">
            <w:pPr>
              <w:pStyle w:val="tabletext"/>
              <w:cnfStyle w:val="100000000000" w:firstRow="1" w:lastRow="0" w:firstColumn="0" w:lastColumn="0" w:oddVBand="0" w:evenVBand="0" w:oddHBand="0" w:evenHBand="0" w:firstRowFirstColumn="0" w:firstRowLastColumn="0" w:lastRowFirstColumn="0" w:lastRowLastColumn="0"/>
            </w:pPr>
            <w:r w:rsidRPr="00FB60E5">
              <w:t>Acute withdrawal (n = 340-350)</w:t>
            </w:r>
          </w:p>
        </w:tc>
        <w:tc>
          <w:tcPr>
            <w:tcW w:w="1559" w:type="dxa"/>
          </w:tcPr>
          <w:p w14:paraId="38A460B5" w14:textId="77777777" w:rsidR="00072449" w:rsidRPr="00FB60E5" w:rsidRDefault="004516BD" w:rsidP="00985872">
            <w:pPr>
              <w:pStyle w:val="tabletext"/>
              <w:cnfStyle w:val="100000000000" w:firstRow="1" w:lastRow="0" w:firstColumn="0" w:lastColumn="0" w:oddVBand="0" w:evenVBand="0" w:oddHBand="0" w:evenHBand="0" w:firstRowFirstColumn="0" w:firstRowLastColumn="0" w:lastRowFirstColumn="0" w:lastRowLastColumn="0"/>
            </w:pPr>
            <w:r w:rsidRPr="00FB60E5">
              <w:t xml:space="preserve">Residential rehabilitation </w:t>
            </w:r>
            <w:r w:rsidR="00072449" w:rsidRPr="00FB60E5">
              <w:t>(n = 22</w:t>
            </w:r>
            <w:r w:rsidR="003B5EDA" w:rsidRPr="00FB60E5">
              <w:t>7</w:t>
            </w:r>
            <w:r w:rsidR="00072449" w:rsidRPr="00FB60E5">
              <w:t>-2</w:t>
            </w:r>
            <w:r w:rsidR="003B5EDA" w:rsidRPr="00FB60E5">
              <w:t>31</w:t>
            </w:r>
            <w:r w:rsidR="00072449" w:rsidRPr="00FB60E5">
              <w:t>)</w:t>
            </w:r>
          </w:p>
        </w:tc>
        <w:tc>
          <w:tcPr>
            <w:tcW w:w="912" w:type="dxa"/>
          </w:tcPr>
          <w:p w14:paraId="38A460B6" w14:textId="77777777" w:rsidR="00072449" w:rsidRPr="00FB60E5" w:rsidRDefault="002461FE" w:rsidP="00985872">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42B28" w:rsidRPr="00FB60E5" w14:paraId="38A460BE" w14:textId="77777777" w:rsidTr="00985872">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76" w:type="dxa"/>
          </w:tcPr>
          <w:p w14:paraId="38A460B8" w14:textId="77777777" w:rsidR="00072449" w:rsidRPr="00214785" w:rsidRDefault="00072449" w:rsidP="00985872">
            <w:pPr>
              <w:pStyle w:val="tabletext"/>
              <w:rPr>
                <w:b w:val="0"/>
              </w:rPr>
            </w:pPr>
            <w:r w:rsidRPr="00214785">
              <w:rPr>
                <w:b w:val="0"/>
              </w:rPr>
              <w:t>Prison in past year</w:t>
            </w:r>
          </w:p>
        </w:tc>
        <w:tc>
          <w:tcPr>
            <w:tcW w:w="1560" w:type="dxa"/>
          </w:tcPr>
          <w:p w14:paraId="38A460B9"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8.0%</w:t>
            </w:r>
          </w:p>
        </w:tc>
        <w:tc>
          <w:tcPr>
            <w:tcW w:w="1417" w:type="dxa"/>
          </w:tcPr>
          <w:p w14:paraId="38A460BA"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4.2%</w:t>
            </w:r>
          </w:p>
        </w:tc>
        <w:tc>
          <w:tcPr>
            <w:tcW w:w="1418" w:type="dxa"/>
          </w:tcPr>
          <w:p w14:paraId="38A460BB"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2.3%</w:t>
            </w:r>
          </w:p>
        </w:tc>
        <w:tc>
          <w:tcPr>
            <w:tcW w:w="1559" w:type="dxa"/>
          </w:tcPr>
          <w:p w14:paraId="38A460BC" w14:textId="77777777" w:rsidR="00072449" w:rsidRPr="00FB60E5" w:rsidRDefault="00DB763C" w:rsidP="00985872">
            <w:pPr>
              <w:pStyle w:val="tabletext"/>
              <w:cnfStyle w:val="000000100000" w:firstRow="0" w:lastRow="0" w:firstColumn="0" w:lastColumn="0" w:oddVBand="0" w:evenVBand="0" w:oddHBand="1" w:evenHBand="0" w:firstRowFirstColumn="0" w:firstRowLastColumn="0" w:lastRowFirstColumn="0" w:lastRowLastColumn="0"/>
            </w:pPr>
            <w:r w:rsidRPr="00FB60E5">
              <w:t>19.9</w:t>
            </w:r>
            <w:r w:rsidR="00072449" w:rsidRPr="00FB60E5">
              <w:t>%</w:t>
            </w:r>
          </w:p>
        </w:tc>
        <w:tc>
          <w:tcPr>
            <w:tcW w:w="912" w:type="dxa"/>
          </w:tcPr>
          <w:p w14:paraId="38A460BD" w14:textId="77777777" w:rsidR="00072449" w:rsidRPr="00FB60E5" w:rsidRDefault="00042B28" w:rsidP="00985872">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.001</w:t>
            </w:r>
          </w:p>
        </w:tc>
      </w:tr>
      <w:tr w:rsidR="00042B28" w:rsidRPr="00FB60E5" w14:paraId="38A460C5" w14:textId="77777777" w:rsidTr="00985872">
        <w:trPr>
          <w:trHeight w:hRule="exact" w:val="851"/>
        </w:trPr>
        <w:tc>
          <w:tcPr>
            <w:cnfStyle w:val="001000000000" w:firstRow="0" w:lastRow="0" w:firstColumn="1" w:lastColumn="0" w:oddVBand="0" w:evenVBand="0" w:oddHBand="0" w:evenHBand="0" w:firstRowFirstColumn="0" w:firstRowLastColumn="0" w:lastRowFirstColumn="0" w:lastRowLastColumn="0"/>
            <w:tcW w:w="2376" w:type="dxa"/>
          </w:tcPr>
          <w:p w14:paraId="38A460BF" w14:textId="77777777" w:rsidR="00072449" w:rsidRPr="00214785" w:rsidRDefault="00072449" w:rsidP="00985872">
            <w:pPr>
              <w:pStyle w:val="tabletext"/>
              <w:rPr>
                <w:b w:val="0"/>
              </w:rPr>
            </w:pPr>
            <w:r w:rsidRPr="00214785">
              <w:rPr>
                <w:b w:val="0"/>
              </w:rPr>
              <w:t>Community-based offender program in past year</w:t>
            </w:r>
          </w:p>
        </w:tc>
        <w:tc>
          <w:tcPr>
            <w:tcW w:w="1560" w:type="dxa"/>
          </w:tcPr>
          <w:p w14:paraId="38A460C0"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11.0%</w:t>
            </w:r>
          </w:p>
        </w:tc>
        <w:tc>
          <w:tcPr>
            <w:tcW w:w="1417" w:type="dxa"/>
          </w:tcPr>
          <w:p w14:paraId="38A460C1"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1</w:t>
            </w:r>
            <w:r w:rsidR="00DB763C" w:rsidRPr="00FB60E5">
              <w:t>1</w:t>
            </w:r>
            <w:r w:rsidRPr="00FB60E5">
              <w:t>.</w:t>
            </w:r>
            <w:r w:rsidR="00DB763C" w:rsidRPr="00FB60E5">
              <w:t>8</w:t>
            </w:r>
            <w:r w:rsidRPr="00FB60E5">
              <w:t>%</w:t>
            </w:r>
          </w:p>
        </w:tc>
        <w:tc>
          <w:tcPr>
            <w:tcW w:w="1418" w:type="dxa"/>
          </w:tcPr>
          <w:p w14:paraId="38A460C2"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5.8%</w:t>
            </w:r>
          </w:p>
        </w:tc>
        <w:tc>
          <w:tcPr>
            <w:tcW w:w="1559" w:type="dxa"/>
          </w:tcPr>
          <w:p w14:paraId="38A460C3"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17.</w:t>
            </w:r>
            <w:r w:rsidR="00DB763C" w:rsidRPr="00FB60E5">
              <w:t>8</w:t>
            </w:r>
            <w:r w:rsidRPr="00FB60E5">
              <w:t>%</w:t>
            </w:r>
          </w:p>
        </w:tc>
        <w:tc>
          <w:tcPr>
            <w:tcW w:w="912" w:type="dxa"/>
          </w:tcPr>
          <w:p w14:paraId="38A460C4" w14:textId="77777777" w:rsidR="00072449" w:rsidRPr="00FB60E5" w:rsidRDefault="00042B28" w:rsidP="00985872">
            <w:pPr>
              <w:pStyle w:val="tabletext"/>
              <w:cnfStyle w:val="000000000000" w:firstRow="0" w:lastRow="0" w:firstColumn="0" w:lastColumn="0" w:oddVBand="0" w:evenVBand="0" w:oddHBand="0" w:evenHBand="0" w:firstRowFirstColumn="0" w:firstRowLastColumn="0" w:lastRowFirstColumn="0" w:lastRowLastColumn="0"/>
            </w:pPr>
            <w:r w:rsidRPr="00FB60E5">
              <w:t xml:space="preserve">&lt; </w:t>
            </w:r>
            <w:r w:rsidR="00072449" w:rsidRPr="00FB60E5">
              <w:t>.001</w:t>
            </w:r>
          </w:p>
        </w:tc>
      </w:tr>
      <w:tr w:rsidR="00042B28" w:rsidRPr="00FB60E5" w14:paraId="38A460CC" w14:textId="77777777" w:rsidTr="00985872">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2376" w:type="dxa"/>
          </w:tcPr>
          <w:p w14:paraId="38A460C6" w14:textId="77777777" w:rsidR="00072449" w:rsidRPr="00214785" w:rsidRDefault="00072449" w:rsidP="00985872">
            <w:pPr>
              <w:pStyle w:val="tabletext"/>
              <w:rPr>
                <w:b w:val="0"/>
              </w:rPr>
            </w:pPr>
            <w:r w:rsidRPr="00214785">
              <w:rPr>
                <w:b w:val="0"/>
              </w:rPr>
              <w:t>Held in lock-up or watch-house in past year</w:t>
            </w:r>
          </w:p>
        </w:tc>
        <w:tc>
          <w:tcPr>
            <w:tcW w:w="1560" w:type="dxa"/>
          </w:tcPr>
          <w:p w14:paraId="38A460C7"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14.3%</w:t>
            </w:r>
          </w:p>
        </w:tc>
        <w:tc>
          <w:tcPr>
            <w:tcW w:w="1417" w:type="dxa"/>
          </w:tcPr>
          <w:p w14:paraId="38A460C8"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6.7%</w:t>
            </w:r>
          </w:p>
        </w:tc>
        <w:tc>
          <w:tcPr>
            <w:tcW w:w="1418" w:type="dxa"/>
          </w:tcPr>
          <w:p w14:paraId="38A460C9"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9.4%</w:t>
            </w:r>
          </w:p>
        </w:tc>
        <w:tc>
          <w:tcPr>
            <w:tcW w:w="1559" w:type="dxa"/>
          </w:tcPr>
          <w:p w14:paraId="38A460CA"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28.</w:t>
            </w:r>
            <w:r w:rsidR="003B5EDA" w:rsidRPr="00FB60E5">
              <w:t>6</w:t>
            </w:r>
            <w:r w:rsidRPr="00FB60E5">
              <w:t>%</w:t>
            </w:r>
          </w:p>
        </w:tc>
        <w:tc>
          <w:tcPr>
            <w:tcW w:w="912" w:type="dxa"/>
          </w:tcPr>
          <w:p w14:paraId="38A460CB" w14:textId="77777777" w:rsidR="00072449" w:rsidRPr="00FB60E5" w:rsidRDefault="00042B28" w:rsidP="00985872">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.001</w:t>
            </w:r>
          </w:p>
        </w:tc>
      </w:tr>
      <w:tr w:rsidR="00042B28" w:rsidRPr="00FB60E5" w14:paraId="38A460D3" w14:textId="77777777" w:rsidTr="00985872">
        <w:trPr>
          <w:trHeight w:hRule="exact" w:val="567"/>
        </w:trPr>
        <w:tc>
          <w:tcPr>
            <w:cnfStyle w:val="001000000000" w:firstRow="0" w:lastRow="0" w:firstColumn="1" w:lastColumn="0" w:oddVBand="0" w:evenVBand="0" w:oddHBand="0" w:evenHBand="0" w:firstRowFirstColumn="0" w:firstRowLastColumn="0" w:lastRowFirstColumn="0" w:lastRowLastColumn="0"/>
            <w:tcW w:w="2376" w:type="dxa"/>
          </w:tcPr>
          <w:p w14:paraId="38A460CD" w14:textId="77777777" w:rsidR="00072449" w:rsidRPr="00214785" w:rsidRDefault="00072449" w:rsidP="00985872">
            <w:pPr>
              <w:pStyle w:val="tabletext"/>
              <w:rPr>
                <w:b w:val="0"/>
              </w:rPr>
            </w:pPr>
            <w:r w:rsidRPr="00214785">
              <w:rPr>
                <w:b w:val="0"/>
              </w:rPr>
              <w:t>Remanded in custody in past year</w:t>
            </w:r>
          </w:p>
        </w:tc>
        <w:tc>
          <w:tcPr>
            <w:tcW w:w="1560" w:type="dxa"/>
          </w:tcPr>
          <w:p w14:paraId="38A460CE"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8.5%</w:t>
            </w:r>
          </w:p>
        </w:tc>
        <w:tc>
          <w:tcPr>
            <w:tcW w:w="1417" w:type="dxa"/>
          </w:tcPr>
          <w:p w14:paraId="38A460CF"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3.8%</w:t>
            </w:r>
          </w:p>
        </w:tc>
        <w:tc>
          <w:tcPr>
            <w:tcW w:w="1418" w:type="dxa"/>
          </w:tcPr>
          <w:p w14:paraId="38A460D0"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4.4%</w:t>
            </w:r>
          </w:p>
        </w:tc>
        <w:tc>
          <w:tcPr>
            <w:tcW w:w="1559" w:type="dxa"/>
          </w:tcPr>
          <w:p w14:paraId="38A460D1" w14:textId="77777777" w:rsidR="00072449" w:rsidRPr="00FB60E5" w:rsidRDefault="00072449" w:rsidP="00985872">
            <w:pPr>
              <w:pStyle w:val="tabletext"/>
              <w:cnfStyle w:val="000000000000" w:firstRow="0" w:lastRow="0" w:firstColumn="0" w:lastColumn="0" w:oddVBand="0" w:evenVBand="0" w:oddHBand="0" w:evenHBand="0" w:firstRowFirstColumn="0" w:firstRowLastColumn="0" w:lastRowFirstColumn="0" w:lastRowLastColumn="0"/>
            </w:pPr>
            <w:r w:rsidRPr="00FB60E5">
              <w:t>1</w:t>
            </w:r>
            <w:r w:rsidR="003B5EDA" w:rsidRPr="00FB60E5">
              <w:t>8</w:t>
            </w:r>
            <w:r w:rsidRPr="00FB60E5">
              <w:t>.</w:t>
            </w:r>
            <w:r w:rsidR="003B5EDA" w:rsidRPr="00FB60E5">
              <w:t>9</w:t>
            </w:r>
            <w:r w:rsidRPr="00FB60E5">
              <w:t>%</w:t>
            </w:r>
          </w:p>
        </w:tc>
        <w:tc>
          <w:tcPr>
            <w:tcW w:w="912" w:type="dxa"/>
          </w:tcPr>
          <w:p w14:paraId="38A460D2" w14:textId="77777777" w:rsidR="00072449" w:rsidRPr="00FB60E5" w:rsidRDefault="00042B28" w:rsidP="00985872">
            <w:pPr>
              <w:pStyle w:val="tabletext"/>
              <w:cnfStyle w:val="000000000000" w:firstRow="0" w:lastRow="0" w:firstColumn="0" w:lastColumn="0" w:oddVBand="0" w:evenVBand="0" w:oddHBand="0" w:evenHBand="0" w:firstRowFirstColumn="0" w:firstRowLastColumn="0" w:lastRowFirstColumn="0" w:lastRowLastColumn="0"/>
            </w:pPr>
            <w:r w:rsidRPr="00FB60E5">
              <w:t xml:space="preserve">&lt; </w:t>
            </w:r>
            <w:r w:rsidR="00072449" w:rsidRPr="00FB60E5">
              <w:t>.001</w:t>
            </w:r>
          </w:p>
        </w:tc>
      </w:tr>
      <w:tr w:rsidR="00042B28" w:rsidRPr="00FB60E5" w14:paraId="38A460DA" w14:textId="77777777" w:rsidTr="0098587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376" w:type="dxa"/>
          </w:tcPr>
          <w:p w14:paraId="38A460D4" w14:textId="77777777" w:rsidR="00072449" w:rsidRPr="00214785" w:rsidRDefault="00072449" w:rsidP="00985872">
            <w:pPr>
              <w:pStyle w:val="tabletext"/>
              <w:rPr>
                <w:b w:val="0"/>
              </w:rPr>
            </w:pPr>
            <w:r w:rsidRPr="00214785">
              <w:rPr>
                <w:b w:val="0"/>
              </w:rPr>
              <w:t>Current legal problems**</w:t>
            </w:r>
          </w:p>
        </w:tc>
        <w:tc>
          <w:tcPr>
            <w:tcW w:w="1560" w:type="dxa"/>
          </w:tcPr>
          <w:p w14:paraId="38A460D5"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29.9%</w:t>
            </w:r>
          </w:p>
        </w:tc>
        <w:tc>
          <w:tcPr>
            <w:tcW w:w="1417" w:type="dxa"/>
          </w:tcPr>
          <w:p w14:paraId="38A460D6"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29.</w:t>
            </w:r>
            <w:r w:rsidR="003B5EDA" w:rsidRPr="00FB60E5">
              <w:t>1</w:t>
            </w:r>
            <w:r w:rsidRPr="00FB60E5">
              <w:t>%</w:t>
            </w:r>
          </w:p>
        </w:tc>
        <w:tc>
          <w:tcPr>
            <w:tcW w:w="1418" w:type="dxa"/>
          </w:tcPr>
          <w:p w14:paraId="38A460D7"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23.1%</w:t>
            </w:r>
          </w:p>
        </w:tc>
        <w:tc>
          <w:tcPr>
            <w:tcW w:w="1559" w:type="dxa"/>
          </w:tcPr>
          <w:p w14:paraId="38A460D8" w14:textId="77777777" w:rsidR="00072449" w:rsidRPr="00FB60E5" w:rsidRDefault="00072449" w:rsidP="00985872">
            <w:pPr>
              <w:pStyle w:val="tabletext"/>
              <w:cnfStyle w:val="000000100000" w:firstRow="0" w:lastRow="0" w:firstColumn="0" w:lastColumn="0" w:oddVBand="0" w:evenVBand="0" w:oddHBand="1" w:evenHBand="0" w:firstRowFirstColumn="0" w:firstRowLastColumn="0" w:lastRowFirstColumn="0" w:lastRowLastColumn="0"/>
            </w:pPr>
            <w:r w:rsidRPr="00FB60E5">
              <w:t>40.</w:t>
            </w:r>
            <w:r w:rsidR="003B5EDA" w:rsidRPr="00FB60E5">
              <w:t>9</w:t>
            </w:r>
            <w:r w:rsidRPr="00FB60E5">
              <w:t>%</w:t>
            </w:r>
          </w:p>
        </w:tc>
        <w:tc>
          <w:tcPr>
            <w:tcW w:w="912" w:type="dxa"/>
          </w:tcPr>
          <w:p w14:paraId="38A460D9" w14:textId="77777777" w:rsidR="00072449" w:rsidRPr="00FB60E5" w:rsidRDefault="00042B28" w:rsidP="00985872">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.001</w:t>
            </w:r>
          </w:p>
        </w:tc>
      </w:tr>
    </w:tbl>
    <w:p w14:paraId="38A460DB" w14:textId="77777777" w:rsidR="00072449" w:rsidRPr="00FB60E5" w:rsidRDefault="00072449" w:rsidP="00985872">
      <w:pPr>
        <w:pStyle w:val="FootnoteText"/>
      </w:pPr>
      <w:r w:rsidRPr="00FB60E5">
        <w:t>*Amount of missing data differed between analyses presented in this table, thus ranges given for Ns</w:t>
      </w:r>
    </w:p>
    <w:p w14:paraId="38A460DC" w14:textId="77777777" w:rsidR="00072449" w:rsidRPr="00FB60E5" w:rsidRDefault="00072449" w:rsidP="00985872">
      <w:pPr>
        <w:pStyle w:val="FootnoteText"/>
      </w:pPr>
      <w:r w:rsidRPr="00FB60E5">
        <w:t>** Currently on bail; awaiting charges, trial, or sentencing; warrant; bond; court order; parole; suspended sentence; or probation.</w:t>
      </w:r>
    </w:p>
    <w:p w14:paraId="38A460DE" w14:textId="7317A2F5" w:rsidR="00072449" w:rsidRPr="00FB60E5" w:rsidRDefault="001B3CBD" w:rsidP="00FB60E5">
      <w:pPr>
        <w:ind w:left="0"/>
      </w:pPr>
      <w:r>
        <w:fldChar w:fldCharType="begin"/>
      </w:r>
      <w:r>
        <w:instrText xml:space="preserve"> REF _Ref531624175 \h </w:instrText>
      </w:r>
      <w:r>
        <w:fldChar w:fldCharType="separate"/>
      </w:r>
      <w:r>
        <w:t xml:space="preserve">Table </w:t>
      </w:r>
      <w:r>
        <w:rPr>
          <w:noProof/>
        </w:rPr>
        <w:t>3</w:t>
      </w:r>
      <w:r>
        <w:t>.</w:t>
      </w:r>
      <w:r>
        <w:rPr>
          <w:noProof/>
        </w:rPr>
        <w:t>7</w:t>
      </w:r>
      <w:r>
        <w:fldChar w:fldCharType="end"/>
      </w:r>
      <w:r w:rsidR="00072449" w:rsidRPr="00FB60E5">
        <w:t xml:space="preserve"> indicates that </w:t>
      </w:r>
      <w:r w:rsidR="006D29AE" w:rsidRPr="00FB60E5">
        <w:t>participant</w:t>
      </w:r>
      <w:r w:rsidR="00072449" w:rsidRPr="00FB60E5">
        <w:t xml:space="preserve">s with involvement in the criminal justice system (CJS) were significantly more likely to have residential rehabilitation as their PIT than other treatment types. These </w:t>
      </w:r>
      <w:r w:rsidR="006D29AE" w:rsidRPr="00FB60E5">
        <w:t>participants</w:t>
      </w:r>
      <w:r w:rsidR="00072449" w:rsidRPr="00FB60E5">
        <w:t xml:space="preserve"> also appeared to have more entrenched problems and greater marginalisation: Those with current or past year criminal justice system involvement were less likely to be in a stable relationship (p &lt; .01), to have completed year 12 and/or TAFE and/or an apprenticeship (p &lt; .001) or be employed in the previous 90 days (p &lt; .001), and were significantly more likely to have been homeless (p &lt; .01). They were also significantly more likely to have meth</w:t>
      </w:r>
      <w:r w:rsidR="00E977AF" w:rsidRPr="00FB60E5">
        <w:t>/</w:t>
      </w:r>
      <w:r w:rsidR="00072449" w:rsidRPr="00FB60E5">
        <w:t xml:space="preserve">amphetamine as their </w:t>
      </w:r>
      <w:r w:rsidR="00EE7A8F" w:rsidRPr="00FB60E5">
        <w:t>PDOC</w:t>
      </w:r>
      <w:r w:rsidR="00072449" w:rsidRPr="00FB60E5">
        <w:t xml:space="preserve">, and less likely to have alcohol as their </w:t>
      </w:r>
      <w:r w:rsidR="00EE7A8F" w:rsidRPr="00FB60E5">
        <w:t>PDOC</w:t>
      </w:r>
      <w:r w:rsidR="00072449" w:rsidRPr="00FB60E5">
        <w:t>, than those with no current or past year criminal justice system involvement (p &lt; .001).</w:t>
      </w:r>
    </w:p>
    <w:p w14:paraId="38A460E1" w14:textId="27641461" w:rsidR="00072449" w:rsidRPr="00FB60E5" w:rsidRDefault="00072449" w:rsidP="00882917">
      <w:pPr>
        <w:pStyle w:val="Heading2"/>
        <w:numPr>
          <w:ilvl w:val="1"/>
          <w:numId w:val="9"/>
        </w:numPr>
      </w:pPr>
      <w:bookmarkStart w:id="145" w:name="_Toc398105046"/>
      <w:bookmarkStart w:id="146" w:name="_Toc531696248"/>
      <w:r w:rsidRPr="00FB60E5">
        <w:t>Follow-up</w:t>
      </w:r>
      <w:bookmarkEnd w:id="145"/>
      <w:bookmarkEnd w:id="146"/>
    </w:p>
    <w:p w14:paraId="38A460E2" w14:textId="56C5327A" w:rsidR="00072449" w:rsidRPr="00BC03BF" w:rsidRDefault="00985872" w:rsidP="00BC03BF">
      <w:pPr>
        <w:pStyle w:val="Heading3"/>
      </w:pPr>
      <w:r w:rsidRPr="00BC03BF">
        <w:t>Overview</w:t>
      </w:r>
    </w:p>
    <w:p w14:paraId="38A460E3" w14:textId="77777777" w:rsidR="00072449" w:rsidRPr="00FB60E5" w:rsidRDefault="00072449" w:rsidP="00FB60E5">
      <w:pPr>
        <w:ind w:left="0"/>
      </w:pPr>
      <w:r w:rsidRPr="00FB60E5">
        <w:t xml:space="preserve">The outcomes for 73% (585/796) of the sample were ascertained, with 555 (70%) of participants successfully re-interviewed, 11 deceased and 19 incarcerated. Sixty-six participants (8%) withdrew from the study and 145 (18%) could not be contacted and were lost to follow-up. The participants who completed follow-up interviews were compared to those who did not on several baseline demographic, substance use, and treatment variables to detect potential sources of bias in follow-up data. Follow-up completers did not differ significantly from non-completers in gender, marital status, whether or not they were born in Australia, having English as a first language or not, completion of either year 12 and/or TAFE and/or an apprenticeship, usual employment pattern in the past 12 months, current receipt of government benefits, SDS score for their </w:t>
      </w:r>
      <w:r w:rsidR="00EE7A8F" w:rsidRPr="00FB60E5">
        <w:t>PDOC</w:t>
      </w:r>
      <w:r w:rsidRPr="00FB60E5">
        <w:t xml:space="preserve">, overall </w:t>
      </w:r>
      <w:r w:rsidR="00EE7A8F" w:rsidRPr="00FB60E5">
        <w:t>QOL</w:t>
      </w:r>
      <w:r w:rsidRPr="00FB60E5">
        <w:t xml:space="preserve">, overall health satisfaction, physical </w:t>
      </w:r>
      <w:r w:rsidR="00EE7A8F" w:rsidRPr="00FB60E5">
        <w:t>QOL</w:t>
      </w:r>
      <w:r w:rsidRPr="00FB60E5">
        <w:t xml:space="preserve">, psychological </w:t>
      </w:r>
      <w:r w:rsidR="00EE7A8F" w:rsidRPr="00FB60E5">
        <w:t>QOL</w:t>
      </w:r>
      <w:r w:rsidRPr="00FB60E5">
        <w:t xml:space="preserve">, social </w:t>
      </w:r>
      <w:r w:rsidR="00EE7A8F" w:rsidRPr="00FB60E5">
        <w:t>QOL</w:t>
      </w:r>
      <w:r w:rsidRPr="00FB60E5">
        <w:t xml:space="preserve">, or environmental </w:t>
      </w:r>
      <w:r w:rsidR="00EE7A8F" w:rsidRPr="00FB60E5">
        <w:t>QOL</w:t>
      </w:r>
      <w:r w:rsidRPr="00FB60E5">
        <w:t xml:space="preserve"> ratings, nor current receipt of government benefits (all </w:t>
      </w:r>
      <w:proofErr w:type="spellStart"/>
      <w:r w:rsidRPr="00FB60E5">
        <w:t>p</w:t>
      </w:r>
      <w:r w:rsidR="007B41BB" w:rsidRPr="00FB60E5">
        <w:t>s</w:t>
      </w:r>
      <w:proofErr w:type="spellEnd"/>
      <w:r w:rsidRPr="00FB60E5">
        <w:t xml:space="preserve"> &gt;. 05).</w:t>
      </w:r>
    </w:p>
    <w:p w14:paraId="38A460E4" w14:textId="77777777" w:rsidR="00072449" w:rsidRPr="00FB60E5" w:rsidRDefault="00072449" w:rsidP="00FB60E5">
      <w:pPr>
        <w:ind w:left="0"/>
      </w:pPr>
      <w:r w:rsidRPr="00FB60E5">
        <w:t xml:space="preserve">Those who completed a follow-up interview were significantly older at baseline than non-completers (p &lt; .001). Participants from Western Australia were significantly less likely to complete the follow-up interview than participants from Victoria (64% vs. 75%, p &lt;. 001) </w:t>
      </w:r>
      <w:r w:rsidRPr="00FB60E5">
        <w:lastRenderedPageBreak/>
        <w:t xml:space="preserve">and those who had experienced homelessness in the 90 days prior to baseline were less likely to complete the follow-up interview than those who did not (61% vs. 73%; p &lt; .01). Participants who reported suffering a chronic medical condition at baseline were more likely to be followed up than those who did not (73% vs. 67%; p &lt; .05). Participants who were involved in the criminal justice system at baseline were also significantly less likely to complete the follow-up interview than those with no criminal justice system involvement (60% vs. 74%, p &lt; .001). Participants whose PIT was outpatient treatment were most likely to complete the follow-up interview, while those in </w:t>
      </w:r>
      <w:r w:rsidR="00225DFE" w:rsidRPr="00FB60E5">
        <w:t>long-term</w:t>
      </w:r>
      <w:r w:rsidRPr="00FB60E5">
        <w:t xml:space="preserve"> residential treatment were least likely (outpatient: 82%, acute withdrawal: 69%, long-term residential: </w:t>
      </w:r>
      <w:r w:rsidR="007B41BB" w:rsidRPr="00FB60E5">
        <w:t>59</w:t>
      </w:r>
      <w:r w:rsidRPr="00FB60E5">
        <w:t>%; p &lt; .001). Having meth</w:t>
      </w:r>
      <w:r w:rsidR="00E977AF" w:rsidRPr="00FB60E5">
        <w:t>/</w:t>
      </w:r>
      <w:r w:rsidRPr="00FB60E5">
        <w:t xml:space="preserve">amphetamine as the </w:t>
      </w:r>
      <w:r w:rsidR="00EE7A8F" w:rsidRPr="00FB60E5">
        <w:t>PDOC</w:t>
      </w:r>
      <w:r w:rsidRPr="00FB60E5">
        <w:t xml:space="preserve"> was associated with a significantly lower likelihood of completing the follow-up interview than other </w:t>
      </w:r>
      <w:r w:rsidR="00EE7A8F" w:rsidRPr="00FB60E5">
        <w:t>PDOC</w:t>
      </w:r>
      <w:r w:rsidRPr="00FB60E5">
        <w:t xml:space="preserve"> categories (alcohol: 73%, cannabis: 73%, opioids: 73%, meth</w:t>
      </w:r>
      <w:r w:rsidR="00E977AF" w:rsidRPr="00FB60E5">
        <w:t>/</w:t>
      </w:r>
      <w:r w:rsidRPr="00FB60E5">
        <w:t>amphetamine: 59%, other: 64%; p &lt; .0</w:t>
      </w:r>
      <w:r w:rsidR="00F958C0" w:rsidRPr="00FB60E5">
        <w:t>1</w:t>
      </w:r>
      <w:r w:rsidRPr="00FB60E5">
        <w:t>).</w:t>
      </w:r>
    </w:p>
    <w:p w14:paraId="38A460E5" w14:textId="77777777" w:rsidR="00072449" w:rsidRPr="00FB60E5" w:rsidRDefault="00072449" w:rsidP="00FB60E5">
      <w:pPr>
        <w:ind w:left="0"/>
      </w:pPr>
      <w:r w:rsidRPr="00FB60E5">
        <w:t>The time between baseline and follow-up interviews ranged from 232 to 644 days (mean = 380.3, SD = 71.8). This follow-up interval differed significantly between PIT types (p &lt; .001). Outpatient participants’ mean follow-up interval (</w:t>
      </w:r>
      <w:r w:rsidR="00F958C0" w:rsidRPr="00FB60E5">
        <w:t>400.2</w:t>
      </w:r>
      <w:r w:rsidRPr="00FB60E5">
        <w:t xml:space="preserve"> days) was significantly longer than the follow-up intervals for those whose PIT was acute withdrawal (375.2 days) or long-term residential treatment (36</w:t>
      </w:r>
      <w:r w:rsidR="00F958C0" w:rsidRPr="00FB60E5">
        <w:t>3</w:t>
      </w:r>
      <w:r w:rsidRPr="00FB60E5">
        <w:t>.</w:t>
      </w:r>
      <w:r w:rsidR="00F958C0" w:rsidRPr="00FB60E5">
        <w:t>9</w:t>
      </w:r>
      <w:r w:rsidRPr="00FB60E5">
        <w:t xml:space="preserve"> days).</w:t>
      </w:r>
    </w:p>
    <w:p w14:paraId="38A460E6" w14:textId="77777777" w:rsidR="00072449" w:rsidRPr="00FB60E5" w:rsidRDefault="00072449" w:rsidP="00FB60E5">
      <w:pPr>
        <w:ind w:left="0"/>
      </w:pPr>
      <w:r w:rsidRPr="00FB60E5">
        <w:t>PIT completed: 36</w:t>
      </w:r>
      <w:r w:rsidR="00BE3D5D" w:rsidRPr="00FB60E5">
        <w:t>4</w:t>
      </w:r>
      <w:r w:rsidRPr="00FB60E5">
        <w:t xml:space="preserve">/553 (66%) reported completing their PIT and 33 (6%; 28 outpatients, 5 </w:t>
      </w:r>
      <w:r w:rsidR="00225DFE" w:rsidRPr="00FB60E5">
        <w:t>long-term</w:t>
      </w:r>
      <w:r w:rsidRPr="00FB60E5">
        <w:t xml:space="preserve"> rehabilitation participants) were still in the same programme as when recruited. </w:t>
      </w:r>
      <w:r w:rsidR="00BE3D5D" w:rsidRPr="00FB60E5">
        <w:t>The proportion of participants who had either completed their PIT or were still engaged in it</w:t>
      </w:r>
      <w:r w:rsidRPr="00FB60E5">
        <w:t xml:space="preserve"> w</w:t>
      </w:r>
      <w:r w:rsidR="00BE3D5D" w:rsidRPr="00FB60E5">
        <w:t>as</w:t>
      </w:r>
      <w:r w:rsidRPr="00FB60E5">
        <w:t xml:space="preserve"> significantly higher for acute withdrawal (86%), followed by </w:t>
      </w:r>
      <w:r w:rsidR="00225DFE" w:rsidRPr="00FB60E5">
        <w:t>long-term</w:t>
      </w:r>
      <w:r w:rsidRPr="00FB60E5">
        <w:t xml:space="preserve"> residential rehabilitation (6</w:t>
      </w:r>
      <w:r w:rsidR="00885902" w:rsidRPr="00FB60E5">
        <w:t>4</w:t>
      </w:r>
      <w:r w:rsidRPr="00FB60E5">
        <w:t>%) and lowest among outpatient participants, (59%), p</w:t>
      </w:r>
      <w:r w:rsidR="00F958C0" w:rsidRPr="00FB60E5">
        <w:t xml:space="preserve"> </w:t>
      </w:r>
      <w:r w:rsidRPr="00FB60E5">
        <w:t>&lt;</w:t>
      </w:r>
      <w:r w:rsidR="00F958C0" w:rsidRPr="00FB60E5">
        <w:t xml:space="preserve"> </w:t>
      </w:r>
      <w:r w:rsidRPr="00FB60E5">
        <w:t>.001.</w:t>
      </w:r>
    </w:p>
    <w:p w14:paraId="38A460E7" w14:textId="77777777" w:rsidR="00072449" w:rsidRPr="00FB60E5" w:rsidRDefault="00072449" w:rsidP="00FB60E5">
      <w:pPr>
        <w:ind w:left="0"/>
      </w:pPr>
      <w:r w:rsidRPr="00FB60E5">
        <w:t>Treatment satisfaction: Those who were no longer in their PIT (completed or ceased before completion; N = 513) were asked “Did you feel you successfully achieved what you wanted from treatment?</w:t>
      </w:r>
      <w:r w:rsidR="00885902" w:rsidRPr="00FB60E5">
        <w:t>”</w:t>
      </w:r>
      <w:r w:rsidRPr="00FB60E5">
        <w:t xml:space="preserve"> Positive endorsement of this item was significantly higher among acute withdrawal </w:t>
      </w:r>
      <w:r w:rsidR="006D29AE" w:rsidRPr="00FB60E5">
        <w:t>participant</w:t>
      </w:r>
      <w:r w:rsidRPr="00FB60E5">
        <w:t xml:space="preserve">s (77%) and </w:t>
      </w:r>
      <w:r w:rsidR="00225DFE" w:rsidRPr="00FB60E5">
        <w:t>long-term</w:t>
      </w:r>
      <w:r w:rsidRPr="00FB60E5">
        <w:t xml:space="preserve"> residential participants (70%) relative to outpatients (</w:t>
      </w:r>
      <w:r w:rsidR="004B0D23" w:rsidRPr="00FB60E5">
        <w:t>62</w:t>
      </w:r>
      <w:r w:rsidRPr="00FB60E5">
        <w:t xml:space="preserve">%) </w:t>
      </w:r>
      <w:r w:rsidR="004B0D23" w:rsidRPr="00FB60E5">
        <w:t>(</w:t>
      </w:r>
      <w:proofErr w:type="gramStart"/>
      <w:r w:rsidRPr="00FB60E5">
        <w:t>p</w:t>
      </w:r>
      <w:proofErr w:type="gramEnd"/>
      <w:r w:rsidRPr="00FB60E5">
        <w:t xml:space="preserve"> &lt; .01</w:t>
      </w:r>
      <w:r w:rsidR="004B0D23" w:rsidRPr="00FB60E5">
        <w:t>)</w:t>
      </w:r>
      <w:r w:rsidRPr="00FB60E5">
        <w:t>. Median scores on the CSQ-8, a standardised measure of treatment satisfaction, were significantly higher among those who completed their PIT than those did not (p</w:t>
      </w:r>
      <w:r w:rsidR="004B0D23" w:rsidRPr="00FB60E5">
        <w:t xml:space="preserve"> </w:t>
      </w:r>
      <w:r w:rsidRPr="00FB60E5">
        <w:t>&lt;</w:t>
      </w:r>
      <w:r w:rsidR="004B0D23" w:rsidRPr="00FB60E5">
        <w:t xml:space="preserve"> </w:t>
      </w:r>
      <w:r w:rsidRPr="00FB60E5">
        <w:t>.001).</w:t>
      </w:r>
    </w:p>
    <w:p w14:paraId="38A460E8" w14:textId="77777777" w:rsidR="000A3C41" w:rsidRPr="00FB60E5" w:rsidRDefault="000A3C41" w:rsidP="00FB60E5">
      <w:pPr>
        <w:ind w:left="0"/>
      </w:pPr>
      <w:r w:rsidRPr="00FB60E5">
        <w:rPr>
          <w:noProof/>
          <w:lang w:eastAsia="en-AU"/>
        </w:rPr>
        <w:lastRenderedPageBreak/>
        <w:drawing>
          <wp:inline distT="0" distB="0" distL="0" distR="0" wp14:anchorId="38A475F3" wp14:editId="38A475F4">
            <wp:extent cx="5731510" cy="6751284"/>
            <wp:effectExtent l="0" t="0" r="2540" b="0"/>
            <wp:docPr id="29" name="Diagram 6" descr="Figure 3.4  Overview of cohort recruitment, participation and outcome rates" title="Figure 3.4  Overview of cohort recruitment, participation and outcome rat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8A460E9" w14:textId="3973A5C5" w:rsidR="005958CF" w:rsidRPr="00FB60E5" w:rsidRDefault="00BD7BD8" w:rsidP="00BD7BD8">
      <w:pPr>
        <w:pStyle w:val="Caption"/>
      </w:pPr>
      <w:bookmarkStart w:id="147" w:name="_Toc531625767"/>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4</w:t>
      </w:r>
      <w:r>
        <w:fldChar w:fldCharType="end"/>
      </w:r>
      <w:r w:rsidR="002C27A8">
        <w:t xml:space="preserve"> </w:t>
      </w:r>
      <w:r w:rsidR="005958CF" w:rsidRPr="00FB60E5">
        <w:t>Overview of cohort recruitment, participation and outcome rates</w:t>
      </w:r>
      <w:bookmarkEnd w:id="147"/>
    </w:p>
    <w:p w14:paraId="38A460EC" w14:textId="77777777" w:rsidR="00072449" w:rsidRPr="00FB60E5" w:rsidRDefault="00072449" w:rsidP="00B17D09">
      <w:pPr>
        <w:pStyle w:val="Heading3"/>
      </w:pPr>
      <w:r w:rsidRPr="00FB60E5">
        <w:t>Duration of PIT</w:t>
      </w:r>
    </w:p>
    <w:p w14:paraId="38A460ED" w14:textId="77777777" w:rsidR="00072449" w:rsidRPr="00FB60E5" w:rsidRDefault="00072449" w:rsidP="00FB60E5">
      <w:pPr>
        <w:ind w:left="0"/>
      </w:pPr>
      <w:r w:rsidRPr="00FB60E5">
        <w:t xml:space="preserve">Participants </w:t>
      </w:r>
      <w:r w:rsidR="004B0D23" w:rsidRPr="00FB60E5">
        <w:t>who were not still engaged in their PIT at follow-up</w:t>
      </w:r>
      <w:r w:rsidR="004F6913" w:rsidRPr="00FB60E5">
        <w:t xml:space="preserve"> (i.e. whose PIT was either completed or ended prematurely)</w:t>
      </w:r>
      <w:r w:rsidR="004B0D23" w:rsidRPr="00FB60E5">
        <w:t xml:space="preserve"> were asked about the duration spent engaged in the PIT</w:t>
      </w:r>
      <w:r w:rsidRPr="00FB60E5">
        <w:t xml:space="preserve">. Among outpatient participants whose PIT had ended prior to follow-up (n = 123), duration of engagement in PIT ranged from 1-483 days (median = 70; IQR = 28-168). No acute withdrawal participants (n = 234) were still engaged in their PIT at follow-up, and PIT duration ranged from 1-22 days. A seven-day course of treatment was the norm for this group, with 62% reporting this as their duration, 10% reporting shorter durations, and 28% reporting durations of 8 or more days. Long-term residential treatment duration in those </w:t>
      </w:r>
      <w:r w:rsidRPr="00FB60E5">
        <w:lastRenderedPageBreak/>
        <w:t>not still engaged in their PIT at follow-up (n = 129) ranged from 4 to 392 days (median = 63, IQR = 28-143.5).</w:t>
      </w:r>
    </w:p>
    <w:p w14:paraId="38A460EE" w14:textId="77777777" w:rsidR="00072449" w:rsidRPr="00FB60E5" w:rsidRDefault="00072449" w:rsidP="00B17D09">
      <w:pPr>
        <w:pStyle w:val="Heading3"/>
      </w:pPr>
      <w:r w:rsidRPr="00FB60E5">
        <w:t>Changes in personal circumstances between baseline and follow-up</w:t>
      </w:r>
    </w:p>
    <w:p w14:paraId="38A460EF" w14:textId="11207C41" w:rsidR="00072449" w:rsidRPr="00FB60E5" w:rsidRDefault="00552239" w:rsidP="00FB60E5">
      <w:pPr>
        <w:ind w:left="0"/>
      </w:pPr>
      <w:r>
        <w:fldChar w:fldCharType="begin"/>
      </w:r>
      <w:r>
        <w:instrText xml:space="preserve"> REF _Ref531624213 \h </w:instrText>
      </w:r>
      <w:r>
        <w:fldChar w:fldCharType="separate"/>
      </w:r>
      <w:r>
        <w:t xml:space="preserve">Table </w:t>
      </w:r>
      <w:r>
        <w:rPr>
          <w:noProof/>
        </w:rPr>
        <w:t>3</w:t>
      </w:r>
      <w:r>
        <w:t>.</w:t>
      </w:r>
      <w:r>
        <w:rPr>
          <w:noProof/>
        </w:rPr>
        <w:t>8</w:t>
      </w:r>
      <w:r>
        <w:fldChar w:fldCharType="end"/>
      </w:r>
      <w:r w:rsidR="00072449" w:rsidRPr="00FB60E5">
        <w:t xml:space="preserve"> shows that there were some markers of increased stability and functioning one year after the PIT. Whilst unemployment rates were unchanged, the proportion of </w:t>
      </w:r>
      <w:r w:rsidR="006D29AE" w:rsidRPr="00FB60E5">
        <w:t>participant</w:t>
      </w:r>
      <w:r w:rsidR="00072449" w:rsidRPr="00FB60E5">
        <w:t>s receiving unemployment benefits at the time of follow-up had fallen significantly. In addition, a significantly lower proportion had experienced recent homelessness at follow-up. There were non-significant trends in a positive direction for both stable relationships and criminal justice involvement.</w:t>
      </w:r>
    </w:p>
    <w:p w14:paraId="38A460F0" w14:textId="7E5146E6" w:rsidR="00072449" w:rsidRPr="00FB60E5" w:rsidRDefault="00552239" w:rsidP="00552239">
      <w:pPr>
        <w:pStyle w:val="Caption"/>
      </w:pPr>
      <w:bookmarkStart w:id="148" w:name="_Ref531624213"/>
      <w:bookmarkStart w:id="149" w:name="_Toc531625784"/>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8</w:t>
      </w:r>
      <w:r>
        <w:fldChar w:fldCharType="end"/>
      </w:r>
      <w:bookmarkEnd w:id="148"/>
      <w:r w:rsidR="00072449" w:rsidRPr="00FB60E5">
        <w:t xml:space="preserve"> Changes in personal circumstances at baseline and follow-up (post-PIT) (n</w:t>
      </w:r>
      <w:r w:rsidR="008E0DB9" w:rsidRPr="00FB60E5">
        <w:t xml:space="preserve">s </w:t>
      </w:r>
      <w:r w:rsidR="00072449" w:rsidRPr="00FB60E5">
        <w:t>=5</w:t>
      </w:r>
      <w:r w:rsidR="008E0DB9" w:rsidRPr="00FB60E5">
        <w:t>49-554</w:t>
      </w:r>
      <w:r w:rsidR="00072449" w:rsidRPr="00FB60E5">
        <w:t>)</w:t>
      </w:r>
      <w:bookmarkEnd w:id="149"/>
    </w:p>
    <w:tbl>
      <w:tblPr>
        <w:tblStyle w:val="LightList-Accent1"/>
        <w:tblW w:w="0" w:type="auto"/>
        <w:tblLook w:val="04A0" w:firstRow="1" w:lastRow="0" w:firstColumn="1" w:lastColumn="0" w:noHBand="0" w:noVBand="1"/>
        <w:tblCaption w:val="Table 3.8  Changes in personal circumstances at baseline and follow-up (post-PIT) (ns =549-554) "/>
        <w:tblDescription w:val="Table 3.8  Changes in personal circumstances at baseline and follow-up (post-PIT) (ns =549-554) "/>
      </w:tblPr>
      <w:tblGrid>
        <w:gridCol w:w="4361"/>
        <w:gridCol w:w="1843"/>
        <w:gridCol w:w="1701"/>
        <w:gridCol w:w="992"/>
      </w:tblGrid>
      <w:tr w:rsidR="00072449" w:rsidRPr="00FB60E5" w14:paraId="38A460F5" w14:textId="77777777" w:rsidTr="00B17D09">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4361" w:type="dxa"/>
          </w:tcPr>
          <w:p w14:paraId="38A460F1" w14:textId="77777777" w:rsidR="00072449" w:rsidRPr="00FB60E5" w:rsidRDefault="00072449" w:rsidP="00B17D09">
            <w:pPr>
              <w:pStyle w:val="tabletext"/>
            </w:pPr>
          </w:p>
        </w:tc>
        <w:tc>
          <w:tcPr>
            <w:tcW w:w="1843" w:type="dxa"/>
          </w:tcPr>
          <w:p w14:paraId="38A460F2"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Baseline n (%)</w:t>
            </w:r>
          </w:p>
        </w:tc>
        <w:tc>
          <w:tcPr>
            <w:tcW w:w="1701" w:type="dxa"/>
          </w:tcPr>
          <w:p w14:paraId="38A460F3"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Follow-up n (%)</w:t>
            </w:r>
          </w:p>
        </w:tc>
        <w:tc>
          <w:tcPr>
            <w:tcW w:w="992" w:type="dxa"/>
          </w:tcPr>
          <w:p w14:paraId="38A460F4" w14:textId="77777777" w:rsidR="00072449" w:rsidRPr="00FB60E5" w:rsidRDefault="002461FE" w:rsidP="00B17D09">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0FA" w14:textId="77777777" w:rsidTr="00B17D0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361" w:type="dxa"/>
          </w:tcPr>
          <w:p w14:paraId="38A460F6" w14:textId="77777777" w:rsidR="00072449" w:rsidRPr="00214785" w:rsidRDefault="00072449" w:rsidP="00AF6D9B">
            <w:pPr>
              <w:pStyle w:val="tabletext"/>
              <w:rPr>
                <w:b w:val="0"/>
              </w:rPr>
            </w:pPr>
            <w:r w:rsidRPr="00214785">
              <w:rPr>
                <w:b w:val="0"/>
              </w:rPr>
              <w:t>Unemployment (no paid employment in past 90 days)</w:t>
            </w:r>
          </w:p>
        </w:tc>
        <w:tc>
          <w:tcPr>
            <w:tcW w:w="1843" w:type="dxa"/>
          </w:tcPr>
          <w:p w14:paraId="38A460F7"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368 (67.0)</w:t>
            </w:r>
          </w:p>
        </w:tc>
        <w:tc>
          <w:tcPr>
            <w:tcW w:w="1701" w:type="dxa"/>
          </w:tcPr>
          <w:p w14:paraId="38A460F8"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367 (66.8)</w:t>
            </w:r>
          </w:p>
        </w:tc>
        <w:tc>
          <w:tcPr>
            <w:tcW w:w="992" w:type="dxa"/>
          </w:tcPr>
          <w:p w14:paraId="38A460F9"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1.0</w:t>
            </w:r>
          </w:p>
        </w:tc>
      </w:tr>
      <w:tr w:rsidR="00072449" w:rsidRPr="00FB60E5" w14:paraId="38A460FF"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4361" w:type="dxa"/>
          </w:tcPr>
          <w:p w14:paraId="38A460FB" w14:textId="77777777" w:rsidR="00072449" w:rsidRPr="00214785" w:rsidRDefault="00072449" w:rsidP="00AF6D9B">
            <w:pPr>
              <w:pStyle w:val="tabletext"/>
              <w:rPr>
                <w:b w:val="0"/>
              </w:rPr>
            </w:pPr>
            <w:r w:rsidRPr="00214785">
              <w:rPr>
                <w:b w:val="0"/>
              </w:rPr>
              <w:t>Current receipt of unemployment benefits</w:t>
            </w:r>
          </w:p>
        </w:tc>
        <w:tc>
          <w:tcPr>
            <w:tcW w:w="1843" w:type="dxa"/>
          </w:tcPr>
          <w:p w14:paraId="38A460FC"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248 (44.8)</w:t>
            </w:r>
          </w:p>
        </w:tc>
        <w:tc>
          <w:tcPr>
            <w:tcW w:w="1701" w:type="dxa"/>
          </w:tcPr>
          <w:p w14:paraId="38A460FD"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211 (38.1)</w:t>
            </w:r>
          </w:p>
        </w:tc>
        <w:tc>
          <w:tcPr>
            <w:tcW w:w="992" w:type="dxa"/>
          </w:tcPr>
          <w:p w14:paraId="38A460FE"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&lt;</w:t>
            </w:r>
            <w:r w:rsidR="008E0DB9" w:rsidRPr="00AF6D9B">
              <w:t xml:space="preserve"> </w:t>
            </w:r>
            <w:r w:rsidRPr="00AF6D9B">
              <w:t>.01</w:t>
            </w:r>
          </w:p>
        </w:tc>
      </w:tr>
      <w:tr w:rsidR="00072449" w:rsidRPr="00FB60E5" w14:paraId="38A46104"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61" w:type="dxa"/>
          </w:tcPr>
          <w:p w14:paraId="38A46100" w14:textId="77777777" w:rsidR="00072449" w:rsidRPr="00214785" w:rsidRDefault="00072449" w:rsidP="00AF6D9B">
            <w:pPr>
              <w:pStyle w:val="tabletext"/>
              <w:rPr>
                <w:b w:val="0"/>
              </w:rPr>
            </w:pPr>
            <w:r w:rsidRPr="00214785">
              <w:rPr>
                <w:b w:val="0"/>
              </w:rPr>
              <w:t>Homeless/housing issues</w:t>
            </w:r>
          </w:p>
        </w:tc>
        <w:tc>
          <w:tcPr>
            <w:tcW w:w="1843" w:type="dxa"/>
          </w:tcPr>
          <w:p w14:paraId="38A46101"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126 (22.8)</w:t>
            </w:r>
          </w:p>
        </w:tc>
        <w:tc>
          <w:tcPr>
            <w:tcW w:w="1701" w:type="dxa"/>
          </w:tcPr>
          <w:p w14:paraId="38A46102" w14:textId="23010A65"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99 (17.9)</w:t>
            </w:r>
          </w:p>
        </w:tc>
        <w:tc>
          <w:tcPr>
            <w:tcW w:w="992" w:type="dxa"/>
          </w:tcPr>
          <w:p w14:paraId="38A46103"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&lt;</w:t>
            </w:r>
            <w:r w:rsidR="008E0DB9" w:rsidRPr="00AF6D9B">
              <w:t xml:space="preserve"> </w:t>
            </w:r>
            <w:r w:rsidRPr="00AF6D9B">
              <w:t>.05</w:t>
            </w:r>
          </w:p>
        </w:tc>
      </w:tr>
      <w:tr w:rsidR="00072449" w:rsidRPr="00FB60E5" w14:paraId="38A46109"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4361" w:type="dxa"/>
          </w:tcPr>
          <w:p w14:paraId="38A46105" w14:textId="77777777" w:rsidR="00072449" w:rsidRPr="00214785" w:rsidRDefault="00072449" w:rsidP="00AF6D9B">
            <w:pPr>
              <w:pStyle w:val="tabletext"/>
              <w:rPr>
                <w:b w:val="0"/>
              </w:rPr>
            </w:pPr>
            <w:r w:rsidRPr="00214785">
              <w:rPr>
                <w:b w:val="0"/>
              </w:rPr>
              <w:t>Criminal justice involvement</w:t>
            </w:r>
          </w:p>
        </w:tc>
        <w:tc>
          <w:tcPr>
            <w:tcW w:w="1843" w:type="dxa"/>
          </w:tcPr>
          <w:p w14:paraId="38A46106"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142 (25.8)</w:t>
            </w:r>
          </w:p>
        </w:tc>
        <w:tc>
          <w:tcPr>
            <w:tcW w:w="1701" w:type="dxa"/>
          </w:tcPr>
          <w:p w14:paraId="38A46107"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122 (22.1)</w:t>
            </w:r>
          </w:p>
        </w:tc>
        <w:tc>
          <w:tcPr>
            <w:tcW w:w="992" w:type="dxa"/>
          </w:tcPr>
          <w:p w14:paraId="38A46108"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.09</w:t>
            </w:r>
          </w:p>
        </w:tc>
      </w:tr>
      <w:tr w:rsidR="00072449" w:rsidRPr="00FB60E5" w14:paraId="38A4610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61" w:type="dxa"/>
          </w:tcPr>
          <w:p w14:paraId="38A4610A" w14:textId="77777777" w:rsidR="00072449" w:rsidRPr="00214785" w:rsidRDefault="00072449" w:rsidP="00AF6D9B">
            <w:pPr>
              <w:pStyle w:val="tabletext"/>
              <w:rPr>
                <w:b w:val="0"/>
              </w:rPr>
            </w:pPr>
            <w:r w:rsidRPr="00214785">
              <w:rPr>
                <w:b w:val="0"/>
              </w:rPr>
              <w:t>Stable relationship (married/de facto)</w:t>
            </w:r>
          </w:p>
        </w:tc>
        <w:tc>
          <w:tcPr>
            <w:tcW w:w="1843" w:type="dxa"/>
          </w:tcPr>
          <w:p w14:paraId="38A4610B"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109 (19.7)</w:t>
            </w:r>
          </w:p>
        </w:tc>
        <w:tc>
          <w:tcPr>
            <w:tcW w:w="1701" w:type="dxa"/>
          </w:tcPr>
          <w:p w14:paraId="38A4610C"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119 (2</w:t>
            </w:r>
            <w:r w:rsidR="008F4E87" w:rsidRPr="00AF6D9B">
              <w:t>1</w:t>
            </w:r>
            <w:r w:rsidRPr="00AF6D9B">
              <w:t>.5)</w:t>
            </w:r>
          </w:p>
        </w:tc>
        <w:tc>
          <w:tcPr>
            <w:tcW w:w="992" w:type="dxa"/>
          </w:tcPr>
          <w:p w14:paraId="38A4610D"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.29</w:t>
            </w:r>
          </w:p>
        </w:tc>
      </w:tr>
    </w:tbl>
    <w:p w14:paraId="38A46110" w14:textId="2AD18327" w:rsidR="00072449" w:rsidRPr="00FB60E5" w:rsidRDefault="00B17D09" w:rsidP="00B17D09">
      <w:pPr>
        <w:pStyle w:val="Heading3"/>
      </w:pPr>
      <w:r>
        <w:t>Service use post-PIT</w:t>
      </w:r>
    </w:p>
    <w:p w14:paraId="38A46111" w14:textId="0892A9BD" w:rsidR="00072449" w:rsidRPr="00FB60E5" w:rsidRDefault="00072449" w:rsidP="00FB60E5">
      <w:pPr>
        <w:ind w:left="0"/>
      </w:pPr>
      <w:r w:rsidRPr="00FB60E5">
        <w:t>There were few changes in the proportion using AOD specialist, community and acute services between baseline and follow-</w:t>
      </w:r>
      <w:proofErr w:type="gramStart"/>
      <w:r w:rsidRPr="00FB60E5">
        <w:t>up,</w:t>
      </w:r>
      <w:proofErr w:type="gramEnd"/>
      <w:r w:rsidRPr="00FB60E5">
        <w:t xml:space="preserve"> with almost all (94%) visiting </w:t>
      </w:r>
      <w:r w:rsidR="008F4E87" w:rsidRPr="00FB60E5">
        <w:t xml:space="preserve">a </w:t>
      </w:r>
      <w:r w:rsidRPr="00FB60E5">
        <w:t xml:space="preserve">GP and </w:t>
      </w:r>
      <w:r w:rsidR="007F2301" w:rsidRPr="00FB60E5">
        <w:t>more than two thirds</w:t>
      </w:r>
      <w:r w:rsidRPr="00FB60E5">
        <w:t xml:space="preserve"> attending further AOD-specialist treatment (see </w:t>
      </w:r>
      <w:r w:rsidR="001B3CBD">
        <w:fldChar w:fldCharType="begin"/>
      </w:r>
      <w:r w:rsidR="001B3CBD">
        <w:instrText xml:space="preserve"> REF _Ref531624226 \h </w:instrText>
      </w:r>
      <w:r w:rsidR="001B3CBD">
        <w:fldChar w:fldCharType="separate"/>
      </w:r>
      <w:r w:rsidR="001B3CBD">
        <w:t xml:space="preserve">Table </w:t>
      </w:r>
      <w:r w:rsidR="001B3CBD">
        <w:rPr>
          <w:noProof/>
        </w:rPr>
        <w:t>3</w:t>
      </w:r>
      <w:r w:rsidR="001B3CBD">
        <w:t>.</w:t>
      </w:r>
      <w:r w:rsidR="001B3CBD">
        <w:rPr>
          <w:noProof/>
        </w:rPr>
        <w:t>9</w:t>
      </w:r>
      <w:r w:rsidR="001B3CBD">
        <w:fldChar w:fldCharType="end"/>
      </w:r>
      <w:r w:rsidRPr="00FB60E5">
        <w:t>). In contrast, the proportion engaging with financial counselling services (12%) and family/relationship counselling services (8%) remained similarly low, and significantly dropped for legal aid (from 26% to 20%). The proportion engaging with acute withdrawal decreased significantly whilst the proportion who engaged with residential rehabilitation increased significantly. There was a significant increase in the proportion who engaged with mutual aid groups (</w:t>
      </w:r>
      <w:r w:rsidR="00A56745" w:rsidRPr="00FB60E5">
        <w:t xml:space="preserve">e.g. </w:t>
      </w:r>
      <w:r w:rsidRPr="00FB60E5">
        <w:t xml:space="preserve">AA, NA, </w:t>
      </w:r>
      <w:r w:rsidR="00A56745" w:rsidRPr="00FB60E5">
        <w:t xml:space="preserve">other 12-step, SMART Recovery or other recovery groups such as Gamblers Anonymous, etc.,) </w:t>
      </w:r>
      <w:r w:rsidRPr="00FB60E5">
        <w:t xml:space="preserve">which were attended by </w:t>
      </w:r>
      <w:r w:rsidR="00896EA0" w:rsidRPr="00FB60E5">
        <w:t>33%</w:t>
      </w:r>
      <w:r w:rsidRPr="00FB60E5">
        <w:t xml:space="preserve"> at baseline and </w:t>
      </w:r>
      <w:r w:rsidR="00896EA0" w:rsidRPr="00FB60E5">
        <w:t>49%</w:t>
      </w:r>
      <w:r w:rsidRPr="00FB60E5">
        <w:t xml:space="preserve"> at follow-up. Although more than half of participants had used at least one type of acute health service (ambulance, ED, hospital inpatient admission) at follow-up, there was a statistically significant decrease in rates of acute service use relative to rates of use before baseline. There was a 16% reduction in the proportion of participants accessing at least one of these service types, which is likely to reflect a substantial reduction in health care costs.</w:t>
      </w:r>
    </w:p>
    <w:p w14:paraId="38A46112" w14:textId="14D603E9" w:rsidR="00072449" w:rsidRPr="00FB60E5" w:rsidRDefault="00552239" w:rsidP="00552239">
      <w:pPr>
        <w:pStyle w:val="Caption"/>
      </w:pPr>
      <w:bookmarkStart w:id="150" w:name="_Ref531624226"/>
      <w:bookmarkStart w:id="151" w:name="_Toc531625785"/>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9</w:t>
      </w:r>
      <w:r>
        <w:fldChar w:fldCharType="end"/>
      </w:r>
      <w:bookmarkEnd w:id="150"/>
      <w:r w:rsidR="00B17D09">
        <w:t xml:space="preserve"> </w:t>
      </w:r>
      <w:r w:rsidR="00072449" w:rsidRPr="00FB60E5">
        <w:t>Use in the years before and after PIT of AOD specialist, community and acute medical service</w:t>
      </w:r>
      <w:bookmarkEnd w:id="151"/>
    </w:p>
    <w:tbl>
      <w:tblPr>
        <w:tblStyle w:val="LightList-Accent1"/>
        <w:tblW w:w="5000" w:type="pct"/>
        <w:tblLook w:val="04A0" w:firstRow="1" w:lastRow="0" w:firstColumn="1" w:lastColumn="0" w:noHBand="0" w:noVBand="1"/>
        <w:tblCaption w:val="Table 3.9  Use in the years before and after PIT of AOD specialist, community and acute medical service "/>
        <w:tblDescription w:val="Table 3.9  Use in the years before and after PIT of AOD specialist, community and acute medical service "/>
      </w:tblPr>
      <w:tblGrid>
        <w:gridCol w:w="3510"/>
        <w:gridCol w:w="1131"/>
        <w:gridCol w:w="1634"/>
        <w:gridCol w:w="1632"/>
        <w:gridCol w:w="1335"/>
      </w:tblGrid>
      <w:tr w:rsidR="00072449" w:rsidRPr="00FB60E5" w14:paraId="38A46118" w14:textId="77777777" w:rsidTr="00AF6D9B">
        <w:trPr>
          <w:cnfStyle w:val="100000000000" w:firstRow="1" w:lastRow="0" w:firstColumn="0" w:lastColumn="0" w:oddVBand="0" w:evenVBand="0" w:oddHBand="0" w:evenHBand="0" w:firstRowFirstColumn="0" w:firstRowLastColumn="0" w:lastRowFirstColumn="0" w:lastRowLastColumn="0"/>
          <w:trHeight w:hRule="exact" w:val="433"/>
          <w:tblHeader/>
        </w:trPr>
        <w:tc>
          <w:tcPr>
            <w:cnfStyle w:val="001000000000" w:firstRow="0" w:lastRow="0" w:firstColumn="1" w:lastColumn="0" w:oddVBand="0" w:evenVBand="0" w:oddHBand="0" w:evenHBand="0" w:firstRowFirstColumn="0" w:firstRowLastColumn="0" w:lastRowFirstColumn="0" w:lastRowLastColumn="0"/>
            <w:tcW w:w="1899" w:type="pct"/>
          </w:tcPr>
          <w:p w14:paraId="38A46113" w14:textId="70D7BE23" w:rsidR="00072449" w:rsidRPr="00FB60E5" w:rsidRDefault="00072449" w:rsidP="00B17D09">
            <w:pPr>
              <w:pStyle w:val="tabletext"/>
            </w:pPr>
            <w:r w:rsidRPr="00FB60E5">
              <w:t xml:space="preserve">Health / social service </w:t>
            </w:r>
          </w:p>
        </w:tc>
        <w:tc>
          <w:tcPr>
            <w:tcW w:w="612" w:type="pct"/>
          </w:tcPr>
          <w:p w14:paraId="38A46114"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n</w:t>
            </w:r>
          </w:p>
        </w:tc>
        <w:tc>
          <w:tcPr>
            <w:tcW w:w="884" w:type="pct"/>
          </w:tcPr>
          <w:p w14:paraId="38A46115"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Pre-PIT</w:t>
            </w:r>
          </w:p>
        </w:tc>
        <w:tc>
          <w:tcPr>
            <w:tcW w:w="883" w:type="pct"/>
          </w:tcPr>
          <w:p w14:paraId="38A46116"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Post-PIT</w:t>
            </w:r>
          </w:p>
        </w:tc>
        <w:tc>
          <w:tcPr>
            <w:tcW w:w="722" w:type="pct"/>
          </w:tcPr>
          <w:p w14:paraId="38A46117"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11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19" w14:textId="77777777" w:rsidR="00072449" w:rsidRPr="00214785" w:rsidRDefault="00072449" w:rsidP="00AF6D9B">
            <w:pPr>
              <w:pStyle w:val="tabletext"/>
              <w:rPr>
                <w:b w:val="0"/>
              </w:rPr>
            </w:pPr>
            <w:r w:rsidRPr="00214785">
              <w:rPr>
                <w:b w:val="0"/>
              </w:rPr>
              <w:t xml:space="preserve">Any AOD </w:t>
            </w:r>
            <w:proofErr w:type="spellStart"/>
            <w:r w:rsidRPr="00214785">
              <w:rPr>
                <w:b w:val="0"/>
              </w:rPr>
              <w:t>Tx</w:t>
            </w:r>
            <w:proofErr w:type="spellEnd"/>
            <w:r w:rsidRPr="00214785">
              <w:rPr>
                <w:b w:val="0"/>
              </w:rPr>
              <w:t xml:space="preserve"> (exc. Mutual aid)</w:t>
            </w:r>
          </w:p>
        </w:tc>
        <w:tc>
          <w:tcPr>
            <w:tcW w:w="612" w:type="pct"/>
          </w:tcPr>
          <w:p w14:paraId="38A4611A" w14:textId="77777777" w:rsidR="00072449" w:rsidRPr="00FB60E5" w:rsidRDefault="00542401" w:rsidP="00AF6D9B">
            <w:pPr>
              <w:pStyle w:val="tabletext"/>
              <w:cnfStyle w:val="000000100000" w:firstRow="0" w:lastRow="0" w:firstColumn="0" w:lastColumn="0" w:oddVBand="0" w:evenVBand="0" w:oddHBand="1" w:evenHBand="0" w:firstRowFirstColumn="0" w:firstRowLastColumn="0" w:lastRowFirstColumn="0" w:lastRowLastColumn="0"/>
            </w:pPr>
            <w:r w:rsidRPr="00FB60E5">
              <w:t>552</w:t>
            </w:r>
          </w:p>
        </w:tc>
        <w:tc>
          <w:tcPr>
            <w:tcW w:w="884" w:type="pct"/>
          </w:tcPr>
          <w:p w14:paraId="38A4611B" w14:textId="77777777" w:rsidR="00072449" w:rsidRPr="00FB60E5" w:rsidRDefault="00542401" w:rsidP="00AF6D9B">
            <w:pPr>
              <w:pStyle w:val="tabletext"/>
              <w:cnfStyle w:val="000000100000" w:firstRow="0" w:lastRow="0" w:firstColumn="0" w:lastColumn="0" w:oddVBand="0" w:evenVBand="0" w:oddHBand="1" w:evenHBand="0" w:firstRowFirstColumn="0" w:firstRowLastColumn="0" w:lastRowFirstColumn="0" w:lastRowLastColumn="0"/>
            </w:pPr>
            <w:r w:rsidRPr="00FB60E5">
              <w:t>68.7</w:t>
            </w:r>
            <w:r w:rsidR="00072449" w:rsidRPr="00FB60E5">
              <w:t>%</w:t>
            </w:r>
          </w:p>
        </w:tc>
        <w:tc>
          <w:tcPr>
            <w:tcW w:w="883" w:type="pct"/>
          </w:tcPr>
          <w:p w14:paraId="38A4611C" w14:textId="77777777" w:rsidR="00072449" w:rsidRPr="00FB60E5" w:rsidRDefault="00542401" w:rsidP="00AF6D9B">
            <w:pPr>
              <w:pStyle w:val="tabletext"/>
              <w:cnfStyle w:val="000000100000" w:firstRow="0" w:lastRow="0" w:firstColumn="0" w:lastColumn="0" w:oddVBand="0" w:evenVBand="0" w:oddHBand="1" w:evenHBand="0" w:firstRowFirstColumn="0" w:firstRowLastColumn="0" w:lastRowFirstColumn="0" w:lastRowLastColumn="0"/>
            </w:pPr>
            <w:r w:rsidRPr="00FB60E5">
              <w:t>67.6</w:t>
            </w:r>
            <w:r w:rsidR="00072449" w:rsidRPr="00FB60E5">
              <w:t>%</w:t>
            </w:r>
          </w:p>
        </w:tc>
        <w:tc>
          <w:tcPr>
            <w:tcW w:w="722" w:type="pct"/>
          </w:tcPr>
          <w:p w14:paraId="38A4611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542401" w:rsidRPr="00FB60E5">
              <w:t>73</w:t>
            </w:r>
          </w:p>
        </w:tc>
      </w:tr>
      <w:tr w:rsidR="00072449" w:rsidRPr="00FB60E5" w14:paraId="38A4612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1F" w14:textId="77777777" w:rsidR="00072449" w:rsidRPr="00214785" w:rsidRDefault="00072449" w:rsidP="00AF6D9B">
            <w:pPr>
              <w:pStyle w:val="tabletext"/>
              <w:rPr>
                <w:b w:val="0"/>
              </w:rPr>
            </w:pPr>
            <w:r w:rsidRPr="00214785">
              <w:rPr>
                <w:b w:val="0"/>
              </w:rPr>
              <w:t>Acute withdrawal (detoxification)</w:t>
            </w:r>
          </w:p>
        </w:tc>
        <w:tc>
          <w:tcPr>
            <w:tcW w:w="612" w:type="pct"/>
          </w:tcPr>
          <w:p w14:paraId="38A4612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553</w:t>
            </w:r>
          </w:p>
        </w:tc>
        <w:tc>
          <w:tcPr>
            <w:tcW w:w="884" w:type="pct"/>
          </w:tcPr>
          <w:p w14:paraId="38A4612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34.7%</w:t>
            </w:r>
          </w:p>
        </w:tc>
        <w:tc>
          <w:tcPr>
            <w:tcW w:w="883" w:type="pct"/>
          </w:tcPr>
          <w:p w14:paraId="38A4612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23.7%</w:t>
            </w:r>
          </w:p>
        </w:tc>
        <w:tc>
          <w:tcPr>
            <w:tcW w:w="722" w:type="pct"/>
          </w:tcPr>
          <w:p w14:paraId="38A4612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42401" w:rsidRPr="00FB60E5">
              <w:t xml:space="preserve"> </w:t>
            </w:r>
            <w:r w:rsidRPr="00FB60E5">
              <w:t>.001</w:t>
            </w:r>
          </w:p>
        </w:tc>
      </w:tr>
      <w:tr w:rsidR="00072449" w:rsidRPr="00FB60E5" w14:paraId="38A4612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25" w14:textId="77777777" w:rsidR="00072449" w:rsidRPr="00214785" w:rsidRDefault="00072449" w:rsidP="00AF6D9B">
            <w:pPr>
              <w:pStyle w:val="tabletext"/>
              <w:rPr>
                <w:b w:val="0"/>
              </w:rPr>
            </w:pPr>
            <w:r w:rsidRPr="00214785">
              <w:rPr>
                <w:b w:val="0"/>
              </w:rPr>
              <w:t>AOD counselling</w:t>
            </w:r>
          </w:p>
        </w:tc>
        <w:tc>
          <w:tcPr>
            <w:tcW w:w="612" w:type="pct"/>
          </w:tcPr>
          <w:p w14:paraId="38A4612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552</w:t>
            </w:r>
          </w:p>
        </w:tc>
        <w:tc>
          <w:tcPr>
            <w:tcW w:w="884" w:type="pct"/>
          </w:tcPr>
          <w:p w14:paraId="38A4612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55.4%</w:t>
            </w:r>
          </w:p>
        </w:tc>
        <w:tc>
          <w:tcPr>
            <w:tcW w:w="883" w:type="pct"/>
          </w:tcPr>
          <w:p w14:paraId="38A4612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52.</w:t>
            </w:r>
            <w:r w:rsidR="00A23538" w:rsidRPr="00FB60E5">
              <w:t>2</w:t>
            </w:r>
            <w:r w:rsidRPr="00FB60E5">
              <w:t>%</w:t>
            </w:r>
          </w:p>
        </w:tc>
        <w:tc>
          <w:tcPr>
            <w:tcW w:w="722" w:type="pct"/>
          </w:tcPr>
          <w:p w14:paraId="38A4612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542401" w:rsidRPr="00FB60E5">
              <w:t>27</w:t>
            </w:r>
          </w:p>
        </w:tc>
      </w:tr>
      <w:tr w:rsidR="00072449" w:rsidRPr="00FB60E5" w14:paraId="38A4613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2B" w14:textId="77777777" w:rsidR="00072449" w:rsidRPr="00214785" w:rsidRDefault="00072449" w:rsidP="00AF6D9B">
            <w:pPr>
              <w:pStyle w:val="tabletext"/>
              <w:rPr>
                <w:b w:val="0"/>
              </w:rPr>
            </w:pPr>
            <w:r w:rsidRPr="00214785">
              <w:rPr>
                <w:b w:val="0"/>
              </w:rPr>
              <w:t>Residential rehabilitation</w:t>
            </w:r>
          </w:p>
        </w:tc>
        <w:tc>
          <w:tcPr>
            <w:tcW w:w="612" w:type="pct"/>
          </w:tcPr>
          <w:p w14:paraId="38A4612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553</w:t>
            </w:r>
          </w:p>
        </w:tc>
        <w:tc>
          <w:tcPr>
            <w:tcW w:w="884" w:type="pct"/>
          </w:tcPr>
          <w:p w14:paraId="38A4612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12.7%</w:t>
            </w:r>
          </w:p>
        </w:tc>
        <w:tc>
          <w:tcPr>
            <w:tcW w:w="883" w:type="pct"/>
          </w:tcPr>
          <w:p w14:paraId="38A4612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26.6%</w:t>
            </w:r>
          </w:p>
        </w:tc>
        <w:tc>
          <w:tcPr>
            <w:tcW w:w="722" w:type="pct"/>
          </w:tcPr>
          <w:p w14:paraId="38A4612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42401" w:rsidRPr="00FB60E5">
              <w:t xml:space="preserve"> </w:t>
            </w:r>
            <w:r w:rsidRPr="00FB60E5">
              <w:t>.001</w:t>
            </w:r>
          </w:p>
        </w:tc>
      </w:tr>
      <w:tr w:rsidR="00072449" w:rsidRPr="00FB60E5" w14:paraId="38A46136" w14:textId="77777777" w:rsidTr="00B17D09">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899" w:type="pct"/>
          </w:tcPr>
          <w:p w14:paraId="38A46131" w14:textId="77777777" w:rsidR="00072449" w:rsidRPr="00214785" w:rsidRDefault="00072449" w:rsidP="00AF6D9B">
            <w:pPr>
              <w:pStyle w:val="tabletext"/>
              <w:rPr>
                <w:b w:val="0"/>
              </w:rPr>
            </w:pPr>
            <w:r w:rsidRPr="00214785">
              <w:rPr>
                <w:b w:val="0"/>
              </w:rPr>
              <w:t>Self-help and mutual aid programs</w:t>
            </w:r>
          </w:p>
        </w:tc>
        <w:tc>
          <w:tcPr>
            <w:tcW w:w="612" w:type="pct"/>
          </w:tcPr>
          <w:p w14:paraId="38A46132" w14:textId="77777777" w:rsidR="00072449" w:rsidRPr="00FB60E5" w:rsidRDefault="007F2301" w:rsidP="00AF6D9B">
            <w:pPr>
              <w:pStyle w:val="tabletext"/>
              <w:cnfStyle w:val="000000100000" w:firstRow="0" w:lastRow="0" w:firstColumn="0" w:lastColumn="0" w:oddVBand="0" w:evenVBand="0" w:oddHBand="1" w:evenHBand="0" w:firstRowFirstColumn="0" w:firstRowLastColumn="0" w:lastRowFirstColumn="0" w:lastRowLastColumn="0"/>
            </w:pPr>
            <w:r w:rsidRPr="00FB60E5">
              <w:t>537</w:t>
            </w:r>
          </w:p>
        </w:tc>
        <w:tc>
          <w:tcPr>
            <w:tcW w:w="884" w:type="pct"/>
          </w:tcPr>
          <w:p w14:paraId="38A4613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w:t>
            </w:r>
            <w:r w:rsidR="007F2301" w:rsidRPr="00FB60E5">
              <w:t>2.6</w:t>
            </w:r>
            <w:r w:rsidRPr="00FB60E5">
              <w:t>%</w:t>
            </w:r>
          </w:p>
        </w:tc>
        <w:tc>
          <w:tcPr>
            <w:tcW w:w="883" w:type="pct"/>
          </w:tcPr>
          <w:p w14:paraId="38A46134" w14:textId="77777777" w:rsidR="00072449" w:rsidRPr="00FB60E5" w:rsidRDefault="007F2301" w:rsidP="00AF6D9B">
            <w:pPr>
              <w:pStyle w:val="tabletext"/>
              <w:cnfStyle w:val="000000100000" w:firstRow="0" w:lastRow="0" w:firstColumn="0" w:lastColumn="0" w:oddVBand="0" w:evenVBand="0" w:oddHBand="1" w:evenHBand="0" w:firstRowFirstColumn="0" w:firstRowLastColumn="0" w:lastRowFirstColumn="0" w:lastRowLastColumn="0"/>
            </w:pPr>
            <w:r w:rsidRPr="00FB60E5">
              <w:t>48.6</w:t>
            </w:r>
            <w:r w:rsidR="00072449" w:rsidRPr="00FB60E5">
              <w:t>%</w:t>
            </w:r>
          </w:p>
        </w:tc>
        <w:tc>
          <w:tcPr>
            <w:tcW w:w="722" w:type="pct"/>
          </w:tcPr>
          <w:p w14:paraId="38A46135"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w:t>
            </w:r>
            <w:r w:rsidR="00542401" w:rsidRPr="00FB60E5">
              <w:t xml:space="preserve"> </w:t>
            </w:r>
            <w:r w:rsidRPr="00FB60E5">
              <w:t>.001</w:t>
            </w:r>
          </w:p>
        </w:tc>
      </w:tr>
      <w:tr w:rsidR="00072449" w:rsidRPr="00FB60E5" w14:paraId="38A4613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37" w14:textId="77777777" w:rsidR="00072449" w:rsidRPr="00214785" w:rsidRDefault="00072449" w:rsidP="00AF6D9B">
            <w:pPr>
              <w:pStyle w:val="tabletext"/>
              <w:rPr>
                <w:b w:val="0"/>
              </w:rPr>
            </w:pPr>
            <w:r w:rsidRPr="00214785">
              <w:rPr>
                <w:b w:val="0"/>
              </w:rPr>
              <w:t>Any community service (exc. GP)</w:t>
            </w:r>
          </w:p>
        </w:tc>
        <w:tc>
          <w:tcPr>
            <w:tcW w:w="612" w:type="pct"/>
          </w:tcPr>
          <w:p w14:paraId="38A46138" w14:textId="77777777" w:rsidR="00072449" w:rsidRPr="00FB60E5" w:rsidRDefault="00F0076B" w:rsidP="00AF6D9B">
            <w:pPr>
              <w:pStyle w:val="tabletext"/>
              <w:cnfStyle w:val="000000000000" w:firstRow="0" w:lastRow="0" w:firstColumn="0" w:lastColumn="0" w:oddVBand="0" w:evenVBand="0" w:oddHBand="0" w:evenHBand="0" w:firstRowFirstColumn="0" w:firstRowLastColumn="0" w:lastRowFirstColumn="0" w:lastRowLastColumn="0"/>
            </w:pPr>
            <w:r w:rsidRPr="00FB60E5">
              <w:t>550</w:t>
            </w:r>
          </w:p>
        </w:tc>
        <w:tc>
          <w:tcPr>
            <w:tcW w:w="884" w:type="pct"/>
          </w:tcPr>
          <w:p w14:paraId="38A4613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81.</w:t>
            </w:r>
            <w:r w:rsidR="00F0076B" w:rsidRPr="00FB60E5">
              <w:t>3</w:t>
            </w:r>
            <w:r w:rsidRPr="00FB60E5">
              <w:t>%</w:t>
            </w:r>
          </w:p>
        </w:tc>
        <w:tc>
          <w:tcPr>
            <w:tcW w:w="883" w:type="pct"/>
          </w:tcPr>
          <w:p w14:paraId="38A4613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w:t>
            </w:r>
            <w:r w:rsidR="00F0076B" w:rsidRPr="00FB60E5">
              <w:t>6.9</w:t>
            </w:r>
            <w:r w:rsidRPr="00FB60E5">
              <w:t>%</w:t>
            </w:r>
          </w:p>
        </w:tc>
        <w:tc>
          <w:tcPr>
            <w:tcW w:w="722" w:type="pct"/>
          </w:tcPr>
          <w:p w14:paraId="38A4613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.0</w:t>
            </w:r>
            <w:r w:rsidR="00F0076B" w:rsidRPr="00FB60E5">
              <w:t>52</w:t>
            </w:r>
          </w:p>
        </w:tc>
      </w:tr>
      <w:tr w:rsidR="00072449" w:rsidRPr="00FB60E5" w14:paraId="38A4614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3D" w14:textId="77777777" w:rsidR="00072449" w:rsidRPr="00214785" w:rsidRDefault="00072449" w:rsidP="00AF6D9B">
            <w:pPr>
              <w:pStyle w:val="tabletext"/>
              <w:rPr>
                <w:b w:val="0"/>
              </w:rPr>
            </w:pPr>
            <w:r w:rsidRPr="00214785">
              <w:rPr>
                <w:b w:val="0"/>
              </w:rPr>
              <w:t>General practitioner</w:t>
            </w:r>
          </w:p>
        </w:tc>
        <w:tc>
          <w:tcPr>
            <w:tcW w:w="612" w:type="pct"/>
          </w:tcPr>
          <w:p w14:paraId="38A4613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w:t>
            </w:r>
            <w:r w:rsidR="00F0076B" w:rsidRPr="00FB60E5">
              <w:t>51</w:t>
            </w:r>
          </w:p>
        </w:tc>
        <w:tc>
          <w:tcPr>
            <w:tcW w:w="884" w:type="pct"/>
          </w:tcPr>
          <w:p w14:paraId="38A4613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91.</w:t>
            </w:r>
            <w:r w:rsidR="00F0076B" w:rsidRPr="00FB60E5">
              <w:t>3</w:t>
            </w:r>
            <w:r w:rsidRPr="00FB60E5">
              <w:t>%</w:t>
            </w:r>
          </w:p>
        </w:tc>
        <w:tc>
          <w:tcPr>
            <w:tcW w:w="883" w:type="pct"/>
          </w:tcPr>
          <w:p w14:paraId="38A4614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94.0%</w:t>
            </w:r>
          </w:p>
        </w:tc>
        <w:tc>
          <w:tcPr>
            <w:tcW w:w="722" w:type="pct"/>
          </w:tcPr>
          <w:p w14:paraId="38A4614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.07</w:t>
            </w:r>
          </w:p>
        </w:tc>
      </w:tr>
      <w:tr w:rsidR="00072449" w:rsidRPr="00FB60E5" w14:paraId="38A4614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43" w14:textId="77777777" w:rsidR="00072449" w:rsidRPr="00214785" w:rsidRDefault="00072449" w:rsidP="00AF6D9B">
            <w:pPr>
              <w:pStyle w:val="tabletext"/>
              <w:rPr>
                <w:b w:val="0"/>
              </w:rPr>
            </w:pPr>
            <w:r w:rsidRPr="00214785">
              <w:rPr>
                <w:b w:val="0"/>
              </w:rPr>
              <w:lastRenderedPageBreak/>
              <w:t>Mental health service</w:t>
            </w:r>
            <w:r w:rsidR="00E95023" w:rsidRPr="00214785">
              <w:rPr>
                <w:b w:val="0"/>
              </w:rPr>
              <w:t>1</w:t>
            </w:r>
          </w:p>
        </w:tc>
        <w:tc>
          <w:tcPr>
            <w:tcW w:w="612" w:type="pct"/>
          </w:tcPr>
          <w:p w14:paraId="38A46144" w14:textId="77777777" w:rsidR="00072449" w:rsidRPr="00FB60E5" w:rsidRDefault="00544143" w:rsidP="00AF6D9B">
            <w:pPr>
              <w:pStyle w:val="tabletext"/>
              <w:cnfStyle w:val="000000000000" w:firstRow="0" w:lastRow="0" w:firstColumn="0" w:lastColumn="0" w:oddVBand="0" w:evenVBand="0" w:oddHBand="0" w:evenHBand="0" w:firstRowFirstColumn="0" w:firstRowLastColumn="0" w:lastRowFirstColumn="0" w:lastRowLastColumn="0"/>
            </w:pPr>
            <w:r w:rsidRPr="00FB60E5">
              <w:t>550</w:t>
            </w:r>
          </w:p>
        </w:tc>
        <w:tc>
          <w:tcPr>
            <w:tcW w:w="884" w:type="pct"/>
          </w:tcPr>
          <w:p w14:paraId="38A4614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39.</w:t>
            </w:r>
            <w:r w:rsidR="00544143" w:rsidRPr="00FB60E5">
              <w:t>1</w:t>
            </w:r>
            <w:r w:rsidRPr="00FB60E5">
              <w:t>%</w:t>
            </w:r>
          </w:p>
        </w:tc>
        <w:tc>
          <w:tcPr>
            <w:tcW w:w="883" w:type="pct"/>
          </w:tcPr>
          <w:p w14:paraId="38A4614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w:t>
            </w:r>
            <w:r w:rsidR="00544143" w:rsidRPr="00FB60E5">
              <w:t>5.3</w:t>
            </w:r>
            <w:r w:rsidRPr="00FB60E5">
              <w:t>%</w:t>
            </w:r>
          </w:p>
        </w:tc>
        <w:tc>
          <w:tcPr>
            <w:tcW w:w="722" w:type="pct"/>
          </w:tcPr>
          <w:p w14:paraId="38A4614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544143" w:rsidRPr="00FB60E5">
              <w:t>13</w:t>
            </w:r>
          </w:p>
        </w:tc>
      </w:tr>
      <w:tr w:rsidR="00072449" w:rsidRPr="00FB60E5" w14:paraId="38A4614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49" w14:textId="77777777" w:rsidR="00072449" w:rsidRPr="00214785" w:rsidRDefault="00072449" w:rsidP="00AF6D9B">
            <w:pPr>
              <w:pStyle w:val="tabletext"/>
              <w:rPr>
                <w:b w:val="0"/>
              </w:rPr>
            </w:pPr>
            <w:r w:rsidRPr="00214785">
              <w:rPr>
                <w:b w:val="0"/>
              </w:rPr>
              <w:t>Legal aid</w:t>
            </w:r>
          </w:p>
        </w:tc>
        <w:tc>
          <w:tcPr>
            <w:tcW w:w="612" w:type="pct"/>
          </w:tcPr>
          <w:p w14:paraId="38A4614A" w14:textId="77777777" w:rsidR="00072449" w:rsidRPr="00FB60E5" w:rsidRDefault="00544143" w:rsidP="00AF6D9B">
            <w:pPr>
              <w:pStyle w:val="tabletext"/>
              <w:cnfStyle w:val="000000100000" w:firstRow="0" w:lastRow="0" w:firstColumn="0" w:lastColumn="0" w:oddVBand="0" w:evenVBand="0" w:oddHBand="1" w:evenHBand="0" w:firstRowFirstColumn="0" w:firstRowLastColumn="0" w:lastRowFirstColumn="0" w:lastRowLastColumn="0"/>
            </w:pPr>
            <w:r w:rsidRPr="00FB60E5">
              <w:t>550</w:t>
            </w:r>
          </w:p>
        </w:tc>
        <w:tc>
          <w:tcPr>
            <w:tcW w:w="884" w:type="pct"/>
          </w:tcPr>
          <w:p w14:paraId="38A4614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25.</w:t>
            </w:r>
            <w:r w:rsidR="00544143" w:rsidRPr="00FB60E5">
              <w:t>8</w:t>
            </w:r>
            <w:r w:rsidRPr="00FB60E5">
              <w:t>%</w:t>
            </w:r>
          </w:p>
        </w:tc>
        <w:tc>
          <w:tcPr>
            <w:tcW w:w="883" w:type="pct"/>
          </w:tcPr>
          <w:p w14:paraId="38A4614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20.4%</w:t>
            </w:r>
          </w:p>
        </w:tc>
        <w:tc>
          <w:tcPr>
            <w:tcW w:w="722" w:type="pct"/>
          </w:tcPr>
          <w:p w14:paraId="38A4614D" w14:textId="77777777" w:rsidR="00072449" w:rsidRPr="00FB60E5" w:rsidRDefault="00542401"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15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4F" w14:textId="77777777" w:rsidR="00072449" w:rsidRPr="00214785" w:rsidRDefault="00072449" w:rsidP="00AF6D9B">
            <w:pPr>
              <w:pStyle w:val="tabletext"/>
              <w:rPr>
                <w:b w:val="0"/>
              </w:rPr>
            </w:pPr>
            <w:r w:rsidRPr="00214785">
              <w:rPr>
                <w:b w:val="0"/>
              </w:rPr>
              <w:t>Financial counselling</w:t>
            </w:r>
          </w:p>
        </w:tc>
        <w:tc>
          <w:tcPr>
            <w:tcW w:w="612" w:type="pct"/>
          </w:tcPr>
          <w:p w14:paraId="38A4615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w:t>
            </w:r>
            <w:r w:rsidR="00544143" w:rsidRPr="00FB60E5">
              <w:t>50</w:t>
            </w:r>
          </w:p>
        </w:tc>
        <w:tc>
          <w:tcPr>
            <w:tcW w:w="884" w:type="pct"/>
          </w:tcPr>
          <w:p w14:paraId="38A4615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11.5%</w:t>
            </w:r>
          </w:p>
        </w:tc>
        <w:tc>
          <w:tcPr>
            <w:tcW w:w="883" w:type="pct"/>
          </w:tcPr>
          <w:p w14:paraId="38A4615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12.4%</w:t>
            </w:r>
          </w:p>
        </w:tc>
        <w:tc>
          <w:tcPr>
            <w:tcW w:w="722" w:type="pct"/>
          </w:tcPr>
          <w:p w14:paraId="38A4615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.66</w:t>
            </w:r>
          </w:p>
        </w:tc>
      </w:tr>
      <w:tr w:rsidR="00072449" w:rsidRPr="00FB60E5" w14:paraId="38A4615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55" w14:textId="77777777" w:rsidR="00072449" w:rsidRPr="00214785" w:rsidRDefault="00072449" w:rsidP="00AF6D9B">
            <w:pPr>
              <w:pStyle w:val="tabletext"/>
              <w:rPr>
                <w:b w:val="0"/>
              </w:rPr>
            </w:pPr>
            <w:r w:rsidRPr="00214785">
              <w:rPr>
                <w:b w:val="0"/>
              </w:rPr>
              <w:t>Employment service</w:t>
            </w:r>
          </w:p>
        </w:tc>
        <w:tc>
          <w:tcPr>
            <w:tcW w:w="612" w:type="pct"/>
          </w:tcPr>
          <w:p w14:paraId="38A46156" w14:textId="77777777" w:rsidR="00072449" w:rsidRPr="00FB60E5" w:rsidRDefault="00544143" w:rsidP="00AF6D9B">
            <w:pPr>
              <w:pStyle w:val="tabletext"/>
              <w:cnfStyle w:val="000000100000" w:firstRow="0" w:lastRow="0" w:firstColumn="0" w:lastColumn="0" w:oddVBand="0" w:evenVBand="0" w:oddHBand="1" w:evenHBand="0" w:firstRowFirstColumn="0" w:firstRowLastColumn="0" w:lastRowFirstColumn="0" w:lastRowLastColumn="0"/>
            </w:pPr>
            <w:r w:rsidRPr="00FB60E5">
              <w:t>550</w:t>
            </w:r>
          </w:p>
        </w:tc>
        <w:tc>
          <w:tcPr>
            <w:tcW w:w="884" w:type="pct"/>
          </w:tcPr>
          <w:p w14:paraId="38A4615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40.</w:t>
            </w:r>
            <w:r w:rsidR="00544143" w:rsidRPr="00FB60E5">
              <w:t>5</w:t>
            </w:r>
            <w:r w:rsidRPr="00FB60E5">
              <w:t>%</w:t>
            </w:r>
          </w:p>
        </w:tc>
        <w:tc>
          <w:tcPr>
            <w:tcW w:w="883" w:type="pct"/>
          </w:tcPr>
          <w:p w14:paraId="38A4615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40.</w:t>
            </w:r>
            <w:r w:rsidR="00544143" w:rsidRPr="00FB60E5">
              <w:t>0</w:t>
            </w:r>
            <w:r w:rsidRPr="00FB60E5">
              <w:t>%</w:t>
            </w:r>
          </w:p>
        </w:tc>
        <w:tc>
          <w:tcPr>
            <w:tcW w:w="722" w:type="pct"/>
          </w:tcPr>
          <w:p w14:paraId="38A4615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544143" w:rsidRPr="00FB60E5">
              <w:t>88</w:t>
            </w:r>
          </w:p>
        </w:tc>
      </w:tr>
      <w:tr w:rsidR="00072449" w:rsidRPr="00FB60E5" w14:paraId="38A4616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5B" w14:textId="77777777" w:rsidR="00072449" w:rsidRPr="00214785" w:rsidRDefault="00072449" w:rsidP="00AF6D9B">
            <w:pPr>
              <w:pStyle w:val="tabletext"/>
              <w:rPr>
                <w:b w:val="0"/>
              </w:rPr>
            </w:pPr>
            <w:r w:rsidRPr="00214785">
              <w:rPr>
                <w:b w:val="0"/>
              </w:rPr>
              <w:t>Family/relationship counselling</w:t>
            </w:r>
          </w:p>
        </w:tc>
        <w:tc>
          <w:tcPr>
            <w:tcW w:w="612" w:type="pct"/>
          </w:tcPr>
          <w:p w14:paraId="38A4615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w:t>
            </w:r>
            <w:r w:rsidR="00C77464" w:rsidRPr="00FB60E5">
              <w:t>50</w:t>
            </w:r>
          </w:p>
        </w:tc>
        <w:tc>
          <w:tcPr>
            <w:tcW w:w="884" w:type="pct"/>
          </w:tcPr>
          <w:p w14:paraId="38A4615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6.4%</w:t>
            </w:r>
          </w:p>
        </w:tc>
        <w:tc>
          <w:tcPr>
            <w:tcW w:w="883" w:type="pct"/>
          </w:tcPr>
          <w:p w14:paraId="38A4615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w:t>
            </w:r>
            <w:r w:rsidR="00C77464" w:rsidRPr="00FB60E5">
              <w:t>6</w:t>
            </w:r>
            <w:r w:rsidRPr="00FB60E5">
              <w:t>%</w:t>
            </w:r>
          </w:p>
        </w:tc>
        <w:tc>
          <w:tcPr>
            <w:tcW w:w="722" w:type="pct"/>
          </w:tcPr>
          <w:p w14:paraId="38A4615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.44</w:t>
            </w:r>
          </w:p>
        </w:tc>
      </w:tr>
      <w:tr w:rsidR="00072449" w:rsidRPr="00FB60E5" w14:paraId="38A4616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61" w14:textId="77777777" w:rsidR="00072449" w:rsidRPr="00214785" w:rsidRDefault="00072449" w:rsidP="00AF6D9B">
            <w:pPr>
              <w:pStyle w:val="tabletext"/>
              <w:rPr>
                <w:b w:val="0"/>
              </w:rPr>
            </w:pPr>
            <w:r w:rsidRPr="00214785">
              <w:rPr>
                <w:b w:val="0"/>
              </w:rPr>
              <w:t>Housing/homelessness service</w:t>
            </w:r>
          </w:p>
        </w:tc>
        <w:tc>
          <w:tcPr>
            <w:tcW w:w="612" w:type="pct"/>
          </w:tcPr>
          <w:p w14:paraId="38A4616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53</w:t>
            </w:r>
            <w:r w:rsidR="00C77464" w:rsidRPr="00FB60E5">
              <w:t>9</w:t>
            </w:r>
          </w:p>
        </w:tc>
        <w:tc>
          <w:tcPr>
            <w:tcW w:w="884" w:type="pct"/>
          </w:tcPr>
          <w:p w14:paraId="38A4616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20.4%</w:t>
            </w:r>
          </w:p>
        </w:tc>
        <w:tc>
          <w:tcPr>
            <w:tcW w:w="883" w:type="pct"/>
          </w:tcPr>
          <w:p w14:paraId="38A4616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21.0%</w:t>
            </w:r>
          </w:p>
        </w:tc>
        <w:tc>
          <w:tcPr>
            <w:tcW w:w="722" w:type="pct"/>
          </w:tcPr>
          <w:p w14:paraId="38A46165"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.86</w:t>
            </w:r>
          </w:p>
        </w:tc>
      </w:tr>
      <w:tr w:rsidR="00072449" w:rsidRPr="00FB60E5" w14:paraId="38A4616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67" w14:textId="77777777" w:rsidR="00072449" w:rsidRPr="00214785" w:rsidRDefault="00072449" w:rsidP="00AF6D9B">
            <w:pPr>
              <w:pStyle w:val="tabletext"/>
              <w:rPr>
                <w:b w:val="0"/>
              </w:rPr>
            </w:pPr>
            <w:r w:rsidRPr="00214785">
              <w:rPr>
                <w:b w:val="0"/>
              </w:rPr>
              <w:t>Any acute service use</w:t>
            </w:r>
          </w:p>
        </w:tc>
        <w:tc>
          <w:tcPr>
            <w:tcW w:w="612" w:type="pct"/>
          </w:tcPr>
          <w:p w14:paraId="38A4616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550</w:t>
            </w:r>
          </w:p>
        </w:tc>
        <w:tc>
          <w:tcPr>
            <w:tcW w:w="884" w:type="pct"/>
          </w:tcPr>
          <w:p w14:paraId="38A4616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60.</w:t>
            </w:r>
            <w:r w:rsidR="00FD389B" w:rsidRPr="00FB60E5">
              <w:t>4</w:t>
            </w:r>
            <w:r w:rsidRPr="00FB60E5">
              <w:t>%</w:t>
            </w:r>
          </w:p>
        </w:tc>
        <w:tc>
          <w:tcPr>
            <w:tcW w:w="883" w:type="pct"/>
          </w:tcPr>
          <w:p w14:paraId="38A4616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50.9%</w:t>
            </w:r>
          </w:p>
        </w:tc>
        <w:tc>
          <w:tcPr>
            <w:tcW w:w="722" w:type="pct"/>
          </w:tcPr>
          <w:p w14:paraId="38A4616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42401" w:rsidRPr="00FB60E5">
              <w:t xml:space="preserve"> </w:t>
            </w:r>
            <w:r w:rsidRPr="00FB60E5">
              <w:t>.001</w:t>
            </w:r>
          </w:p>
        </w:tc>
      </w:tr>
      <w:tr w:rsidR="00072449" w:rsidRPr="00FB60E5" w14:paraId="38A4617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6D" w14:textId="77777777" w:rsidR="00072449" w:rsidRPr="00214785" w:rsidRDefault="00072449" w:rsidP="00AF6D9B">
            <w:pPr>
              <w:pStyle w:val="tabletext"/>
              <w:rPr>
                <w:b w:val="0"/>
              </w:rPr>
            </w:pPr>
            <w:r w:rsidRPr="00214785">
              <w:rPr>
                <w:b w:val="0"/>
              </w:rPr>
              <w:t>Ambulance</w:t>
            </w:r>
          </w:p>
        </w:tc>
        <w:tc>
          <w:tcPr>
            <w:tcW w:w="612" w:type="pct"/>
          </w:tcPr>
          <w:p w14:paraId="38A4616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55</w:t>
            </w:r>
            <w:r w:rsidR="00FD389B" w:rsidRPr="00FB60E5">
              <w:t>1</w:t>
            </w:r>
          </w:p>
        </w:tc>
        <w:tc>
          <w:tcPr>
            <w:tcW w:w="884" w:type="pct"/>
          </w:tcPr>
          <w:p w14:paraId="38A4616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35.</w:t>
            </w:r>
            <w:r w:rsidR="00FD389B" w:rsidRPr="00FB60E5">
              <w:t>4</w:t>
            </w:r>
            <w:r w:rsidRPr="00FB60E5">
              <w:t>%</w:t>
            </w:r>
          </w:p>
        </w:tc>
        <w:tc>
          <w:tcPr>
            <w:tcW w:w="883" w:type="pct"/>
          </w:tcPr>
          <w:p w14:paraId="38A46170" w14:textId="77777777" w:rsidR="00072449" w:rsidRPr="00FB60E5" w:rsidRDefault="00FD389B" w:rsidP="00AF6D9B">
            <w:pPr>
              <w:pStyle w:val="tabletext"/>
              <w:cnfStyle w:val="000000100000" w:firstRow="0" w:lastRow="0" w:firstColumn="0" w:lastColumn="0" w:oddVBand="0" w:evenVBand="0" w:oddHBand="1" w:evenHBand="0" w:firstRowFirstColumn="0" w:firstRowLastColumn="0" w:lastRowFirstColumn="0" w:lastRowLastColumn="0"/>
            </w:pPr>
            <w:r w:rsidRPr="00FB60E5">
              <w:t>29.9</w:t>
            </w:r>
            <w:r w:rsidR="00072449" w:rsidRPr="00FB60E5">
              <w:t>%</w:t>
            </w:r>
          </w:p>
        </w:tc>
        <w:tc>
          <w:tcPr>
            <w:tcW w:w="722" w:type="pct"/>
          </w:tcPr>
          <w:p w14:paraId="38A46171" w14:textId="77777777" w:rsidR="00072449" w:rsidRPr="00FB60E5" w:rsidRDefault="00542401"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17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73" w14:textId="77777777" w:rsidR="00072449" w:rsidRPr="00214785" w:rsidRDefault="00072449" w:rsidP="00AF6D9B">
            <w:pPr>
              <w:pStyle w:val="tabletext"/>
              <w:rPr>
                <w:b w:val="0"/>
              </w:rPr>
            </w:pPr>
            <w:r w:rsidRPr="00214785">
              <w:rPr>
                <w:b w:val="0"/>
              </w:rPr>
              <w:t>Hospital emergency department</w:t>
            </w:r>
          </w:p>
        </w:tc>
        <w:tc>
          <w:tcPr>
            <w:tcW w:w="612" w:type="pct"/>
          </w:tcPr>
          <w:p w14:paraId="38A4617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w:t>
            </w:r>
            <w:r w:rsidR="00FD389B" w:rsidRPr="00FB60E5">
              <w:t>50</w:t>
            </w:r>
          </w:p>
        </w:tc>
        <w:tc>
          <w:tcPr>
            <w:tcW w:w="884" w:type="pct"/>
          </w:tcPr>
          <w:p w14:paraId="38A4617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53.</w:t>
            </w:r>
            <w:r w:rsidR="00FD389B" w:rsidRPr="00FB60E5">
              <w:t>1</w:t>
            </w:r>
            <w:r w:rsidRPr="00FB60E5">
              <w:t>%</w:t>
            </w:r>
          </w:p>
        </w:tc>
        <w:tc>
          <w:tcPr>
            <w:tcW w:w="883" w:type="pct"/>
          </w:tcPr>
          <w:p w14:paraId="38A4617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43.</w:t>
            </w:r>
            <w:r w:rsidR="00FD389B" w:rsidRPr="00FB60E5">
              <w:t>6</w:t>
            </w:r>
            <w:r w:rsidRPr="00FB60E5">
              <w:t>%</w:t>
            </w:r>
          </w:p>
        </w:tc>
        <w:tc>
          <w:tcPr>
            <w:tcW w:w="722" w:type="pct"/>
          </w:tcPr>
          <w:p w14:paraId="38A4617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42401" w:rsidRPr="00FB60E5">
              <w:t xml:space="preserve"> </w:t>
            </w:r>
            <w:r w:rsidRPr="00FB60E5">
              <w:t>.001</w:t>
            </w:r>
          </w:p>
        </w:tc>
      </w:tr>
      <w:tr w:rsidR="00072449" w:rsidRPr="00FB60E5" w14:paraId="38A4617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79" w14:textId="77777777" w:rsidR="00072449" w:rsidRPr="00214785" w:rsidRDefault="00072449" w:rsidP="00AF6D9B">
            <w:pPr>
              <w:pStyle w:val="tabletext"/>
              <w:rPr>
                <w:b w:val="0"/>
              </w:rPr>
            </w:pPr>
            <w:r w:rsidRPr="00214785">
              <w:rPr>
                <w:b w:val="0"/>
              </w:rPr>
              <w:t>Hospital inpatient services</w:t>
            </w:r>
          </w:p>
        </w:tc>
        <w:tc>
          <w:tcPr>
            <w:tcW w:w="612" w:type="pct"/>
          </w:tcPr>
          <w:p w14:paraId="38A4617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w:t>
            </w:r>
            <w:r w:rsidR="00FD389B" w:rsidRPr="00FB60E5">
              <w:t>50</w:t>
            </w:r>
          </w:p>
        </w:tc>
        <w:tc>
          <w:tcPr>
            <w:tcW w:w="884" w:type="pct"/>
          </w:tcPr>
          <w:p w14:paraId="38A4617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28.</w:t>
            </w:r>
            <w:r w:rsidR="00FD389B" w:rsidRPr="00FB60E5">
              <w:t>5</w:t>
            </w:r>
            <w:r w:rsidRPr="00FB60E5">
              <w:t>%</w:t>
            </w:r>
          </w:p>
        </w:tc>
        <w:tc>
          <w:tcPr>
            <w:tcW w:w="883" w:type="pct"/>
          </w:tcPr>
          <w:p w14:paraId="38A4617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24.</w:t>
            </w:r>
            <w:r w:rsidR="00FD389B" w:rsidRPr="00FB60E5">
              <w:t>4</w:t>
            </w:r>
            <w:r w:rsidRPr="00FB60E5">
              <w:t>%</w:t>
            </w:r>
          </w:p>
        </w:tc>
        <w:tc>
          <w:tcPr>
            <w:tcW w:w="722" w:type="pct"/>
          </w:tcPr>
          <w:p w14:paraId="38A4617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.0</w:t>
            </w:r>
            <w:r w:rsidR="00FD389B" w:rsidRPr="00FB60E5">
              <w:t>8</w:t>
            </w:r>
          </w:p>
        </w:tc>
      </w:tr>
    </w:tbl>
    <w:p w14:paraId="282F9F12" w14:textId="77777777" w:rsidR="00BB0E5E" w:rsidRDefault="00E95023" w:rsidP="00B17D09">
      <w:pPr>
        <w:pStyle w:val="FootnoteText"/>
      </w:pPr>
      <w:r w:rsidRPr="00FB60E5">
        <w:t>Note: 1) Mental health services included visit to outpatient psychologist, psychiatrist, mental health nurse, mental health worker, crisis and assessment team (CATT)</w:t>
      </w:r>
    </w:p>
    <w:p w14:paraId="38A46182" w14:textId="7D8BED1E" w:rsidR="00072449" w:rsidRPr="00FB60E5" w:rsidRDefault="00552239" w:rsidP="00552239">
      <w:pPr>
        <w:pStyle w:val="Caption"/>
      </w:pPr>
      <w:bookmarkStart w:id="152" w:name="_Ref531624249"/>
      <w:bookmarkStart w:id="153" w:name="_Toc531625786"/>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10</w:t>
      </w:r>
      <w:r>
        <w:fldChar w:fldCharType="end"/>
      </w:r>
      <w:bookmarkEnd w:id="152"/>
      <w:r w:rsidR="00072449" w:rsidRPr="00FB60E5">
        <w:t xml:space="preserve"> Use in the years before and after PIT of AOD specialist, community and acute medical service among outpatient participants</w:t>
      </w:r>
      <w:bookmarkEnd w:id="153"/>
    </w:p>
    <w:tbl>
      <w:tblPr>
        <w:tblStyle w:val="LightList-Accent1"/>
        <w:tblW w:w="5000" w:type="pct"/>
        <w:tblLook w:val="04A0" w:firstRow="1" w:lastRow="0" w:firstColumn="1" w:lastColumn="0" w:noHBand="0" w:noVBand="1"/>
        <w:tblCaption w:val="Table 3.10  Use in the years before and after PIT of AOD specialist, community and acute medical service among outpatient participants "/>
        <w:tblDescription w:val="Table 3.10  Use in the years before and after PIT of AOD specialist, community and acute medical service among outpatient participants "/>
      </w:tblPr>
      <w:tblGrid>
        <w:gridCol w:w="3652"/>
        <w:gridCol w:w="989"/>
        <w:gridCol w:w="1634"/>
        <w:gridCol w:w="1632"/>
        <w:gridCol w:w="1335"/>
      </w:tblGrid>
      <w:tr w:rsidR="00072449" w:rsidRPr="00FB60E5" w14:paraId="38A46188" w14:textId="77777777" w:rsidTr="00B17D09">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1976" w:type="pct"/>
          </w:tcPr>
          <w:p w14:paraId="38A46183" w14:textId="77777777" w:rsidR="00072449" w:rsidRPr="00FB60E5" w:rsidRDefault="00072449" w:rsidP="00B17D09">
            <w:pPr>
              <w:pStyle w:val="tabletext"/>
            </w:pPr>
            <w:r w:rsidRPr="00FB60E5">
              <w:t>Health / social service use</w:t>
            </w:r>
          </w:p>
        </w:tc>
        <w:tc>
          <w:tcPr>
            <w:tcW w:w="535" w:type="pct"/>
          </w:tcPr>
          <w:p w14:paraId="38A46184"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n</w:t>
            </w:r>
          </w:p>
        </w:tc>
        <w:tc>
          <w:tcPr>
            <w:tcW w:w="884" w:type="pct"/>
          </w:tcPr>
          <w:p w14:paraId="38A46185"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Pre-PIT</w:t>
            </w:r>
          </w:p>
        </w:tc>
        <w:tc>
          <w:tcPr>
            <w:tcW w:w="883" w:type="pct"/>
          </w:tcPr>
          <w:p w14:paraId="38A46186"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Post-PIT</w:t>
            </w:r>
          </w:p>
        </w:tc>
        <w:tc>
          <w:tcPr>
            <w:tcW w:w="722" w:type="pct"/>
          </w:tcPr>
          <w:p w14:paraId="38A46187"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18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89" w14:textId="77777777" w:rsidR="00072449" w:rsidRPr="00214785" w:rsidRDefault="00072449" w:rsidP="00AF6D9B">
            <w:pPr>
              <w:pStyle w:val="tabletext"/>
              <w:rPr>
                <w:b w:val="0"/>
              </w:rPr>
            </w:pPr>
            <w:r w:rsidRPr="00214785">
              <w:rPr>
                <w:b w:val="0"/>
              </w:rPr>
              <w:t>Any AOD (exc. Mutual aid)</w:t>
            </w:r>
          </w:p>
        </w:tc>
        <w:tc>
          <w:tcPr>
            <w:tcW w:w="535" w:type="pct"/>
          </w:tcPr>
          <w:p w14:paraId="38A4618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w:t>
            </w:r>
            <w:r w:rsidR="007B1190" w:rsidRPr="00FB60E5">
              <w:t>5</w:t>
            </w:r>
          </w:p>
        </w:tc>
        <w:tc>
          <w:tcPr>
            <w:tcW w:w="884" w:type="pct"/>
          </w:tcPr>
          <w:p w14:paraId="38A4618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6</w:t>
            </w:r>
            <w:r w:rsidR="006F2062" w:rsidRPr="00FB60E5">
              <w:t>1.1</w:t>
            </w:r>
            <w:r w:rsidRPr="00FB60E5">
              <w:t>%</w:t>
            </w:r>
          </w:p>
        </w:tc>
        <w:tc>
          <w:tcPr>
            <w:tcW w:w="883" w:type="pct"/>
          </w:tcPr>
          <w:p w14:paraId="38A4618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w:t>
            </w:r>
            <w:r w:rsidR="006F2062" w:rsidRPr="00FB60E5">
              <w:t>0.3</w:t>
            </w:r>
            <w:r w:rsidRPr="00FB60E5">
              <w:t>%</w:t>
            </w:r>
          </w:p>
        </w:tc>
        <w:tc>
          <w:tcPr>
            <w:tcW w:w="722" w:type="pct"/>
          </w:tcPr>
          <w:p w14:paraId="38A4618D" w14:textId="77777777" w:rsidR="00072449" w:rsidRPr="00FB60E5" w:rsidRDefault="007B1190"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19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8F" w14:textId="77777777" w:rsidR="00072449" w:rsidRPr="00214785" w:rsidRDefault="00072449" w:rsidP="00AF6D9B">
            <w:pPr>
              <w:pStyle w:val="tabletext"/>
              <w:rPr>
                <w:b w:val="0"/>
              </w:rPr>
            </w:pPr>
            <w:r w:rsidRPr="00214785">
              <w:rPr>
                <w:b w:val="0"/>
              </w:rPr>
              <w:t>Withdrawal (detoxification)</w:t>
            </w:r>
          </w:p>
        </w:tc>
        <w:tc>
          <w:tcPr>
            <w:tcW w:w="535" w:type="pct"/>
          </w:tcPr>
          <w:p w14:paraId="38A4619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w:t>
            </w:r>
            <w:r w:rsidR="006F2062" w:rsidRPr="00FB60E5">
              <w:t>6</w:t>
            </w:r>
          </w:p>
        </w:tc>
        <w:tc>
          <w:tcPr>
            <w:tcW w:w="884" w:type="pct"/>
          </w:tcPr>
          <w:p w14:paraId="38A4619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25.</w:t>
            </w:r>
            <w:r w:rsidR="006F2062" w:rsidRPr="00FB60E5">
              <w:t>6</w:t>
            </w:r>
            <w:r w:rsidRPr="00FB60E5">
              <w:t>%</w:t>
            </w:r>
          </w:p>
        </w:tc>
        <w:tc>
          <w:tcPr>
            <w:tcW w:w="883" w:type="pct"/>
          </w:tcPr>
          <w:p w14:paraId="38A4619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20.</w:t>
            </w:r>
            <w:r w:rsidR="006F2062" w:rsidRPr="00FB60E5">
              <w:t>5</w:t>
            </w:r>
            <w:r w:rsidRPr="00FB60E5">
              <w:t>%</w:t>
            </w:r>
          </w:p>
        </w:tc>
        <w:tc>
          <w:tcPr>
            <w:tcW w:w="722" w:type="pct"/>
          </w:tcPr>
          <w:p w14:paraId="38A4619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.24</w:t>
            </w:r>
          </w:p>
        </w:tc>
      </w:tr>
      <w:tr w:rsidR="00072449" w:rsidRPr="00FB60E5" w14:paraId="38A4619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95" w14:textId="77777777" w:rsidR="00072449" w:rsidRPr="00214785" w:rsidRDefault="00072449" w:rsidP="00AF6D9B">
            <w:pPr>
              <w:pStyle w:val="tabletext"/>
              <w:rPr>
                <w:b w:val="0"/>
              </w:rPr>
            </w:pPr>
            <w:r w:rsidRPr="00214785">
              <w:rPr>
                <w:b w:val="0"/>
              </w:rPr>
              <w:t>AOD counselling</w:t>
            </w:r>
          </w:p>
        </w:tc>
        <w:tc>
          <w:tcPr>
            <w:tcW w:w="535" w:type="pct"/>
          </w:tcPr>
          <w:p w14:paraId="38A4619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w:t>
            </w:r>
            <w:r w:rsidR="006F2062" w:rsidRPr="00FB60E5">
              <w:t>6</w:t>
            </w:r>
          </w:p>
        </w:tc>
        <w:tc>
          <w:tcPr>
            <w:tcW w:w="884" w:type="pct"/>
          </w:tcPr>
          <w:p w14:paraId="38A4619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48.</w:t>
            </w:r>
            <w:r w:rsidR="006F2062" w:rsidRPr="00FB60E5">
              <w:t>3</w:t>
            </w:r>
            <w:r w:rsidRPr="00FB60E5">
              <w:t>%</w:t>
            </w:r>
          </w:p>
        </w:tc>
        <w:tc>
          <w:tcPr>
            <w:tcW w:w="883" w:type="pct"/>
          </w:tcPr>
          <w:p w14:paraId="38A4619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w:t>
            </w:r>
            <w:r w:rsidR="006F2062" w:rsidRPr="00FB60E5">
              <w:t>6.9</w:t>
            </w:r>
            <w:r w:rsidRPr="00FB60E5">
              <w:t>%</w:t>
            </w:r>
          </w:p>
        </w:tc>
        <w:tc>
          <w:tcPr>
            <w:tcW w:w="722" w:type="pct"/>
          </w:tcPr>
          <w:p w14:paraId="38A46199" w14:textId="77777777" w:rsidR="00072449" w:rsidRPr="00FB60E5" w:rsidRDefault="006F2062"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1A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9B" w14:textId="77777777" w:rsidR="00072449" w:rsidRPr="00214785" w:rsidRDefault="00072449" w:rsidP="00AF6D9B">
            <w:pPr>
              <w:pStyle w:val="tabletext"/>
              <w:rPr>
                <w:b w:val="0"/>
              </w:rPr>
            </w:pPr>
            <w:r w:rsidRPr="00214785">
              <w:rPr>
                <w:b w:val="0"/>
              </w:rPr>
              <w:t>Residential rehabilitation</w:t>
            </w:r>
          </w:p>
        </w:tc>
        <w:tc>
          <w:tcPr>
            <w:tcW w:w="535" w:type="pct"/>
          </w:tcPr>
          <w:p w14:paraId="38A4619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w:t>
            </w:r>
            <w:r w:rsidR="005C31F3" w:rsidRPr="00FB60E5">
              <w:t>6</w:t>
            </w:r>
          </w:p>
        </w:tc>
        <w:tc>
          <w:tcPr>
            <w:tcW w:w="884" w:type="pct"/>
          </w:tcPr>
          <w:p w14:paraId="38A4619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6.2%</w:t>
            </w:r>
          </w:p>
        </w:tc>
        <w:tc>
          <w:tcPr>
            <w:tcW w:w="883" w:type="pct"/>
          </w:tcPr>
          <w:p w14:paraId="38A4619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9.</w:t>
            </w:r>
            <w:r w:rsidR="005C31F3" w:rsidRPr="00FB60E5">
              <w:t>1</w:t>
            </w:r>
            <w:r w:rsidRPr="00FB60E5">
              <w:t>%</w:t>
            </w:r>
          </w:p>
        </w:tc>
        <w:tc>
          <w:tcPr>
            <w:tcW w:w="722" w:type="pct"/>
          </w:tcPr>
          <w:p w14:paraId="38A4619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.38</w:t>
            </w:r>
          </w:p>
        </w:tc>
      </w:tr>
      <w:tr w:rsidR="00072449" w:rsidRPr="00FB60E5" w14:paraId="38A461A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A1" w14:textId="77777777" w:rsidR="00072449" w:rsidRPr="00214785" w:rsidRDefault="00072449" w:rsidP="00AF6D9B">
            <w:pPr>
              <w:pStyle w:val="tabletext"/>
              <w:rPr>
                <w:b w:val="0"/>
              </w:rPr>
            </w:pPr>
            <w:r w:rsidRPr="00214785">
              <w:rPr>
                <w:b w:val="0"/>
              </w:rPr>
              <w:t>Self-help and mutual aid programs</w:t>
            </w:r>
          </w:p>
        </w:tc>
        <w:tc>
          <w:tcPr>
            <w:tcW w:w="535" w:type="pct"/>
          </w:tcPr>
          <w:p w14:paraId="38A461A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w:t>
            </w:r>
            <w:r w:rsidR="005C31F3" w:rsidRPr="00FB60E5">
              <w:t>69</w:t>
            </w:r>
          </w:p>
        </w:tc>
        <w:tc>
          <w:tcPr>
            <w:tcW w:w="884" w:type="pct"/>
          </w:tcPr>
          <w:p w14:paraId="38A461A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31.</w:t>
            </w:r>
            <w:r w:rsidR="005C31F3" w:rsidRPr="00FB60E5">
              <w:t>4</w:t>
            </w:r>
            <w:r w:rsidRPr="00FB60E5">
              <w:t>%</w:t>
            </w:r>
          </w:p>
        </w:tc>
        <w:tc>
          <w:tcPr>
            <w:tcW w:w="883" w:type="pct"/>
          </w:tcPr>
          <w:p w14:paraId="38A461A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w:t>
            </w:r>
            <w:r w:rsidR="005C31F3" w:rsidRPr="00FB60E5">
              <w:t>1.4</w:t>
            </w:r>
            <w:r w:rsidRPr="00FB60E5">
              <w:t>%</w:t>
            </w:r>
          </w:p>
        </w:tc>
        <w:tc>
          <w:tcPr>
            <w:tcW w:w="722" w:type="pct"/>
          </w:tcPr>
          <w:p w14:paraId="38A461A5" w14:textId="77777777" w:rsidR="00072449" w:rsidRPr="00FB60E5" w:rsidRDefault="005C31F3" w:rsidP="00AF6D9B">
            <w:pPr>
              <w:pStyle w:val="tabletext"/>
              <w:cnfStyle w:val="000000100000" w:firstRow="0" w:lastRow="0" w:firstColumn="0" w:lastColumn="0" w:oddVBand="0" w:evenVBand="0" w:oddHBand="1" w:evenHBand="0" w:firstRowFirstColumn="0" w:firstRowLastColumn="0" w:lastRowFirstColumn="0" w:lastRowLastColumn="0"/>
            </w:pPr>
            <w:r w:rsidRPr="00FB60E5">
              <w:t>1</w:t>
            </w:r>
            <w:r w:rsidR="00072449" w:rsidRPr="00FB60E5">
              <w:t>.</w:t>
            </w:r>
            <w:r w:rsidRPr="00FB60E5">
              <w:t>00</w:t>
            </w:r>
          </w:p>
        </w:tc>
      </w:tr>
      <w:tr w:rsidR="00072449" w:rsidRPr="00FB60E5" w14:paraId="38A461A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A7" w14:textId="77777777" w:rsidR="00072449" w:rsidRPr="00214785" w:rsidRDefault="00072449" w:rsidP="00AF6D9B">
            <w:pPr>
              <w:pStyle w:val="tabletext"/>
              <w:rPr>
                <w:b w:val="0"/>
              </w:rPr>
            </w:pPr>
            <w:r w:rsidRPr="00214785">
              <w:rPr>
                <w:b w:val="0"/>
              </w:rPr>
              <w:t>Any community service (exc. GP)</w:t>
            </w:r>
          </w:p>
        </w:tc>
        <w:tc>
          <w:tcPr>
            <w:tcW w:w="535" w:type="pct"/>
          </w:tcPr>
          <w:p w14:paraId="38A461A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175</w:t>
            </w:r>
          </w:p>
        </w:tc>
        <w:tc>
          <w:tcPr>
            <w:tcW w:w="884" w:type="pct"/>
          </w:tcPr>
          <w:p w14:paraId="38A461A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88.</w:t>
            </w:r>
            <w:r w:rsidR="005C31F3" w:rsidRPr="00FB60E5">
              <w:t>0</w:t>
            </w:r>
            <w:r w:rsidRPr="00FB60E5">
              <w:t>%</w:t>
            </w:r>
          </w:p>
        </w:tc>
        <w:tc>
          <w:tcPr>
            <w:tcW w:w="883" w:type="pct"/>
          </w:tcPr>
          <w:p w14:paraId="38A461A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77.</w:t>
            </w:r>
            <w:r w:rsidR="005C31F3" w:rsidRPr="00FB60E5">
              <w:t>1</w:t>
            </w:r>
            <w:r w:rsidRPr="00FB60E5">
              <w:t>%</w:t>
            </w:r>
          </w:p>
        </w:tc>
        <w:tc>
          <w:tcPr>
            <w:tcW w:w="722" w:type="pct"/>
          </w:tcPr>
          <w:p w14:paraId="38A461AB" w14:textId="77777777" w:rsidR="00072449" w:rsidRPr="00FB60E5" w:rsidRDefault="006F2062" w:rsidP="00AF6D9B">
            <w:pPr>
              <w:pStyle w:val="tabletext"/>
              <w:cnfStyle w:val="000000000000" w:firstRow="0" w:lastRow="0" w:firstColumn="0" w:lastColumn="0" w:oddVBand="0" w:evenVBand="0" w:oddHBand="0" w:evenHBand="0" w:firstRowFirstColumn="0" w:firstRowLastColumn="0" w:lastRowFirstColumn="0" w:lastRowLastColumn="0"/>
            </w:pPr>
            <w:r w:rsidRPr="00FB60E5">
              <w:t xml:space="preserve">&lt; </w:t>
            </w:r>
            <w:r w:rsidR="00072449" w:rsidRPr="00FB60E5">
              <w:t>.0</w:t>
            </w:r>
            <w:r w:rsidRPr="00FB60E5">
              <w:t>1</w:t>
            </w:r>
          </w:p>
        </w:tc>
      </w:tr>
      <w:tr w:rsidR="00072449" w:rsidRPr="00FB60E5" w14:paraId="38A461B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AD" w14:textId="77777777" w:rsidR="00072449" w:rsidRPr="00214785" w:rsidRDefault="00072449" w:rsidP="00AF6D9B">
            <w:pPr>
              <w:pStyle w:val="tabletext"/>
              <w:rPr>
                <w:b w:val="0"/>
              </w:rPr>
            </w:pPr>
            <w:r w:rsidRPr="00214785">
              <w:rPr>
                <w:b w:val="0"/>
              </w:rPr>
              <w:t>General practitioner</w:t>
            </w:r>
          </w:p>
        </w:tc>
        <w:tc>
          <w:tcPr>
            <w:tcW w:w="535" w:type="pct"/>
          </w:tcPr>
          <w:p w14:paraId="38A461A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w:t>
            </w:r>
            <w:r w:rsidR="005C31F3" w:rsidRPr="00FB60E5">
              <w:t>5</w:t>
            </w:r>
          </w:p>
        </w:tc>
        <w:tc>
          <w:tcPr>
            <w:tcW w:w="884" w:type="pct"/>
          </w:tcPr>
          <w:p w14:paraId="38A461A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93.</w:t>
            </w:r>
            <w:r w:rsidR="005C31F3" w:rsidRPr="00FB60E5">
              <w:t>7</w:t>
            </w:r>
            <w:r w:rsidRPr="00FB60E5">
              <w:t>%</w:t>
            </w:r>
          </w:p>
        </w:tc>
        <w:tc>
          <w:tcPr>
            <w:tcW w:w="883" w:type="pct"/>
          </w:tcPr>
          <w:p w14:paraId="38A461B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94.</w:t>
            </w:r>
            <w:r w:rsidR="005C31F3" w:rsidRPr="00FB60E5">
              <w:t>3</w:t>
            </w:r>
            <w:r w:rsidRPr="00FB60E5">
              <w:t>%</w:t>
            </w:r>
          </w:p>
        </w:tc>
        <w:tc>
          <w:tcPr>
            <w:tcW w:w="722" w:type="pct"/>
          </w:tcPr>
          <w:p w14:paraId="38A461B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1.00</w:t>
            </w:r>
          </w:p>
        </w:tc>
      </w:tr>
      <w:tr w:rsidR="00072449" w:rsidRPr="00FB60E5" w14:paraId="38A461B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B3" w14:textId="77777777" w:rsidR="00072449" w:rsidRPr="00214785" w:rsidRDefault="00072449" w:rsidP="00AF6D9B">
            <w:pPr>
              <w:pStyle w:val="tabletext"/>
              <w:rPr>
                <w:b w:val="0"/>
              </w:rPr>
            </w:pPr>
            <w:r w:rsidRPr="00214785">
              <w:rPr>
                <w:b w:val="0"/>
              </w:rPr>
              <w:t>Mental health service</w:t>
            </w:r>
          </w:p>
        </w:tc>
        <w:tc>
          <w:tcPr>
            <w:tcW w:w="535" w:type="pct"/>
          </w:tcPr>
          <w:p w14:paraId="38A461B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175</w:t>
            </w:r>
          </w:p>
        </w:tc>
        <w:tc>
          <w:tcPr>
            <w:tcW w:w="884" w:type="pct"/>
          </w:tcPr>
          <w:p w14:paraId="38A461B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w:t>
            </w:r>
            <w:r w:rsidR="00AC491D" w:rsidRPr="00FB60E5">
              <w:t>6.3</w:t>
            </w:r>
            <w:r w:rsidRPr="00FB60E5">
              <w:t>%</w:t>
            </w:r>
          </w:p>
        </w:tc>
        <w:tc>
          <w:tcPr>
            <w:tcW w:w="883" w:type="pct"/>
          </w:tcPr>
          <w:p w14:paraId="38A461B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w:t>
            </w:r>
            <w:r w:rsidR="00AC491D" w:rsidRPr="00FB60E5">
              <w:t>7.7</w:t>
            </w:r>
            <w:r w:rsidRPr="00FB60E5">
              <w:t>%</w:t>
            </w:r>
          </w:p>
        </w:tc>
        <w:tc>
          <w:tcPr>
            <w:tcW w:w="722" w:type="pct"/>
          </w:tcPr>
          <w:p w14:paraId="38A461B7" w14:textId="77777777" w:rsidR="00072449" w:rsidRPr="00FB60E5" w:rsidRDefault="005C31F3"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AC491D" w:rsidRPr="00FB60E5">
              <w:t xml:space="preserve"> </w:t>
            </w:r>
            <w:r w:rsidR="00072449" w:rsidRPr="00FB60E5">
              <w:t>.0</w:t>
            </w:r>
            <w:r w:rsidRPr="00FB60E5">
              <w:t>5</w:t>
            </w:r>
          </w:p>
        </w:tc>
      </w:tr>
      <w:tr w:rsidR="00072449" w:rsidRPr="00FB60E5" w14:paraId="38A461B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B9" w14:textId="77777777" w:rsidR="00072449" w:rsidRPr="00214785" w:rsidRDefault="00072449" w:rsidP="00AF6D9B">
            <w:pPr>
              <w:pStyle w:val="tabletext"/>
              <w:rPr>
                <w:b w:val="0"/>
              </w:rPr>
            </w:pPr>
            <w:r w:rsidRPr="00214785">
              <w:rPr>
                <w:b w:val="0"/>
              </w:rPr>
              <w:t>Legal aid</w:t>
            </w:r>
          </w:p>
        </w:tc>
        <w:tc>
          <w:tcPr>
            <w:tcW w:w="535" w:type="pct"/>
          </w:tcPr>
          <w:p w14:paraId="38A461B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175</w:t>
            </w:r>
          </w:p>
        </w:tc>
        <w:tc>
          <w:tcPr>
            <w:tcW w:w="884" w:type="pct"/>
          </w:tcPr>
          <w:p w14:paraId="38A461B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30.9%</w:t>
            </w:r>
          </w:p>
        </w:tc>
        <w:tc>
          <w:tcPr>
            <w:tcW w:w="883" w:type="pct"/>
          </w:tcPr>
          <w:p w14:paraId="38A461B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21.1%</w:t>
            </w:r>
          </w:p>
        </w:tc>
        <w:tc>
          <w:tcPr>
            <w:tcW w:w="722" w:type="pct"/>
          </w:tcPr>
          <w:p w14:paraId="38A461BD" w14:textId="77777777" w:rsidR="00072449" w:rsidRPr="00FB60E5" w:rsidRDefault="006F2062"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1C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BF" w14:textId="77777777" w:rsidR="00072449" w:rsidRPr="00214785" w:rsidRDefault="00072449" w:rsidP="00AF6D9B">
            <w:pPr>
              <w:pStyle w:val="tabletext"/>
              <w:rPr>
                <w:b w:val="0"/>
              </w:rPr>
            </w:pPr>
            <w:r w:rsidRPr="00214785">
              <w:rPr>
                <w:b w:val="0"/>
              </w:rPr>
              <w:t>Financial counselling</w:t>
            </w:r>
          </w:p>
        </w:tc>
        <w:tc>
          <w:tcPr>
            <w:tcW w:w="535" w:type="pct"/>
          </w:tcPr>
          <w:p w14:paraId="38A461C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175</w:t>
            </w:r>
          </w:p>
        </w:tc>
        <w:tc>
          <w:tcPr>
            <w:tcW w:w="884" w:type="pct"/>
          </w:tcPr>
          <w:p w14:paraId="38A461C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13.1%</w:t>
            </w:r>
          </w:p>
        </w:tc>
        <w:tc>
          <w:tcPr>
            <w:tcW w:w="883" w:type="pct"/>
          </w:tcPr>
          <w:p w14:paraId="38A461C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8.6%</w:t>
            </w:r>
          </w:p>
        </w:tc>
        <w:tc>
          <w:tcPr>
            <w:tcW w:w="722" w:type="pct"/>
          </w:tcPr>
          <w:p w14:paraId="38A461C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p>
        </w:tc>
      </w:tr>
      <w:tr w:rsidR="00072449" w:rsidRPr="00FB60E5" w14:paraId="38A461C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C5" w14:textId="77777777" w:rsidR="00072449" w:rsidRPr="00214785" w:rsidRDefault="00072449" w:rsidP="00AF6D9B">
            <w:pPr>
              <w:pStyle w:val="tabletext"/>
              <w:rPr>
                <w:b w:val="0"/>
              </w:rPr>
            </w:pPr>
            <w:r w:rsidRPr="00214785">
              <w:rPr>
                <w:b w:val="0"/>
              </w:rPr>
              <w:t>Employment service</w:t>
            </w:r>
          </w:p>
        </w:tc>
        <w:tc>
          <w:tcPr>
            <w:tcW w:w="535" w:type="pct"/>
          </w:tcPr>
          <w:p w14:paraId="38A461C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175</w:t>
            </w:r>
          </w:p>
        </w:tc>
        <w:tc>
          <w:tcPr>
            <w:tcW w:w="884" w:type="pct"/>
          </w:tcPr>
          <w:p w14:paraId="38A461C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w:t>
            </w:r>
            <w:r w:rsidR="00AC491D" w:rsidRPr="00FB60E5">
              <w:t>1.7</w:t>
            </w:r>
            <w:r w:rsidRPr="00FB60E5">
              <w:t>%</w:t>
            </w:r>
          </w:p>
        </w:tc>
        <w:tc>
          <w:tcPr>
            <w:tcW w:w="883" w:type="pct"/>
          </w:tcPr>
          <w:p w14:paraId="38A461C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41.7%</w:t>
            </w:r>
          </w:p>
        </w:tc>
        <w:tc>
          <w:tcPr>
            <w:tcW w:w="722" w:type="pct"/>
          </w:tcPr>
          <w:p w14:paraId="38A461C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1.00</w:t>
            </w:r>
          </w:p>
        </w:tc>
      </w:tr>
      <w:tr w:rsidR="00072449" w:rsidRPr="00FB60E5" w14:paraId="38A461D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CB" w14:textId="77777777" w:rsidR="00072449" w:rsidRPr="00214785" w:rsidRDefault="00072449" w:rsidP="00AF6D9B">
            <w:pPr>
              <w:pStyle w:val="tabletext"/>
              <w:rPr>
                <w:b w:val="0"/>
              </w:rPr>
            </w:pPr>
            <w:r w:rsidRPr="00214785">
              <w:rPr>
                <w:b w:val="0"/>
              </w:rPr>
              <w:t>Family/relationship counselling</w:t>
            </w:r>
          </w:p>
        </w:tc>
        <w:tc>
          <w:tcPr>
            <w:tcW w:w="535" w:type="pct"/>
          </w:tcPr>
          <w:p w14:paraId="38A461C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175</w:t>
            </w:r>
          </w:p>
        </w:tc>
        <w:tc>
          <w:tcPr>
            <w:tcW w:w="884" w:type="pct"/>
          </w:tcPr>
          <w:p w14:paraId="38A461C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4.6%</w:t>
            </w:r>
          </w:p>
        </w:tc>
        <w:tc>
          <w:tcPr>
            <w:tcW w:w="883" w:type="pct"/>
          </w:tcPr>
          <w:p w14:paraId="38A461C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4.6%</w:t>
            </w:r>
          </w:p>
        </w:tc>
        <w:tc>
          <w:tcPr>
            <w:tcW w:w="722" w:type="pct"/>
          </w:tcPr>
          <w:p w14:paraId="38A461C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1.00</w:t>
            </w:r>
          </w:p>
        </w:tc>
      </w:tr>
      <w:tr w:rsidR="00072449" w:rsidRPr="00FB60E5" w14:paraId="38A461D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D1" w14:textId="77777777" w:rsidR="00072449" w:rsidRPr="00214785" w:rsidRDefault="00072449" w:rsidP="00AF6D9B">
            <w:pPr>
              <w:pStyle w:val="tabletext"/>
              <w:rPr>
                <w:b w:val="0"/>
              </w:rPr>
            </w:pPr>
            <w:r w:rsidRPr="00214785">
              <w:rPr>
                <w:b w:val="0"/>
              </w:rPr>
              <w:t>Housing/homelessness service</w:t>
            </w:r>
          </w:p>
        </w:tc>
        <w:tc>
          <w:tcPr>
            <w:tcW w:w="535" w:type="pct"/>
          </w:tcPr>
          <w:p w14:paraId="38A461D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173</w:t>
            </w:r>
          </w:p>
        </w:tc>
        <w:tc>
          <w:tcPr>
            <w:tcW w:w="884" w:type="pct"/>
          </w:tcPr>
          <w:p w14:paraId="38A461D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26.6%</w:t>
            </w:r>
          </w:p>
        </w:tc>
        <w:tc>
          <w:tcPr>
            <w:tcW w:w="883" w:type="pct"/>
          </w:tcPr>
          <w:p w14:paraId="38A461D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19.</w:t>
            </w:r>
            <w:r w:rsidR="00AC491D" w:rsidRPr="00FB60E5">
              <w:t>1</w:t>
            </w:r>
            <w:r w:rsidRPr="00FB60E5">
              <w:t>%</w:t>
            </w:r>
          </w:p>
        </w:tc>
        <w:tc>
          <w:tcPr>
            <w:tcW w:w="722" w:type="pct"/>
          </w:tcPr>
          <w:p w14:paraId="38A461D5"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.0</w:t>
            </w:r>
            <w:r w:rsidR="00AC491D" w:rsidRPr="00FB60E5">
              <w:t>7</w:t>
            </w:r>
          </w:p>
        </w:tc>
      </w:tr>
      <w:tr w:rsidR="00072449" w:rsidRPr="00FB60E5" w14:paraId="38A461D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D7" w14:textId="77777777" w:rsidR="00072449" w:rsidRPr="00214785" w:rsidRDefault="00072449" w:rsidP="00AF6D9B">
            <w:pPr>
              <w:pStyle w:val="tabletext"/>
              <w:rPr>
                <w:b w:val="0"/>
              </w:rPr>
            </w:pPr>
            <w:r w:rsidRPr="00214785">
              <w:rPr>
                <w:b w:val="0"/>
              </w:rPr>
              <w:t>Any acute service use</w:t>
            </w:r>
          </w:p>
        </w:tc>
        <w:tc>
          <w:tcPr>
            <w:tcW w:w="535" w:type="pct"/>
          </w:tcPr>
          <w:p w14:paraId="38A461D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175</w:t>
            </w:r>
          </w:p>
        </w:tc>
        <w:tc>
          <w:tcPr>
            <w:tcW w:w="884" w:type="pct"/>
          </w:tcPr>
          <w:p w14:paraId="38A461D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w:t>
            </w:r>
            <w:r w:rsidR="00052650" w:rsidRPr="00FB60E5">
              <w:t>6</w:t>
            </w:r>
            <w:r w:rsidRPr="00FB60E5">
              <w:t>.</w:t>
            </w:r>
            <w:r w:rsidR="00052650" w:rsidRPr="00FB60E5">
              <w:t>0</w:t>
            </w:r>
            <w:r w:rsidRPr="00FB60E5">
              <w:t>%</w:t>
            </w:r>
          </w:p>
        </w:tc>
        <w:tc>
          <w:tcPr>
            <w:tcW w:w="883" w:type="pct"/>
          </w:tcPr>
          <w:p w14:paraId="38A461D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50.3%</w:t>
            </w:r>
          </w:p>
        </w:tc>
        <w:tc>
          <w:tcPr>
            <w:tcW w:w="722" w:type="pct"/>
          </w:tcPr>
          <w:p w14:paraId="38A461D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AC491D" w:rsidRPr="00FB60E5">
              <w:t>24</w:t>
            </w:r>
          </w:p>
        </w:tc>
      </w:tr>
      <w:tr w:rsidR="00072449" w:rsidRPr="00FB60E5" w14:paraId="38A461E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DD" w14:textId="77777777" w:rsidR="00072449" w:rsidRPr="00214785" w:rsidRDefault="00072449" w:rsidP="00AF6D9B">
            <w:pPr>
              <w:pStyle w:val="tabletext"/>
              <w:rPr>
                <w:b w:val="0"/>
              </w:rPr>
            </w:pPr>
            <w:r w:rsidRPr="00214785">
              <w:rPr>
                <w:b w:val="0"/>
              </w:rPr>
              <w:t>Ambulance</w:t>
            </w:r>
          </w:p>
        </w:tc>
        <w:tc>
          <w:tcPr>
            <w:tcW w:w="535" w:type="pct"/>
          </w:tcPr>
          <w:p w14:paraId="38A461D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175</w:t>
            </w:r>
          </w:p>
        </w:tc>
        <w:tc>
          <w:tcPr>
            <w:tcW w:w="884" w:type="pct"/>
          </w:tcPr>
          <w:p w14:paraId="38A461D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28.6%</w:t>
            </w:r>
          </w:p>
        </w:tc>
        <w:tc>
          <w:tcPr>
            <w:tcW w:w="883" w:type="pct"/>
          </w:tcPr>
          <w:p w14:paraId="38A461E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28.0%</w:t>
            </w:r>
          </w:p>
        </w:tc>
        <w:tc>
          <w:tcPr>
            <w:tcW w:w="722" w:type="pct"/>
          </w:tcPr>
          <w:p w14:paraId="38A461E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1.00</w:t>
            </w:r>
          </w:p>
        </w:tc>
      </w:tr>
      <w:tr w:rsidR="00072449" w:rsidRPr="00FB60E5" w14:paraId="38A461E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E3" w14:textId="77777777" w:rsidR="00072449" w:rsidRPr="00214785" w:rsidRDefault="00072449" w:rsidP="00AF6D9B">
            <w:pPr>
              <w:pStyle w:val="tabletext"/>
              <w:rPr>
                <w:b w:val="0"/>
              </w:rPr>
            </w:pPr>
            <w:r w:rsidRPr="00214785">
              <w:rPr>
                <w:b w:val="0"/>
              </w:rPr>
              <w:t>Hospital emergency department</w:t>
            </w:r>
          </w:p>
        </w:tc>
        <w:tc>
          <w:tcPr>
            <w:tcW w:w="535" w:type="pct"/>
          </w:tcPr>
          <w:p w14:paraId="38A461E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175</w:t>
            </w:r>
          </w:p>
        </w:tc>
        <w:tc>
          <w:tcPr>
            <w:tcW w:w="884" w:type="pct"/>
          </w:tcPr>
          <w:p w14:paraId="38A461E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w:t>
            </w:r>
            <w:r w:rsidR="00052650" w:rsidRPr="00FB60E5">
              <w:t>8.6</w:t>
            </w:r>
            <w:r w:rsidRPr="00FB60E5">
              <w:t>%</w:t>
            </w:r>
          </w:p>
        </w:tc>
        <w:tc>
          <w:tcPr>
            <w:tcW w:w="883" w:type="pct"/>
          </w:tcPr>
          <w:p w14:paraId="38A461E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45.1%</w:t>
            </w:r>
          </w:p>
        </w:tc>
        <w:tc>
          <w:tcPr>
            <w:tcW w:w="722" w:type="pct"/>
          </w:tcPr>
          <w:p w14:paraId="38A461E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052650" w:rsidRPr="00FB60E5">
              <w:t>50</w:t>
            </w:r>
          </w:p>
        </w:tc>
      </w:tr>
      <w:tr w:rsidR="00072449" w:rsidRPr="00FB60E5" w14:paraId="38A461E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976" w:type="pct"/>
          </w:tcPr>
          <w:p w14:paraId="38A461E9" w14:textId="77777777" w:rsidR="00072449" w:rsidRPr="00214785" w:rsidRDefault="00072449" w:rsidP="00AF6D9B">
            <w:pPr>
              <w:pStyle w:val="tabletext"/>
              <w:rPr>
                <w:b w:val="0"/>
              </w:rPr>
            </w:pPr>
            <w:r w:rsidRPr="00214785">
              <w:rPr>
                <w:b w:val="0"/>
              </w:rPr>
              <w:t>Hospital inpatient services</w:t>
            </w:r>
          </w:p>
        </w:tc>
        <w:tc>
          <w:tcPr>
            <w:tcW w:w="535" w:type="pct"/>
          </w:tcPr>
          <w:p w14:paraId="38A461E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175</w:t>
            </w:r>
          </w:p>
        </w:tc>
        <w:tc>
          <w:tcPr>
            <w:tcW w:w="884" w:type="pct"/>
          </w:tcPr>
          <w:p w14:paraId="38A461E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28.0%</w:t>
            </w:r>
          </w:p>
        </w:tc>
        <w:tc>
          <w:tcPr>
            <w:tcW w:w="883" w:type="pct"/>
          </w:tcPr>
          <w:p w14:paraId="38A461E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22.9%</w:t>
            </w:r>
          </w:p>
        </w:tc>
        <w:tc>
          <w:tcPr>
            <w:tcW w:w="722" w:type="pct"/>
          </w:tcPr>
          <w:p w14:paraId="38A461E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w:t>
            </w:r>
          </w:p>
        </w:tc>
      </w:tr>
    </w:tbl>
    <w:p w14:paraId="4EA61AA0" w14:textId="356F5319" w:rsidR="002C27A8" w:rsidRDefault="00072449" w:rsidP="00FB60E5">
      <w:pPr>
        <w:ind w:left="0"/>
      </w:pPr>
      <w:r w:rsidRPr="00FB60E5">
        <w:t>Service use in the past year was not consistent across PIT type. Among outpatient participants there was little change except a small reduction in the proportion engaging in counselling and community services (particularly legal aid</w:t>
      </w:r>
      <w:r w:rsidR="00052650" w:rsidRPr="00FB60E5">
        <w:t xml:space="preserve"> and mental health services</w:t>
      </w:r>
      <w:r w:rsidRPr="00FB60E5">
        <w:t>)</w:t>
      </w:r>
      <w:r w:rsidR="00E95023" w:rsidRPr="00FB60E5">
        <w:t xml:space="preserve"> (see </w:t>
      </w:r>
      <w:r w:rsidR="00552239">
        <w:fldChar w:fldCharType="begin"/>
      </w:r>
      <w:r w:rsidR="00552239">
        <w:instrText xml:space="preserve"> REF _Ref531624249 \h </w:instrText>
      </w:r>
      <w:r w:rsidR="00552239">
        <w:fldChar w:fldCharType="separate"/>
      </w:r>
      <w:r w:rsidR="00552239">
        <w:t xml:space="preserve">Table </w:t>
      </w:r>
      <w:r w:rsidR="00552239">
        <w:rPr>
          <w:noProof/>
        </w:rPr>
        <w:t>3</w:t>
      </w:r>
      <w:r w:rsidR="00552239">
        <w:t>.</w:t>
      </w:r>
      <w:r w:rsidR="00552239">
        <w:rPr>
          <w:noProof/>
        </w:rPr>
        <w:t>10</w:t>
      </w:r>
      <w:r w:rsidR="00552239">
        <w:fldChar w:fldCharType="end"/>
      </w:r>
      <w:r w:rsidR="00E95023" w:rsidRPr="00FB60E5">
        <w:t>)</w:t>
      </w:r>
      <w:r w:rsidRPr="00FB60E5">
        <w:t>. Among acute withdrawal participants, there was a significant increase in GP attendance rates and in the proportion engaging in any form of AOD-specialist treatment (</w:t>
      </w:r>
      <w:r w:rsidR="00EF62C1" w:rsidRPr="00FB60E5">
        <w:t>77</w:t>
      </w:r>
      <w:r w:rsidRPr="00FB60E5">
        <w:t>%), with the most significant increase in residential rehabilitation</w:t>
      </w:r>
      <w:r w:rsidR="00052650" w:rsidRPr="00FB60E5">
        <w:t>,</w:t>
      </w:r>
      <w:r w:rsidRPr="00FB60E5">
        <w:t xml:space="preserve"> attended by more than one-third</w:t>
      </w:r>
      <w:r w:rsidR="00052650" w:rsidRPr="00FB60E5">
        <w:t xml:space="preserve"> post-PIT.</w:t>
      </w:r>
      <w:r w:rsidRPr="00FB60E5">
        <w:t xml:space="preserve"> The proportion attending mutual aid groups also increased significantly so that just over half were attending post-PIT</w:t>
      </w:r>
      <w:r w:rsidR="00D70DCF" w:rsidRPr="00FB60E5">
        <w:t xml:space="preserve"> (see </w:t>
      </w:r>
      <w:r w:rsidR="001B3CBD">
        <w:fldChar w:fldCharType="begin"/>
      </w:r>
      <w:r w:rsidR="001B3CBD">
        <w:instrText xml:space="preserve"> REF _Ref531624274 \h </w:instrText>
      </w:r>
      <w:r w:rsidR="001B3CBD">
        <w:fldChar w:fldCharType="separate"/>
      </w:r>
      <w:r w:rsidR="001B3CBD">
        <w:t xml:space="preserve">Table </w:t>
      </w:r>
      <w:r w:rsidR="001B3CBD">
        <w:rPr>
          <w:noProof/>
        </w:rPr>
        <w:t>3</w:t>
      </w:r>
      <w:r w:rsidR="001B3CBD">
        <w:t>.</w:t>
      </w:r>
      <w:r w:rsidR="001B3CBD">
        <w:rPr>
          <w:noProof/>
        </w:rPr>
        <w:t>11</w:t>
      </w:r>
      <w:r w:rsidR="001B3CBD">
        <w:fldChar w:fldCharType="end"/>
      </w:r>
      <w:r w:rsidR="00D70DCF" w:rsidRPr="00FB60E5">
        <w:t>)</w:t>
      </w:r>
      <w:r w:rsidR="002C27A8">
        <w:t>.</w:t>
      </w:r>
    </w:p>
    <w:p w14:paraId="38A461F2" w14:textId="3C506639" w:rsidR="00072449" w:rsidRPr="00FB60E5" w:rsidRDefault="00552239" w:rsidP="00552239">
      <w:pPr>
        <w:pStyle w:val="Caption"/>
        <w:pageBreakBefore/>
      </w:pPr>
      <w:bookmarkStart w:id="154" w:name="_Ref531624274"/>
      <w:bookmarkStart w:id="155" w:name="_Toc531625787"/>
      <w:proofErr w:type="gramStart"/>
      <w:r>
        <w:lastRenderedPageBreak/>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11</w:t>
      </w:r>
      <w:r>
        <w:fldChar w:fldCharType="end"/>
      </w:r>
      <w:bookmarkEnd w:id="154"/>
      <w:r w:rsidR="00072449" w:rsidRPr="00FB60E5">
        <w:t xml:space="preserve"> Use in the years before and after PIT of AOD specialist, community and acute medical service among acute withdrawal participants</w:t>
      </w:r>
      <w:bookmarkEnd w:id="155"/>
    </w:p>
    <w:tbl>
      <w:tblPr>
        <w:tblStyle w:val="LightList-Accent1"/>
        <w:tblW w:w="5000" w:type="pct"/>
        <w:tblLook w:val="04A0" w:firstRow="1" w:lastRow="0" w:firstColumn="1" w:lastColumn="0" w:noHBand="0" w:noVBand="1"/>
        <w:tblCaption w:val="Table 3.11  Use in the years before and after PIT of AOD specialist, community and acute medical service among acute withdrawal participants  "/>
        <w:tblDescription w:val="Table 3.11  Use in the years before and after PIT of AOD specialist, community and acute medical service among acute withdrawal participants  "/>
      </w:tblPr>
      <w:tblGrid>
        <w:gridCol w:w="3510"/>
        <w:gridCol w:w="1131"/>
        <w:gridCol w:w="1634"/>
        <w:gridCol w:w="1632"/>
        <w:gridCol w:w="1335"/>
      </w:tblGrid>
      <w:tr w:rsidR="00072449" w:rsidRPr="00FB60E5" w14:paraId="38A461F8" w14:textId="77777777" w:rsidTr="00B17D09">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1899" w:type="pct"/>
          </w:tcPr>
          <w:p w14:paraId="38A461F3" w14:textId="77777777" w:rsidR="00072449" w:rsidRPr="00FB60E5" w:rsidRDefault="00072449" w:rsidP="00B17D09">
            <w:pPr>
              <w:pStyle w:val="tabletext"/>
            </w:pPr>
            <w:r w:rsidRPr="00FB60E5">
              <w:t>Health / social service use</w:t>
            </w:r>
          </w:p>
        </w:tc>
        <w:tc>
          <w:tcPr>
            <w:tcW w:w="612" w:type="pct"/>
          </w:tcPr>
          <w:p w14:paraId="38A461F4"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n</w:t>
            </w:r>
          </w:p>
        </w:tc>
        <w:tc>
          <w:tcPr>
            <w:tcW w:w="884" w:type="pct"/>
          </w:tcPr>
          <w:p w14:paraId="38A461F5"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Pre-PIT</w:t>
            </w:r>
          </w:p>
        </w:tc>
        <w:tc>
          <w:tcPr>
            <w:tcW w:w="883" w:type="pct"/>
          </w:tcPr>
          <w:p w14:paraId="38A461F6"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Post-PIT</w:t>
            </w:r>
          </w:p>
        </w:tc>
        <w:tc>
          <w:tcPr>
            <w:tcW w:w="722" w:type="pct"/>
          </w:tcPr>
          <w:p w14:paraId="38A461F7"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1F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F9" w14:textId="77777777" w:rsidR="00072449" w:rsidRPr="00214785" w:rsidRDefault="00072449" w:rsidP="00AF6D9B">
            <w:pPr>
              <w:pStyle w:val="tabletext"/>
              <w:rPr>
                <w:b w:val="0"/>
              </w:rPr>
            </w:pPr>
            <w:r w:rsidRPr="00214785">
              <w:rPr>
                <w:b w:val="0"/>
              </w:rPr>
              <w:t>Any AOD (exc. Mutual aid)</w:t>
            </w:r>
          </w:p>
        </w:tc>
        <w:tc>
          <w:tcPr>
            <w:tcW w:w="612" w:type="pct"/>
          </w:tcPr>
          <w:p w14:paraId="38A461F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240</w:t>
            </w:r>
          </w:p>
        </w:tc>
        <w:tc>
          <w:tcPr>
            <w:tcW w:w="884" w:type="pct"/>
          </w:tcPr>
          <w:p w14:paraId="38A461FB" w14:textId="77777777" w:rsidR="00072449" w:rsidRPr="00FB60E5" w:rsidRDefault="00EF62C1" w:rsidP="00AF6D9B">
            <w:pPr>
              <w:pStyle w:val="tabletext"/>
              <w:cnfStyle w:val="000000100000" w:firstRow="0" w:lastRow="0" w:firstColumn="0" w:lastColumn="0" w:oddVBand="0" w:evenVBand="0" w:oddHBand="1" w:evenHBand="0" w:firstRowFirstColumn="0" w:firstRowLastColumn="0" w:lastRowFirstColumn="0" w:lastRowLastColumn="0"/>
            </w:pPr>
            <w:r w:rsidRPr="00FB60E5">
              <w:t>67.1</w:t>
            </w:r>
            <w:r w:rsidR="00072449" w:rsidRPr="00FB60E5">
              <w:t>%</w:t>
            </w:r>
          </w:p>
        </w:tc>
        <w:tc>
          <w:tcPr>
            <w:tcW w:w="883" w:type="pct"/>
          </w:tcPr>
          <w:p w14:paraId="38A461FC" w14:textId="77777777" w:rsidR="00072449" w:rsidRPr="00FB60E5" w:rsidRDefault="00EF62C1" w:rsidP="00AF6D9B">
            <w:pPr>
              <w:pStyle w:val="tabletext"/>
              <w:cnfStyle w:val="000000100000" w:firstRow="0" w:lastRow="0" w:firstColumn="0" w:lastColumn="0" w:oddVBand="0" w:evenVBand="0" w:oddHBand="1" w:evenHBand="0" w:firstRowFirstColumn="0" w:firstRowLastColumn="0" w:lastRowFirstColumn="0" w:lastRowLastColumn="0"/>
            </w:pPr>
            <w:r w:rsidRPr="00FB60E5">
              <w:t>76.7</w:t>
            </w:r>
            <w:r w:rsidR="00072449" w:rsidRPr="00FB60E5">
              <w:t>%</w:t>
            </w:r>
          </w:p>
        </w:tc>
        <w:tc>
          <w:tcPr>
            <w:tcW w:w="722" w:type="pct"/>
          </w:tcPr>
          <w:p w14:paraId="38A461FD" w14:textId="77777777" w:rsidR="00072449" w:rsidRPr="00FB60E5" w:rsidRDefault="00EF62C1"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20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1FF" w14:textId="77777777" w:rsidR="00072449" w:rsidRPr="00214785" w:rsidRDefault="00072449" w:rsidP="00AF6D9B">
            <w:pPr>
              <w:pStyle w:val="tabletext"/>
              <w:rPr>
                <w:b w:val="0"/>
              </w:rPr>
            </w:pPr>
            <w:r w:rsidRPr="00214785">
              <w:rPr>
                <w:b w:val="0"/>
              </w:rPr>
              <w:t>Withdrawal (detoxification)</w:t>
            </w:r>
          </w:p>
        </w:tc>
        <w:tc>
          <w:tcPr>
            <w:tcW w:w="612" w:type="pct"/>
          </w:tcPr>
          <w:p w14:paraId="38A4620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240</w:t>
            </w:r>
          </w:p>
        </w:tc>
        <w:tc>
          <w:tcPr>
            <w:tcW w:w="884" w:type="pct"/>
          </w:tcPr>
          <w:p w14:paraId="38A4620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28.8%</w:t>
            </w:r>
          </w:p>
        </w:tc>
        <w:tc>
          <w:tcPr>
            <w:tcW w:w="883" w:type="pct"/>
          </w:tcPr>
          <w:p w14:paraId="38A4620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27.1%</w:t>
            </w:r>
          </w:p>
        </w:tc>
        <w:tc>
          <w:tcPr>
            <w:tcW w:w="722" w:type="pct"/>
          </w:tcPr>
          <w:p w14:paraId="38A4620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.75</w:t>
            </w:r>
          </w:p>
        </w:tc>
      </w:tr>
      <w:tr w:rsidR="00072449" w:rsidRPr="00FB60E5" w14:paraId="38A4620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05" w14:textId="77777777" w:rsidR="00072449" w:rsidRPr="00214785" w:rsidRDefault="00072449" w:rsidP="00AF6D9B">
            <w:pPr>
              <w:pStyle w:val="tabletext"/>
              <w:rPr>
                <w:b w:val="0"/>
              </w:rPr>
            </w:pPr>
            <w:r w:rsidRPr="00214785">
              <w:rPr>
                <w:b w:val="0"/>
              </w:rPr>
              <w:t>AOD counselling</w:t>
            </w:r>
          </w:p>
        </w:tc>
        <w:tc>
          <w:tcPr>
            <w:tcW w:w="612" w:type="pct"/>
          </w:tcPr>
          <w:p w14:paraId="38A4620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239</w:t>
            </w:r>
          </w:p>
        </w:tc>
        <w:tc>
          <w:tcPr>
            <w:tcW w:w="884" w:type="pct"/>
          </w:tcPr>
          <w:p w14:paraId="38A4620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59.0%</w:t>
            </w:r>
          </w:p>
        </w:tc>
        <w:tc>
          <w:tcPr>
            <w:tcW w:w="883" w:type="pct"/>
          </w:tcPr>
          <w:p w14:paraId="38A4620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60.3%</w:t>
            </w:r>
          </w:p>
        </w:tc>
        <w:tc>
          <w:tcPr>
            <w:tcW w:w="722" w:type="pct"/>
          </w:tcPr>
          <w:p w14:paraId="38A4620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.84</w:t>
            </w:r>
          </w:p>
        </w:tc>
      </w:tr>
      <w:tr w:rsidR="00072449" w:rsidRPr="00FB60E5" w14:paraId="38A4621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0B" w14:textId="77777777" w:rsidR="00072449" w:rsidRPr="00214785" w:rsidRDefault="00072449" w:rsidP="00AF6D9B">
            <w:pPr>
              <w:pStyle w:val="tabletext"/>
              <w:rPr>
                <w:b w:val="0"/>
              </w:rPr>
            </w:pPr>
            <w:r w:rsidRPr="00214785">
              <w:rPr>
                <w:b w:val="0"/>
              </w:rPr>
              <w:t>Residential rehabilitation</w:t>
            </w:r>
          </w:p>
        </w:tc>
        <w:tc>
          <w:tcPr>
            <w:tcW w:w="612" w:type="pct"/>
          </w:tcPr>
          <w:p w14:paraId="38A4620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240</w:t>
            </w:r>
          </w:p>
        </w:tc>
        <w:tc>
          <w:tcPr>
            <w:tcW w:w="884" w:type="pct"/>
          </w:tcPr>
          <w:p w14:paraId="38A4620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7.9%</w:t>
            </w:r>
          </w:p>
        </w:tc>
        <w:tc>
          <w:tcPr>
            <w:tcW w:w="883" w:type="pct"/>
          </w:tcPr>
          <w:p w14:paraId="38A4620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34.2%</w:t>
            </w:r>
          </w:p>
        </w:tc>
        <w:tc>
          <w:tcPr>
            <w:tcW w:w="722" w:type="pct"/>
          </w:tcPr>
          <w:p w14:paraId="38A4620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EF62C1" w:rsidRPr="00FB60E5">
              <w:t xml:space="preserve"> </w:t>
            </w:r>
            <w:r w:rsidRPr="00FB60E5">
              <w:t>.001</w:t>
            </w:r>
          </w:p>
        </w:tc>
      </w:tr>
      <w:tr w:rsidR="00072449" w:rsidRPr="00FB60E5" w14:paraId="38A4621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11" w14:textId="77777777" w:rsidR="00072449" w:rsidRPr="00214785" w:rsidRDefault="00072449" w:rsidP="00AF6D9B">
            <w:pPr>
              <w:pStyle w:val="tabletext"/>
              <w:rPr>
                <w:b w:val="0"/>
              </w:rPr>
            </w:pPr>
            <w:r w:rsidRPr="00214785">
              <w:rPr>
                <w:b w:val="0"/>
              </w:rPr>
              <w:t>Self-help and mutual aid programs</w:t>
            </w:r>
          </w:p>
        </w:tc>
        <w:tc>
          <w:tcPr>
            <w:tcW w:w="612" w:type="pct"/>
          </w:tcPr>
          <w:p w14:paraId="38A4621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w:t>
            </w:r>
            <w:r w:rsidR="00E8056F" w:rsidRPr="00FB60E5">
              <w:t>3</w:t>
            </w:r>
            <w:r w:rsidRPr="00FB60E5">
              <w:t>3</w:t>
            </w:r>
          </w:p>
        </w:tc>
        <w:tc>
          <w:tcPr>
            <w:tcW w:w="884" w:type="pct"/>
          </w:tcPr>
          <w:p w14:paraId="38A4621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w:t>
            </w:r>
            <w:r w:rsidR="00E8056F" w:rsidRPr="00FB60E5">
              <w:t>0.0</w:t>
            </w:r>
            <w:r w:rsidRPr="00FB60E5">
              <w:t>%</w:t>
            </w:r>
          </w:p>
        </w:tc>
        <w:tc>
          <w:tcPr>
            <w:tcW w:w="883" w:type="pct"/>
          </w:tcPr>
          <w:p w14:paraId="38A4621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w:t>
            </w:r>
            <w:r w:rsidR="00E8056F" w:rsidRPr="00FB60E5">
              <w:t>0.2</w:t>
            </w:r>
            <w:r w:rsidRPr="00FB60E5">
              <w:t>%</w:t>
            </w:r>
          </w:p>
        </w:tc>
        <w:tc>
          <w:tcPr>
            <w:tcW w:w="722" w:type="pct"/>
          </w:tcPr>
          <w:p w14:paraId="38A46215"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w:t>
            </w:r>
            <w:r w:rsidR="00EF62C1" w:rsidRPr="00FB60E5">
              <w:t xml:space="preserve"> </w:t>
            </w:r>
            <w:r w:rsidRPr="00FB60E5">
              <w:t>.001</w:t>
            </w:r>
          </w:p>
        </w:tc>
      </w:tr>
      <w:tr w:rsidR="00072449" w:rsidRPr="00FB60E5" w14:paraId="38A4621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17" w14:textId="77777777" w:rsidR="00072449" w:rsidRPr="00214785" w:rsidRDefault="00072449" w:rsidP="00AF6D9B">
            <w:pPr>
              <w:pStyle w:val="tabletext"/>
              <w:rPr>
                <w:b w:val="0"/>
              </w:rPr>
            </w:pPr>
            <w:r w:rsidRPr="00214785">
              <w:rPr>
                <w:b w:val="0"/>
              </w:rPr>
              <w:t>Any community service (exc. GP)</w:t>
            </w:r>
          </w:p>
        </w:tc>
        <w:tc>
          <w:tcPr>
            <w:tcW w:w="612" w:type="pct"/>
          </w:tcPr>
          <w:p w14:paraId="38A4621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239</w:t>
            </w:r>
          </w:p>
        </w:tc>
        <w:tc>
          <w:tcPr>
            <w:tcW w:w="884" w:type="pct"/>
          </w:tcPr>
          <w:p w14:paraId="38A4621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76.2%</w:t>
            </w:r>
          </w:p>
        </w:tc>
        <w:tc>
          <w:tcPr>
            <w:tcW w:w="883" w:type="pct"/>
          </w:tcPr>
          <w:p w14:paraId="38A4621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77.</w:t>
            </w:r>
            <w:r w:rsidR="00E8056F" w:rsidRPr="00FB60E5">
              <w:t>0</w:t>
            </w:r>
            <w:r w:rsidRPr="00FB60E5">
              <w:t>%</w:t>
            </w:r>
          </w:p>
        </w:tc>
        <w:tc>
          <w:tcPr>
            <w:tcW w:w="722" w:type="pct"/>
          </w:tcPr>
          <w:p w14:paraId="38A4621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E8056F" w:rsidRPr="00FB60E5">
              <w:t>9</w:t>
            </w:r>
            <w:r w:rsidRPr="00FB60E5">
              <w:t>0</w:t>
            </w:r>
          </w:p>
        </w:tc>
      </w:tr>
      <w:tr w:rsidR="00072449" w:rsidRPr="00FB60E5" w14:paraId="38A4622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1D" w14:textId="77777777" w:rsidR="00072449" w:rsidRPr="00214785" w:rsidRDefault="00072449" w:rsidP="00AF6D9B">
            <w:pPr>
              <w:pStyle w:val="tabletext"/>
              <w:rPr>
                <w:b w:val="0"/>
              </w:rPr>
            </w:pPr>
            <w:r w:rsidRPr="00214785">
              <w:rPr>
                <w:b w:val="0"/>
              </w:rPr>
              <w:t>General practitioner</w:t>
            </w:r>
          </w:p>
        </w:tc>
        <w:tc>
          <w:tcPr>
            <w:tcW w:w="612" w:type="pct"/>
          </w:tcPr>
          <w:p w14:paraId="38A4621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239</w:t>
            </w:r>
          </w:p>
        </w:tc>
        <w:tc>
          <w:tcPr>
            <w:tcW w:w="884" w:type="pct"/>
          </w:tcPr>
          <w:p w14:paraId="38A4621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90.0%</w:t>
            </w:r>
          </w:p>
        </w:tc>
        <w:tc>
          <w:tcPr>
            <w:tcW w:w="883" w:type="pct"/>
          </w:tcPr>
          <w:p w14:paraId="38A4622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95.4%</w:t>
            </w:r>
          </w:p>
        </w:tc>
        <w:tc>
          <w:tcPr>
            <w:tcW w:w="722" w:type="pct"/>
          </w:tcPr>
          <w:p w14:paraId="38A46221" w14:textId="77777777" w:rsidR="00072449" w:rsidRPr="00FB60E5" w:rsidRDefault="00EF62C1"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.05</w:t>
            </w:r>
          </w:p>
        </w:tc>
      </w:tr>
      <w:tr w:rsidR="00072449" w:rsidRPr="00FB60E5" w14:paraId="38A4622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23" w14:textId="77777777" w:rsidR="00072449" w:rsidRPr="00214785" w:rsidRDefault="00072449" w:rsidP="00AF6D9B">
            <w:pPr>
              <w:pStyle w:val="tabletext"/>
              <w:rPr>
                <w:b w:val="0"/>
              </w:rPr>
            </w:pPr>
            <w:r w:rsidRPr="00214785">
              <w:rPr>
                <w:b w:val="0"/>
              </w:rPr>
              <w:t>Mental health service</w:t>
            </w:r>
          </w:p>
        </w:tc>
        <w:tc>
          <w:tcPr>
            <w:tcW w:w="612" w:type="pct"/>
          </w:tcPr>
          <w:p w14:paraId="38A4622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239</w:t>
            </w:r>
          </w:p>
        </w:tc>
        <w:tc>
          <w:tcPr>
            <w:tcW w:w="884" w:type="pct"/>
          </w:tcPr>
          <w:p w14:paraId="38A4622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37.2%</w:t>
            </w:r>
          </w:p>
        </w:tc>
        <w:tc>
          <w:tcPr>
            <w:tcW w:w="883" w:type="pct"/>
          </w:tcPr>
          <w:p w14:paraId="38A4622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w:t>
            </w:r>
            <w:r w:rsidR="00EB2B97" w:rsidRPr="00FB60E5">
              <w:t>7.2</w:t>
            </w:r>
            <w:r w:rsidRPr="00FB60E5">
              <w:t>%</w:t>
            </w:r>
          </w:p>
        </w:tc>
        <w:tc>
          <w:tcPr>
            <w:tcW w:w="722" w:type="pct"/>
          </w:tcPr>
          <w:p w14:paraId="38A46227" w14:textId="77777777" w:rsidR="00072449" w:rsidRPr="00FB60E5" w:rsidRDefault="00EB2B97" w:rsidP="00AF6D9B">
            <w:pPr>
              <w:pStyle w:val="tabletext"/>
              <w:cnfStyle w:val="000000000000" w:firstRow="0" w:lastRow="0" w:firstColumn="0" w:lastColumn="0" w:oddVBand="0" w:evenVBand="0" w:oddHBand="0" w:evenHBand="0" w:firstRowFirstColumn="0" w:firstRowLastColumn="0" w:lastRowFirstColumn="0" w:lastRowLastColumn="0"/>
            </w:pPr>
            <w:r w:rsidRPr="00FB60E5">
              <w:t>1</w:t>
            </w:r>
            <w:r w:rsidR="00072449" w:rsidRPr="00FB60E5">
              <w:t>.</w:t>
            </w:r>
            <w:r w:rsidRPr="00FB60E5">
              <w:t>00</w:t>
            </w:r>
          </w:p>
        </w:tc>
      </w:tr>
      <w:tr w:rsidR="00072449" w:rsidRPr="00FB60E5" w14:paraId="38A4622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29" w14:textId="77777777" w:rsidR="00072449" w:rsidRPr="00214785" w:rsidRDefault="00072449" w:rsidP="00AF6D9B">
            <w:pPr>
              <w:pStyle w:val="tabletext"/>
              <w:rPr>
                <w:b w:val="0"/>
              </w:rPr>
            </w:pPr>
            <w:r w:rsidRPr="00214785">
              <w:rPr>
                <w:b w:val="0"/>
              </w:rPr>
              <w:t>Legal aid</w:t>
            </w:r>
          </w:p>
        </w:tc>
        <w:tc>
          <w:tcPr>
            <w:tcW w:w="612" w:type="pct"/>
          </w:tcPr>
          <w:p w14:paraId="38A4622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w:t>
            </w:r>
            <w:r w:rsidR="00EB2B97" w:rsidRPr="00FB60E5">
              <w:t>9</w:t>
            </w:r>
          </w:p>
        </w:tc>
        <w:tc>
          <w:tcPr>
            <w:tcW w:w="884" w:type="pct"/>
          </w:tcPr>
          <w:p w14:paraId="38A4622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18.</w:t>
            </w:r>
            <w:r w:rsidR="00EB2B97" w:rsidRPr="00FB60E5">
              <w:t>8</w:t>
            </w:r>
            <w:r w:rsidRPr="00FB60E5">
              <w:t>%</w:t>
            </w:r>
          </w:p>
        </w:tc>
        <w:tc>
          <w:tcPr>
            <w:tcW w:w="883" w:type="pct"/>
          </w:tcPr>
          <w:p w14:paraId="38A4622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19.</w:t>
            </w:r>
            <w:r w:rsidR="00EB2B97" w:rsidRPr="00FB60E5">
              <w:t>2</w:t>
            </w:r>
            <w:r w:rsidRPr="00FB60E5">
              <w:t>%</w:t>
            </w:r>
          </w:p>
        </w:tc>
        <w:tc>
          <w:tcPr>
            <w:tcW w:w="722" w:type="pct"/>
          </w:tcPr>
          <w:p w14:paraId="38A4622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1.00</w:t>
            </w:r>
          </w:p>
        </w:tc>
      </w:tr>
      <w:tr w:rsidR="00072449" w:rsidRPr="00FB60E5" w14:paraId="38A4623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2F" w14:textId="77777777" w:rsidR="00072449" w:rsidRPr="00214785" w:rsidRDefault="00072449" w:rsidP="00AF6D9B">
            <w:pPr>
              <w:pStyle w:val="tabletext"/>
              <w:rPr>
                <w:b w:val="0"/>
              </w:rPr>
            </w:pPr>
            <w:r w:rsidRPr="00214785">
              <w:rPr>
                <w:b w:val="0"/>
              </w:rPr>
              <w:t>Financial counselling</w:t>
            </w:r>
          </w:p>
        </w:tc>
        <w:tc>
          <w:tcPr>
            <w:tcW w:w="612" w:type="pct"/>
          </w:tcPr>
          <w:p w14:paraId="38A4623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239</w:t>
            </w:r>
          </w:p>
        </w:tc>
        <w:tc>
          <w:tcPr>
            <w:tcW w:w="884" w:type="pct"/>
          </w:tcPr>
          <w:p w14:paraId="38A4623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13.0%</w:t>
            </w:r>
          </w:p>
        </w:tc>
        <w:tc>
          <w:tcPr>
            <w:tcW w:w="883" w:type="pct"/>
          </w:tcPr>
          <w:p w14:paraId="38A4623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15.5%</w:t>
            </w:r>
          </w:p>
        </w:tc>
        <w:tc>
          <w:tcPr>
            <w:tcW w:w="722" w:type="pct"/>
          </w:tcPr>
          <w:p w14:paraId="38A4623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.46</w:t>
            </w:r>
          </w:p>
        </w:tc>
      </w:tr>
      <w:tr w:rsidR="00072449" w:rsidRPr="00FB60E5" w14:paraId="38A4623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35" w14:textId="77777777" w:rsidR="00072449" w:rsidRPr="00214785" w:rsidRDefault="00072449" w:rsidP="00AF6D9B">
            <w:pPr>
              <w:pStyle w:val="tabletext"/>
              <w:rPr>
                <w:b w:val="0"/>
              </w:rPr>
            </w:pPr>
            <w:r w:rsidRPr="00214785">
              <w:rPr>
                <w:b w:val="0"/>
              </w:rPr>
              <w:t>Employment service</w:t>
            </w:r>
          </w:p>
        </w:tc>
        <w:tc>
          <w:tcPr>
            <w:tcW w:w="612" w:type="pct"/>
          </w:tcPr>
          <w:p w14:paraId="38A4623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239</w:t>
            </w:r>
          </w:p>
        </w:tc>
        <w:tc>
          <w:tcPr>
            <w:tcW w:w="884" w:type="pct"/>
          </w:tcPr>
          <w:p w14:paraId="38A4623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38.9%</w:t>
            </w:r>
          </w:p>
        </w:tc>
        <w:tc>
          <w:tcPr>
            <w:tcW w:w="883" w:type="pct"/>
          </w:tcPr>
          <w:p w14:paraId="38A4623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w:t>
            </w:r>
            <w:r w:rsidR="00EB2B97" w:rsidRPr="00FB60E5">
              <w:t>6.8</w:t>
            </w:r>
            <w:r w:rsidRPr="00FB60E5">
              <w:t>%</w:t>
            </w:r>
          </w:p>
        </w:tc>
        <w:tc>
          <w:tcPr>
            <w:tcW w:w="722" w:type="pct"/>
          </w:tcPr>
          <w:p w14:paraId="38A4623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EB2B97" w:rsidRPr="00FB60E5">
              <w:t>64</w:t>
            </w:r>
          </w:p>
        </w:tc>
      </w:tr>
      <w:tr w:rsidR="00072449" w:rsidRPr="00FB60E5" w14:paraId="38A4624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3B" w14:textId="77777777" w:rsidR="00072449" w:rsidRPr="00214785" w:rsidRDefault="00072449" w:rsidP="00AF6D9B">
            <w:pPr>
              <w:pStyle w:val="tabletext"/>
              <w:rPr>
                <w:b w:val="0"/>
              </w:rPr>
            </w:pPr>
            <w:r w:rsidRPr="00214785">
              <w:rPr>
                <w:b w:val="0"/>
              </w:rPr>
              <w:t>Family/relationship counselling</w:t>
            </w:r>
          </w:p>
        </w:tc>
        <w:tc>
          <w:tcPr>
            <w:tcW w:w="612" w:type="pct"/>
          </w:tcPr>
          <w:p w14:paraId="38A4623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239</w:t>
            </w:r>
          </w:p>
        </w:tc>
        <w:tc>
          <w:tcPr>
            <w:tcW w:w="884" w:type="pct"/>
          </w:tcPr>
          <w:p w14:paraId="38A4623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6.3%</w:t>
            </w:r>
          </w:p>
        </w:tc>
        <w:tc>
          <w:tcPr>
            <w:tcW w:w="883" w:type="pct"/>
          </w:tcPr>
          <w:p w14:paraId="38A4623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8.8%</w:t>
            </w:r>
          </w:p>
        </w:tc>
        <w:tc>
          <w:tcPr>
            <w:tcW w:w="722" w:type="pct"/>
          </w:tcPr>
          <w:p w14:paraId="38A4623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.34</w:t>
            </w:r>
          </w:p>
        </w:tc>
      </w:tr>
      <w:tr w:rsidR="00072449" w:rsidRPr="00FB60E5" w14:paraId="38A4624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41" w14:textId="77777777" w:rsidR="00072449" w:rsidRPr="00214785" w:rsidRDefault="00072449" w:rsidP="00AF6D9B">
            <w:pPr>
              <w:pStyle w:val="tabletext"/>
              <w:rPr>
                <w:b w:val="0"/>
              </w:rPr>
            </w:pPr>
            <w:r w:rsidRPr="00214785">
              <w:rPr>
                <w:b w:val="0"/>
              </w:rPr>
              <w:t>Housing/homelessness service</w:t>
            </w:r>
          </w:p>
        </w:tc>
        <w:tc>
          <w:tcPr>
            <w:tcW w:w="612" w:type="pct"/>
          </w:tcPr>
          <w:p w14:paraId="38A4624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232</w:t>
            </w:r>
          </w:p>
        </w:tc>
        <w:tc>
          <w:tcPr>
            <w:tcW w:w="884" w:type="pct"/>
          </w:tcPr>
          <w:p w14:paraId="38A4624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18.1%</w:t>
            </w:r>
          </w:p>
        </w:tc>
        <w:tc>
          <w:tcPr>
            <w:tcW w:w="883" w:type="pct"/>
          </w:tcPr>
          <w:p w14:paraId="38A4624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19.0%</w:t>
            </w:r>
          </w:p>
        </w:tc>
        <w:tc>
          <w:tcPr>
            <w:tcW w:w="722" w:type="pct"/>
          </w:tcPr>
          <w:p w14:paraId="38A46245"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.8</w:t>
            </w:r>
            <w:r w:rsidR="00EB2B97" w:rsidRPr="00FB60E5">
              <w:t>9</w:t>
            </w:r>
          </w:p>
        </w:tc>
      </w:tr>
      <w:tr w:rsidR="00072449" w:rsidRPr="00FB60E5" w14:paraId="38A4624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47" w14:textId="77777777" w:rsidR="00072449" w:rsidRPr="00214785" w:rsidRDefault="00072449" w:rsidP="00AF6D9B">
            <w:pPr>
              <w:pStyle w:val="tabletext"/>
              <w:rPr>
                <w:b w:val="0"/>
              </w:rPr>
            </w:pPr>
            <w:r w:rsidRPr="00214785">
              <w:rPr>
                <w:b w:val="0"/>
              </w:rPr>
              <w:t>Any acute service use</w:t>
            </w:r>
          </w:p>
        </w:tc>
        <w:tc>
          <w:tcPr>
            <w:tcW w:w="612" w:type="pct"/>
          </w:tcPr>
          <w:p w14:paraId="38A4624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239</w:t>
            </w:r>
          </w:p>
        </w:tc>
        <w:tc>
          <w:tcPr>
            <w:tcW w:w="884" w:type="pct"/>
          </w:tcPr>
          <w:p w14:paraId="38A4624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59.8%</w:t>
            </w:r>
          </w:p>
        </w:tc>
        <w:tc>
          <w:tcPr>
            <w:tcW w:w="883" w:type="pct"/>
          </w:tcPr>
          <w:p w14:paraId="38A4624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55.2%</w:t>
            </w:r>
          </w:p>
        </w:tc>
        <w:tc>
          <w:tcPr>
            <w:tcW w:w="722" w:type="pct"/>
          </w:tcPr>
          <w:p w14:paraId="38A4624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.29</w:t>
            </w:r>
          </w:p>
        </w:tc>
      </w:tr>
      <w:tr w:rsidR="00072449" w:rsidRPr="00FB60E5" w14:paraId="38A4625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4D" w14:textId="77777777" w:rsidR="00072449" w:rsidRPr="00214785" w:rsidRDefault="00072449" w:rsidP="00AF6D9B">
            <w:pPr>
              <w:pStyle w:val="tabletext"/>
              <w:rPr>
                <w:b w:val="0"/>
              </w:rPr>
            </w:pPr>
            <w:r w:rsidRPr="00214785">
              <w:rPr>
                <w:b w:val="0"/>
              </w:rPr>
              <w:t>Ambulance</w:t>
            </w:r>
          </w:p>
        </w:tc>
        <w:tc>
          <w:tcPr>
            <w:tcW w:w="612" w:type="pct"/>
          </w:tcPr>
          <w:p w14:paraId="38A4624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239</w:t>
            </w:r>
          </w:p>
        </w:tc>
        <w:tc>
          <w:tcPr>
            <w:tcW w:w="884" w:type="pct"/>
          </w:tcPr>
          <w:p w14:paraId="38A4624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37.2%</w:t>
            </w:r>
          </w:p>
        </w:tc>
        <w:tc>
          <w:tcPr>
            <w:tcW w:w="883" w:type="pct"/>
          </w:tcPr>
          <w:p w14:paraId="38A4625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33.9%</w:t>
            </w:r>
          </w:p>
        </w:tc>
        <w:tc>
          <w:tcPr>
            <w:tcW w:w="722" w:type="pct"/>
          </w:tcPr>
          <w:p w14:paraId="38A4625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w:t>
            </w:r>
            <w:r w:rsidR="00EF62C1" w:rsidRPr="00FB60E5">
              <w:t>3</w:t>
            </w:r>
          </w:p>
        </w:tc>
      </w:tr>
      <w:tr w:rsidR="00072449" w:rsidRPr="00FB60E5" w14:paraId="38A4625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53" w14:textId="77777777" w:rsidR="00072449" w:rsidRPr="00214785" w:rsidRDefault="00072449" w:rsidP="00AF6D9B">
            <w:pPr>
              <w:pStyle w:val="tabletext"/>
              <w:rPr>
                <w:b w:val="0"/>
              </w:rPr>
            </w:pPr>
            <w:r w:rsidRPr="00214785">
              <w:rPr>
                <w:b w:val="0"/>
              </w:rPr>
              <w:t>Hospital emergency department</w:t>
            </w:r>
          </w:p>
        </w:tc>
        <w:tc>
          <w:tcPr>
            <w:tcW w:w="612" w:type="pct"/>
          </w:tcPr>
          <w:p w14:paraId="38A4625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239</w:t>
            </w:r>
          </w:p>
        </w:tc>
        <w:tc>
          <w:tcPr>
            <w:tcW w:w="884" w:type="pct"/>
          </w:tcPr>
          <w:p w14:paraId="38A4625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51.9%</w:t>
            </w:r>
          </w:p>
        </w:tc>
        <w:tc>
          <w:tcPr>
            <w:tcW w:w="883" w:type="pct"/>
          </w:tcPr>
          <w:p w14:paraId="38A4625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46.0%</w:t>
            </w:r>
          </w:p>
        </w:tc>
        <w:tc>
          <w:tcPr>
            <w:tcW w:w="722" w:type="pct"/>
          </w:tcPr>
          <w:p w14:paraId="38A4625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.17</w:t>
            </w:r>
          </w:p>
        </w:tc>
      </w:tr>
      <w:tr w:rsidR="00072449" w:rsidRPr="00FB60E5" w14:paraId="38A4625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59" w14:textId="77777777" w:rsidR="00072449" w:rsidRPr="00214785" w:rsidRDefault="00072449" w:rsidP="00AF6D9B">
            <w:pPr>
              <w:pStyle w:val="tabletext"/>
              <w:rPr>
                <w:b w:val="0"/>
              </w:rPr>
            </w:pPr>
            <w:r w:rsidRPr="00214785">
              <w:rPr>
                <w:b w:val="0"/>
              </w:rPr>
              <w:t>Hospital inpatient</w:t>
            </w:r>
          </w:p>
        </w:tc>
        <w:tc>
          <w:tcPr>
            <w:tcW w:w="612" w:type="pct"/>
          </w:tcPr>
          <w:p w14:paraId="38A4625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239</w:t>
            </w:r>
          </w:p>
        </w:tc>
        <w:tc>
          <w:tcPr>
            <w:tcW w:w="884" w:type="pct"/>
          </w:tcPr>
          <w:p w14:paraId="38A4625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28.5%</w:t>
            </w:r>
          </w:p>
        </w:tc>
        <w:tc>
          <w:tcPr>
            <w:tcW w:w="883" w:type="pct"/>
          </w:tcPr>
          <w:p w14:paraId="38A4625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28.9%</w:t>
            </w:r>
          </w:p>
        </w:tc>
        <w:tc>
          <w:tcPr>
            <w:tcW w:w="722" w:type="pct"/>
          </w:tcPr>
          <w:p w14:paraId="38A4625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1.00</w:t>
            </w:r>
          </w:p>
        </w:tc>
      </w:tr>
    </w:tbl>
    <w:p w14:paraId="38A46260" w14:textId="40485997" w:rsidR="00072449" w:rsidRPr="00FB60E5" w:rsidRDefault="00072449" w:rsidP="00FB60E5">
      <w:pPr>
        <w:ind w:left="0"/>
      </w:pPr>
      <w:r w:rsidRPr="00FB60E5">
        <w:t xml:space="preserve">Among </w:t>
      </w:r>
      <w:r w:rsidR="006D29AE" w:rsidRPr="00FB60E5">
        <w:t>participant</w:t>
      </w:r>
      <w:r w:rsidRPr="00FB60E5">
        <w:t>s in residential rehabilitation</w:t>
      </w:r>
      <w:r w:rsidR="00D70DCF" w:rsidRPr="00FB60E5">
        <w:t xml:space="preserve"> (</w:t>
      </w:r>
      <w:r w:rsidR="001B3CBD">
        <w:fldChar w:fldCharType="begin"/>
      </w:r>
      <w:r w:rsidR="001B3CBD">
        <w:instrText xml:space="preserve"> REF _Ref531624294 \h </w:instrText>
      </w:r>
      <w:r w:rsidR="001B3CBD">
        <w:fldChar w:fldCharType="separate"/>
      </w:r>
      <w:r w:rsidR="001B3CBD">
        <w:t xml:space="preserve">Table </w:t>
      </w:r>
      <w:r w:rsidR="001B3CBD">
        <w:rPr>
          <w:noProof/>
        </w:rPr>
        <w:t>3</w:t>
      </w:r>
      <w:r w:rsidR="001B3CBD">
        <w:t>.</w:t>
      </w:r>
      <w:r w:rsidR="001B3CBD">
        <w:rPr>
          <w:noProof/>
        </w:rPr>
        <w:t>12</w:t>
      </w:r>
      <w:r w:rsidR="001B3CBD">
        <w:fldChar w:fldCharType="end"/>
      </w:r>
      <w:r w:rsidR="00D70DCF" w:rsidRPr="00FB60E5">
        <w:t>)</w:t>
      </w:r>
      <w:r w:rsidRPr="00FB60E5">
        <w:t xml:space="preserve"> there was little change except a reduction in the proportion undergoing inpatient detoxification post-PIT and in their acute service use (though this is likely an artefact of their increased time in residential services where substance use is prohibited and where they receive more regular medical attention). There was however a significant increase in the proportion attending mutual aid meetings, with </w:t>
      </w:r>
      <w:r w:rsidR="005F6E7E" w:rsidRPr="00FB60E5">
        <w:t>over</w:t>
      </w:r>
      <w:r w:rsidRPr="00FB60E5">
        <w:t xml:space="preserve"> two-thirds attending during the year after their PIT, though this could reflect the philosophy of the PIT type; since encouragement to engage in peer-support following discharge is common in residential rehabilitation settings (or even a component of the rehabilitation treatment itself).</w:t>
      </w:r>
    </w:p>
    <w:p w14:paraId="38A46262" w14:textId="418C1A45" w:rsidR="00072449" w:rsidRPr="00FB60E5" w:rsidRDefault="00552239" w:rsidP="00552239">
      <w:pPr>
        <w:pStyle w:val="Caption"/>
      </w:pPr>
      <w:bookmarkStart w:id="156" w:name="_Ref531624294"/>
      <w:bookmarkStart w:id="157" w:name="_Toc531625788"/>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12</w:t>
      </w:r>
      <w:r>
        <w:fldChar w:fldCharType="end"/>
      </w:r>
      <w:bookmarkEnd w:id="156"/>
      <w:r w:rsidR="00072449" w:rsidRPr="00FB60E5">
        <w:t xml:space="preserve"> Use in the years before and after PIT of AOD specialist, community and acute medical service among residential rehabilitation participants</w:t>
      </w:r>
      <w:bookmarkEnd w:id="157"/>
    </w:p>
    <w:tbl>
      <w:tblPr>
        <w:tblStyle w:val="LightList-Accent1"/>
        <w:tblW w:w="5000" w:type="pct"/>
        <w:tblLook w:val="04A0" w:firstRow="1" w:lastRow="0" w:firstColumn="1" w:lastColumn="0" w:noHBand="0" w:noVBand="1"/>
        <w:tblCaption w:val="Table 3.12  Use in the years before and after PIT of AOD specialist, community and acute medical service among residential rehabilitation participants"/>
        <w:tblDescription w:val="Table 3.12  Use in the years before and after PIT of AOD specialist, community and acute medical service among residential rehabilitation participants"/>
      </w:tblPr>
      <w:tblGrid>
        <w:gridCol w:w="3510"/>
        <w:gridCol w:w="1131"/>
        <w:gridCol w:w="1634"/>
        <w:gridCol w:w="1632"/>
        <w:gridCol w:w="1335"/>
      </w:tblGrid>
      <w:tr w:rsidR="00072449" w:rsidRPr="00FB60E5" w14:paraId="38A46268" w14:textId="77777777" w:rsidTr="00B17D09">
        <w:trPr>
          <w:cnfStyle w:val="100000000000" w:firstRow="1" w:lastRow="0" w:firstColumn="0" w:lastColumn="0" w:oddVBand="0" w:evenVBand="0" w:oddHBand="0" w:evenHBand="0" w:firstRowFirstColumn="0" w:firstRowLastColumn="0" w:lastRowFirstColumn="0" w:lastRowLastColumn="0"/>
          <w:trHeight w:hRule="exact" w:val="475"/>
          <w:tblHeader/>
        </w:trPr>
        <w:tc>
          <w:tcPr>
            <w:cnfStyle w:val="001000000000" w:firstRow="0" w:lastRow="0" w:firstColumn="1" w:lastColumn="0" w:oddVBand="0" w:evenVBand="0" w:oddHBand="0" w:evenHBand="0" w:firstRowFirstColumn="0" w:firstRowLastColumn="0" w:lastRowFirstColumn="0" w:lastRowLastColumn="0"/>
            <w:tcW w:w="1899" w:type="pct"/>
          </w:tcPr>
          <w:p w14:paraId="38A46263" w14:textId="77777777" w:rsidR="00072449" w:rsidRPr="00FB60E5" w:rsidRDefault="00072449" w:rsidP="00B17D09">
            <w:pPr>
              <w:pStyle w:val="tabletext"/>
            </w:pPr>
            <w:r w:rsidRPr="00FB60E5">
              <w:t xml:space="preserve">Health / social service </w:t>
            </w:r>
          </w:p>
        </w:tc>
        <w:tc>
          <w:tcPr>
            <w:tcW w:w="612" w:type="pct"/>
          </w:tcPr>
          <w:p w14:paraId="38A46264"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n</w:t>
            </w:r>
          </w:p>
        </w:tc>
        <w:tc>
          <w:tcPr>
            <w:tcW w:w="884" w:type="pct"/>
          </w:tcPr>
          <w:p w14:paraId="38A46265"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Pre-PIT</w:t>
            </w:r>
          </w:p>
        </w:tc>
        <w:tc>
          <w:tcPr>
            <w:tcW w:w="883" w:type="pct"/>
          </w:tcPr>
          <w:p w14:paraId="38A46266"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Post-PIT</w:t>
            </w:r>
          </w:p>
        </w:tc>
        <w:tc>
          <w:tcPr>
            <w:tcW w:w="722" w:type="pct"/>
          </w:tcPr>
          <w:p w14:paraId="38A46267"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26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69" w14:textId="77777777" w:rsidR="00072449" w:rsidRPr="00214785" w:rsidRDefault="00072449" w:rsidP="00AF6D9B">
            <w:pPr>
              <w:pStyle w:val="tabletext"/>
              <w:rPr>
                <w:b w:val="0"/>
              </w:rPr>
            </w:pPr>
            <w:r w:rsidRPr="00214785">
              <w:rPr>
                <w:b w:val="0"/>
              </w:rPr>
              <w:t>Any AOD (exc. Mutual aid)</w:t>
            </w:r>
          </w:p>
        </w:tc>
        <w:tc>
          <w:tcPr>
            <w:tcW w:w="612" w:type="pct"/>
          </w:tcPr>
          <w:p w14:paraId="38A4626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822E51" w:rsidRPr="00FB60E5">
              <w:t>7</w:t>
            </w:r>
          </w:p>
        </w:tc>
        <w:tc>
          <w:tcPr>
            <w:tcW w:w="884" w:type="pct"/>
          </w:tcPr>
          <w:p w14:paraId="38A4626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81.</w:t>
            </w:r>
            <w:r w:rsidR="00822E51" w:rsidRPr="00FB60E5">
              <w:t>0</w:t>
            </w:r>
            <w:r w:rsidRPr="00FB60E5">
              <w:t>%</w:t>
            </w:r>
          </w:p>
        </w:tc>
        <w:tc>
          <w:tcPr>
            <w:tcW w:w="883" w:type="pct"/>
          </w:tcPr>
          <w:p w14:paraId="38A4626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7</w:t>
            </w:r>
            <w:r w:rsidR="00822E51" w:rsidRPr="00FB60E5">
              <w:t>3</w:t>
            </w:r>
            <w:r w:rsidRPr="00FB60E5">
              <w:t>.7%</w:t>
            </w:r>
          </w:p>
        </w:tc>
        <w:tc>
          <w:tcPr>
            <w:tcW w:w="722" w:type="pct"/>
          </w:tcPr>
          <w:p w14:paraId="38A4626D"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822E51" w:rsidRPr="00FB60E5">
              <w:t>1</w:t>
            </w:r>
            <w:r w:rsidRPr="00FB60E5">
              <w:t>6</w:t>
            </w:r>
          </w:p>
        </w:tc>
      </w:tr>
      <w:tr w:rsidR="00072449" w:rsidRPr="00FB60E5" w14:paraId="38A4627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6F" w14:textId="77777777" w:rsidR="00072449" w:rsidRPr="00214785" w:rsidRDefault="00072449" w:rsidP="00AF6D9B">
            <w:pPr>
              <w:pStyle w:val="tabletext"/>
              <w:rPr>
                <w:b w:val="0"/>
              </w:rPr>
            </w:pPr>
            <w:r w:rsidRPr="00214785">
              <w:rPr>
                <w:b w:val="0"/>
              </w:rPr>
              <w:t>Withdrawal (detoxification)</w:t>
            </w:r>
          </w:p>
        </w:tc>
        <w:tc>
          <w:tcPr>
            <w:tcW w:w="612" w:type="pct"/>
          </w:tcPr>
          <w:p w14:paraId="38A4627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822E51" w:rsidRPr="00FB60E5">
              <w:t>7</w:t>
            </w:r>
          </w:p>
        </w:tc>
        <w:tc>
          <w:tcPr>
            <w:tcW w:w="884" w:type="pct"/>
          </w:tcPr>
          <w:p w14:paraId="38A4627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5</w:t>
            </w:r>
            <w:r w:rsidR="00822E51" w:rsidRPr="00FB60E5">
              <w:t>6.9</w:t>
            </w:r>
            <w:r w:rsidRPr="00FB60E5">
              <w:t>%</w:t>
            </w:r>
          </w:p>
        </w:tc>
        <w:tc>
          <w:tcPr>
            <w:tcW w:w="883" w:type="pct"/>
          </w:tcPr>
          <w:p w14:paraId="38A4627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w:t>
            </w:r>
            <w:r w:rsidR="00822E51" w:rsidRPr="00FB60E5">
              <w:t>1.9</w:t>
            </w:r>
            <w:r w:rsidRPr="00FB60E5">
              <w:t>%</w:t>
            </w:r>
          </w:p>
        </w:tc>
        <w:tc>
          <w:tcPr>
            <w:tcW w:w="722" w:type="pct"/>
          </w:tcPr>
          <w:p w14:paraId="38A4627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F6E7E" w:rsidRPr="00FB60E5">
              <w:t xml:space="preserve"> </w:t>
            </w:r>
            <w:r w:rsidRPr="00FB60E5">
              <w:t>.001</w:t>
            </w:r>
          </w:p>
        </w:tc>
      </w:tr>
      <w:tr w:rsidR="00072449" w:rsidRPr="00FB60E5" w14:paraId="38A4627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75" w14:textId="77777777" w:rsidR="00072449" w:rsidRPr="00214785" w:rsidRDefault="00072449" w:rsidP="00AF6D9B">
            <w:pPr>
              <w:pStyle w:val="tabletext"/>
              <w:rPr>
                <w:b w:val="0"/>
              </w:rPr>
            </w:pPr>
            <w:r w:rsidRPr="00214785">
              <w:rPr>
                <w:b w:val="0"/>
              </w:rPr>
              <w:t>AOD counselling</w:t>
            </w:r>
          </w:p>
        </w:tc>
        <w:tc>
          <w:tcPr>
            <w:tcW w:w="612" w:type="pct"/>
          </w:tcPr>
          <w:p w14:paraId="38A4627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822E51" w:rsidRPr="00FB60E5">
              <w:t>7</w:t>
            </w:r>
          </w:p>
        </w:tc>
        <w:tc>
          <w:tcPr>
            <w:tcW w:w="884" w:type="pct"/>
          </w:tcPr>
          <w:p w14:paraId="38A4627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58.</w:t>
            </w:r>
            <w:r w:rsidR="00822E51" w:rsidRPr="00FB60E5">
              <w:t>4</w:t>
            </w:r>
            <w:r w:rsidRPr="00FB60E5">
              <w:t>%</w:t>
            </w:r>
          </w:p>
        </w:tc>
        <w:tc>
          <w:tcPr>
            <w:tcW w:w="883" w:type="pct"/>
          </w:tcPr>
          <w:p w14:paraId="38A4627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5</w:t>
            </w:r>
            <w:r w:rsidR="00822E51" w:rsidRPr="00FB60E5">
              <w:t>7.7</w:t>
            </w:r>
            <w:r w:rsidRPr="00FB60E5">
              <w:t>%</w:t>
            </w:r>
          </w:p>
        </w:tc>
        <w:tc>
          <w:tcPr>
            <w:tcW w:w="722" w:type="pct"/>
          </w:tcPr>
          <w:p w14:paraId="38A46279" w14:textId="77777777" w:rsidR="00072449" w:rsidRPr="00FB60E5" w:rsidRDefault="00822E51" w:rsidP="00AF6D9B">
            <w:pPr>
              <w:pStyle w:val="tabletext"/>
              <w:cnfStyle w:val="000000100000" w:firstRow="0" w:lastRow="0" w:firstColumn="0" w:lastColumn="0" w:oddVBand="0" w:evenVBand="0" w:oddHBand="1" w:evenHBand="0" w:firstRowFirstColumn="0" w:firstRowLastColumn="0" w:lastRowFirstColumn="0" w:lastRowLastColumn="0"/>
            </w:pPr>
            <w:r w:rsidRPr="00FB60E5">
              <w:t>1</w:t>
            </w:r>
            <w:r w:rsidR="00072449" w:rsidRPr="00FB60E5">
              <w:t>.</w:t>
            </w:r>
            <w:r w:rsidRPr="00FB60E5">
              <w:t>00</w:t>
            </w:r>
          </w:p>
        </w:tc>
      </w:tr>
      <w:tr w:rsidR="00072449" w:rsidRPr="00FB60E5" w14:paraId="38A4628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7B" w14:textId="77777777" w:rsidR="00072449" w:rsidRPr="00214785" w:rsidRDefault="00072449" w:rsidP="00AF6D9B">
            <w:pPr>
              <w:pStyle w:val="tabletext"/>
              <w:rPr>
                <w:b w:val="0"/>
              </w:rPr>
            </w:pPr>
            <w:r w:rsidRPr="00214785">
              <w:rPr>
                <w:b w:val="0"/>
              </w:rPr>
              <w:t>Residential rehabilitation</w:t>
            </w:r>
          </w:p>
        </w:tc>
        <w:tc>
          <w:tcPr>
            <w:tcW w:w="612" w:type="pct"/>
          </w:tcPr>
          <w:p w14:paraId="38A4627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822E51" w:rsidRPr="00FB60E5">
              <w:t>7</w:t>
            </w:r>
          </w:p>
        </w:tc>
        <w:tc>
          <w:tcPr>
            <w:tcW w:w="884" w:type="pct"/>
          </w:tcPr>
          <w:p w14:paraId="38A4627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29.</w:t>
            </w:r>
            <w:r w:rsidR="00822E51" w:rsidRPr="00FB60E5">
              <w:t>2</w:t>
            </w:r>
            <w:r w:rsidRPr="00FB60E5">
              <w:t>%</w:t>
            </w:r>
          </w:p>
        </w:tc>
        <w:tc>
          <w:tcPr>
            <w:tcW w:w="883" w:type="pct"/>
          </w:tcPr>
          <w:p w14:paraId="38A4627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w:t>
            </w:r>
            <w:r w:rsidR="00822E51" w:rsidRPr="00FB60E5">
              <w:t>5.8</w:t>
            </w:r>
            <w:r w:rsidRPr="00FB60E5">
              <w:t>%</w:t>
            </w:r>
          </w:p>
        </w:tc>
        <w:tc>
          <w:tcPr>
            <w:tcW w:w="722" w:type="pct"/>
          </w:tcPr>
          <w:p w14:paraId="38A4627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.25</w:t>
            </w:r>
          </w:p>
        </w:tc>
      </w:tr>
      <w:tr w:rsidR="00072449" w:rsidRPr="00FB60E5" w14:paraId="38A4628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81" w14:textId="77777777" w:rsidR="00072449" w:rsidRPr="00214785" w:rsidRDefault="00072449" w:rsidP="00AF6D9B">
            <w:pPr>
              <w:pStyle w:val="tabletext"/>
              <w:rPr>
                <w:b w:val="0"/>
              </w:rPr>
            </w:pPr>
            <w:r w:rsidRPr="00214785">
              <w:rPr>
                <w:b w:val="0"/>
              </w:rPr>
              <w:t>Self-help and mutual aid programs</w:t>
            </w:r>
          </w:p>
        </w:tc>
        <w:tc>
          <w:tcPr>
            <w:tcW w:w="612" w:type="pct"/>
          </w:tcPr>
          <w:p w14:paraId="38A4628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822E51" w:rsidRPr="00FB60E5">
              <w:t>5</w:t>
            </w:r>
          </w:p>
        </w:tc>
        <w:tc>
          <w:tcPr>
            <w:tcW w:w="884" w:type="pct"/>
          </w:tcPr>
          <w:p w14:paraId="38A4628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38.</w:t>
            </w:r>
            <w:r w:rsidR="00822E51" w:rsidRPr="00FB60E5">
              <w:t>5</w:t>
            </w:r>
            <w:r w:rsidRPr="00FB60E5">
              <w:t>%</w:t>
            </w:r>
          </w:p>
        </w:tc>
        <w:tc>
          <w:tcPr>
            <w:tcW w:w="883" w:type="pct"/>
          </w:tcPr>
          <w:p w14:paraId="38A4628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6</w:t>
            </w:r>
            <w:r w:rsidR="00822E51" w:rsidRPr="00FB60E5">
              <w:t>7</w:t>
            </w:r>
            <w:r w:rsidRPr="00FB60E5">
              <w:t>.4%</w:t>
            </w:r>
          </w:p>
        </w:tc>
        <w:tc>
          <w:tcPr>
            <w:tcW w:w="722" w:type="pct"/>
          </w:tcPr>
          <w:p w14:paraId="38A46285"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&lt;</w:t>
            </w:r>
            <w:r w:rsidR="005F6E7E" w:rsidRPr="00FB60E5">
              <w:t xml:space="preserve"> </w:t>
            </w:r>
            <w:r w:rsidRPr="00FB60E5">
              <w:t>.001</w:t>
            </w:r>
          </w:p>
        </w:tc>
      </w:tr>
      <w:tr w:rsidR="00072449" w:rsidRPr="00FB60E5" w14:paraId="38A4628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87" w14:textId="77777777" w:rsidR="00072449" w:rsidRPr="00214785" w:rsidRDefault="00072449" w:rsidP="00AF6D9B">
            <w:pPr>
              <w:pStyle w:val="tabletext"/>
              <w:rPr>
                <w:b w:val="0"/>
              </w:rPr>
            </w:pPr>
            <w:r w:rsidRPr="00214785">
              <w:rPr>
                <w:b w:val="0"/>
              </w:rPr>
              <w:t>Any community service (exc. GP)</w:t>
            </w:r>
          </w:p>
        </w:tc>
        <w:tc>
          <w:tcPr>
            <w:tcW w:w="612" w:type="pct"/>
          </w:tcPr>
          <w:p w14:paraId="38A4628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822E51" w:rsidRPr="00FB60E5">
              <w:t>6</w:t>
            </w:r>
          </w:p>
        </w:tc>
        <w:tc>
          <w:tcPr>
            <w:tcW w:w="884" w:type="pct"/>
          </w:tcPr>
          <w:p w14:paraId="38A4628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81.</w:t>
            </w:r>
            <w:r w:rsidR="006C6D1D" w:rsidRPr="00FB60E5">
              <w:t>6</w:t>
            </w:r>
            <w:r w:rsidRPr="00FB60E5">
              <w:t>%</w:t>
            </w:r>
          </w:p>
        </w:tc>
        <w:tc>
          <w:tcPr>
            <w:tcW w:w="883" w:type="pct"/>
          </w:tcPr>
          <w:p w14:paraId="38A4628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7</w:t>
            </w:r>
            <w:r w:rsidR="006C6D1D" w:rsidRPr="00FB60E5">
              <w:t>6.5</w:t>
            </w:r>
            <w:r w:rsidRPr="00FB60E5">
              <w:t>%</w:t>
            </w:r>
          </w:p>
        </w:tc>
        <w:tc>
          <w:tcPr>
            <w:tcW w:w="722" w:type="pct"/>
          </w:tcPr>
          <w:p w14:paraId="38A4628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6C6D1D" w:rsidRPr="00FB60E5">
              <w:t>2</w:t>
            </w:r>
            <w:r w:rsidR="005F6E7E" w:rsidRPr="00FB60E5">
              <w:t>8</w:t>
            </w:r>
          </w:p>
        </w:tc>
      </w:tr>
      <w:tr w:rsidR="00072449" w:rsidRPr="00FB60E5" w14:paraId="38A4629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8D" w14:textId="77777777" w:rsidR="00072449" w:rsidRPr="00214785" w:rsidRDefault="00072449" w:rsidP="00AF6D9B">
            <w:pPr>
              <w:pStyle w:val="tabletext"/>
              <w:rPr>
                <w:b w:val="0"/>
              </w:rPr>
            </w:pPr>
            <w:r w:rsidRPr="00214785">
              <w:rPr>
                <w:b w:val="0"/>
              </w:rPr>
              <w:t>General practitioner</w:t>
            </w:r>
          </w:p>
        </w:tc>
        <w:tc>
          <w:tcPr>
            <w:tcW w:w="612" w:type="pct"/>
          </w:tcPr>
          <w:p w14:paraId="38A4628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6C6D1D" w:rsidRPr="00FB60E5">
              <w:t>7</w:t>
            </w:r>
          </w:p>
        </w:tc>
        <w:tc>
          <w:tcPr>
            <w:tcW w:w="884" w:type="pct"/>
          </w:tcPr>
          <w:p w14:paraId="38A4628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90.</w:t>
            </w:r>
            <w:r w:rsidR="006C6D1D" w:rsidRPr="00FB60E5">
              <w:t>5</w:t>
            </w:r>
            <w:r w:rsidRPr="00FB60E5">
              <w:t>%</w:t>
            </w:r>
          </w:p>
        </w:tc>
        <w:tc>
          <w:tcPr>
            <w:tcW w:w="883" w:type="pct"/>
          </w:tcPr>
          <w:p w14:paraId="38A4629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91.2%</w:t>
            </w:r>
          </w:p>
        </w:tc>
        <w:tc>
          <w:tcPr>
            <w:tcW w:w="722" w:type="pct"/>
          </w:tcPr>
          <w:p w14:paraId="38A46291"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1.00</w:t>
            </w:r>
          </w:p>
        </w:tc>
      </w:tr>
      <w:tr w:rsidR="00072449" w:rsidRPr="00FB60E5" w14:paraId="38A4629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93" w14:textId="77777777" w:rsidR="00072449" w:rsidRPr="00214785" w:rsidRDefault="00072449" w:rsidP="00AF6D9B">
            <w:pPr>
              <w:pStyle w:val="tabletext"/>
              <w:rPr>
                <w:b w:val="0"/>
              </w:rPr>
            </w:pPr>
            <w:r w:rsidRPr="00214785">
              <w:rPr>
                <w:b w:val="0"/>
              </w:rPr>
              <w:t>Mental health service</w:t>
            </w:r>
          </w:p>
        </w:tc>
        <w:tc>
          <w:tcPr>
            <w:tcW w:w="612" w:type="pct"/>
          </w:tcPr>
          <w:p w14:paraId="38A4629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6C6D1D" w:rsidRPr="00FB60E5">
              <w:t>6</w:t>
            </w:r>
          </w:p>
        </w:tc>
        <w:tc>
          <w:tcPr>
            <w:tcW w:w="884" w:type="pct"/>
          </w:tcPr>
          <w:p w14:paraId="38A4629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33.</w:t>
            </w:r>
            <w:r w:rsidR="006C6D1D" w:rsidRPr="00FB60E5">
              <w:t>1</w:t>
            </w:r>
            <w:r w:rsidRPr="00FB60E5">
              <w:t>%</w:t>
            </w:r>
          </w:p>
        </w:tc>
        <w:tc>
          <w:tcPr>
            <w:tcW w:w="883" w:type="pct"/>
          </w:tcPr>
          <w:p w14:paraId="38A4629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2</w:t>
            </w:r>
            <w:r w:rsidR="006C6D1D" w:rsidRPr="00FB60E5">
              <w:t>8.7</w:t>
            </w:r>
            <w:r w:rsidRPr="00FB60E5">
              <w:t>%</w:t>
            </w:r>
          </w:p>
        </w:tc>
        <w:tc>
          <w:tcPr>
            <w:tcW w:w="722" w:type="pct"/>
          </w:tcPr>
          <w:p w14:paraId="38A4629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w:t>
            </w:r>
            <w:r w:rsidR="006C6D1D" w:rsidRPr="00FB60E5">
              <w:t>4</w:t>
            </w:r>
            <w:r w:rsidRPr="00FB60E5">
              <w:t>1</w:t>
            </w:r>
          </w:p>
        </w:tc>
      </w:tr>
      <w:tr w:rsidR="00072449" w:rsidRPr="00FB60E5" w14:paraId="38A4629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99" w14:textId="77777777" w:rsidR="00072449" w:rsidRPr="00214785" w:rsidRDefault="00072449" w:rsidP="00AF6D9B">
            <w:pPr>
              <w:pStyle w:val="tabletext"/>
              <w:rPr>
                <w:b w:val="0"/>
              </w:rPr>
            </w:pPr>
            <w:r w:rsidRPr="00214785">
              <w:rPr>
                <w:b w:val="0"/>
              </w:rPr>
              <w:t>Legal aid</w:t>
            </w:r>
          </w:p>
        </w:tc>
        <w:tc>
          <w:tcPr>
            <w:tcW w:w="612" w:type="pct"/>
          </w:tcPr>
          <w:p w14:paraId="38A4629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6C6D1D" w:rsidRPr="00FB60E5">
              <w:t>6</w:t>
            </w:r>
          </w:p>
        </w:tc>
        <w:tc>
          <w:tcPr>
            <w:tcW w:w="884" w:type="pct"/>
          </w:tcPr>
          <w:p w14:paraId="38A4629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31.</w:t>
            </w:r>
            <w:r w:rsidR="006C6D1D" w:rsidRPr="00FB60E5">
              <w:t>6</w:t>
            </w:r>
            <w:r w:rsidRPr="00FB60E5">
              <w:t>%</w:t>
            </w:r>
          </w:p>
        </w:tc>
        <w:tc>
          <w:tcPr>
            <w:tcW w:w="883" w:type="pct"/>
          </w:tcPr>
          <w:p w14:paraId="38A4629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21.</w:t>
            </w:r>
            <w:r w:rsidR="006C6D1D" w:rsidRPr="00FB60E5">
              <w:t>3</w:t>
            </w:r>
            <w:r w:rsidRPr="00FB60E5">
              <w:t>%</w:t>
            </w:r>
          </w:p>
        </w:tc>
        <w:tc>
          <w:tcPr>
            <w:tcW w:w="722" w:type="pct"/>
          </w:tcPr>
          <w:p w14:paraId="38A4629D" w14:textId="77777777" w:rsidR="00072449" w:rsidRPr="00FB60E5" w:rsidRDefault="005F6E7E"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2A4"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9F" w14:textId="77777777" w:rsidR="00072449" w:rsidRPr="00214785" w:rsidRDefault="00072449" w:rsidP="00AF6D9B">
            <w:pPr>
              <w:pStyle w:val="tabletext"/>
              <w:rPr>
                <w:b w:val="0"/>
              </w:rPr>
            </w:pPr>
            <w:r w:rsidRPr="00214785">
              <w:rPr>
                <w:b w:val="0"/>
              </w:rPr>
              <w:t>Financial counselling</w:t>
            </w:r>
          </w:p>
        </w:tc>
        <w:tc>
          <w:tcPr>
            <w:tcW w:w="612" w:type="pct"/>
          </w:tcPr>
          <w:p w14:paraId="38A462A0"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6C6D1D" w:rsidRPr="00FB60E5">
              <w:t>6</w:t>
            </w:r>
          </w:p>
        </w:tc>
        <w:tc>
          <w:tcPr>
            <w:tcW w:w="884" w:type="pct"/>
          </w:tcPr>
          <w:p w14:paraId="38A462A1"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w:t>
            </w:r>
            <w:r w:rsidR="006C6D1D" w:rsidRPr="00FB60E5">
              <w:t>6</w:t>
            </w:r>
            <w:r w:rsidRPr="00FB60E5">
              <w:t>%</w:t>
            </w:r>
          </w:p>
        </w:tc>
        <w:tc>
          <w:tcPr>
            <w:tcW w:w="883" w:type="pct"/>
          </w:tcPr>
          <w:p w14:paraId="38A462A2"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11.</w:t>
            </w:r>
            <w:r w:rsidR="006C6D1D" w:rsidRPr="00FB60E5">
              <w:t>8</w:t>
            </w:r>
            <w:r w:rsidRPr="00FB60E5">
              <w:t>%</w:t>
            </w:r>
          </w:p>
        </w:tc>
        <w:tc>
          <w:tcPr>
            <w:tcW w:w="722" w:type="pct"/>
          </w:tcPr>
          <w:p w14:paraId="38A462A3"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.14</w:t>
            </w:r>
          </w:p>
        </w:tc>
      </w:tr>
      <w:tr w:rsidR="00072449" w:rsidRPr="00FB60E5" w14:paraId="38A462AA"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A5" w14:textId="77777777" w:rsidR="00072449" w:rsidRPr="00214785" w:rsidRDefault="00072449" w:rsidP="00AF6D9B">
            <w:pPr>
              <w:pStyle w:val="tabletext"/>
              <w:rPr>
                <w:b w:val="0"/>
              </w:rPr>
            </w:pPr>
            <w:r w:rsidRPr="00214785">
              <w:rPr>
                <w:b w:val="0"/>
              </w:rPr>
              <w:t>Employment service</w:t>
            </w:r>
          </w:p>
        </w:tc>
        <w:tc>
          <w:tcPr>
            <w:tcW w:w="612" w:type="pct"/>
          </w:tcPr>
          <w:p w14:paraId="38A462A6"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6C6D1D" w:rsidRPr="00FB60E5">
              <w:t>6</w:t>
            </w:r>
          </w:p>
        </w:tc>
        <w:tc>
          <w:tcPr>
            <w:tcW w:w="884" w:type="pct"/>
          </w:tcPr>
          <w:p w14:paraId="38A462A7"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41.</w:t>
            </w:r>
            <w:r w:rsidR="006C6D1D" w:rsidRPr="00FB60E5">
              <w:t>9</w:t>
            </w:r>
            <w:r w:rsidRPr="00FB60E5">
              <w:t>%</w:t>
            </w:r>
          </w:p>
        </w:tc>
        <w:tc>
          <w:tcPr>
            <w:tcW w:w="883" w:type="pct"/>
          </w:tcPr>
          <w:p w14:paraId="38A462A8"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43.</w:t>
            </w:r>
            <w:r w:rsidR="006C6D1D" w:rsidRPr="00FB60E5">
              <w:t>4</w:t>
            </w:r>
            <w:r w:rsidRPr="00FB60E5">
              <w:t>%</w:t>
            </w:r>
          </w:p>
        </w:tc>
        <w:tc>
          <w:tcPr>
            <w:tcW w:w="722" w:type="pct"/>
          </w:tcPr>
          <w:p w14:paraId="38A462A9"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w:t>
            </w:r>
            <w:r w:rsidR="006C6D1D" w:rsidRPr="00FB60E5">
              <w:t>89</w:t>
            </w:r>
          </w:p>
        </w:tc>
      </w:tr>
      <w:tr w:rsidR="00072449" w:rsidRPr="00FB60E5" w14:paraId="38A462B0"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AB" w14:textId="77777777" w:rsidR="00072449" w:rsidRPr="00214785" w:rsidRDefault="00072449" w:rsidP="00AF6D9B">
            <w:pPr>
              <w:pStyle w:val="tabletext"/>
              <w:rPr>
                <w:b w:val="0"/>
              </w:rPr>
            </w:pPr>
            <w:r w:rsidRPr="00214785">
              <w:rPr>
                <w:b w:val="0"/>
              </w:rPr>
              <w:lastRenderedPageBreak/>
              <w:t>Family/relationship counselling</w:t>
            </w:r>
          </w:p>
        </w:tc>
        <w:tc>
          <w:tcPr>
            <w:tcW w:w="612" w:type="pct"/>
          </w:tcPr>
          <w:p w14:paraId="38A462AC"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6C6D1D" w:rsidRPr="00FB60E5">
              <w:t>6</w:t>
            </w:r>
          </w:p>
        </w:tc>
        <w:tc>
          <w:tcPr>
            <w:tcW w:w="884" w:type="pct"/>
          </w:tcPr>
          <w:p w14:paraId="38A462AD"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8.</w:t>
            </w:r>
            <w:r w:rsidR="006C6D1D" w:rsidRPr="00FB60E5">
              <w:t>8</w:t>
            </w:r>
            <w:r w:rsidRPr="00FB60E5">
              <w:t>%</w:t>
            </w:r>
          </w:p>
        </w:tc>
        <w:tc>
          <w:tcPr>
            <w:tcW w:w="883" w:type="pct"/>
          </w:tcPr>
          <w:p w14:paraId="38A462AE"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9.6%</w:t>
            </w:r>
          </w:p>
        </w:tc>
        <w:tc>
          <w:tcPr>
            <w:tcW w:w="722" w:type="pct"/>
          </w:tcPr>
          <w:p w14:paraId="38A462AF"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1.00</w:t>
            </w:r>
          </w:p>
        </w:tc>
      </w:tr>
      <w:tr w:rsidR="00072449" w:rsidRPr="00FB60E5" w14:paraId="38A462B6"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B1" w14:textId="77777777" w:rsidR="00072449" w:rsidRPr="00214785" w:rsidRDefault="00072449" w:rsidP="00AF6D9B">
            <w:pPr>
              <w:pStyle w:val="tabletext"/>
              <w:rPr>
                <w:b w:val="0"/>
              </w:rPr>
            </w:pPr>
            <w:r w:rsidRPr="00214785">
              <w:rPr>
                <w:b w:val="0"/>
              </w:rPr>
              <w:t>Housing/homelessness service</w:t>
            </w:r>
          </w:p>
        </w:tc>
        <w:tc>
          <w:tcPr>
            <w:tcW w:w="612" w:type="pct"/>
          </w:tcPr>
          <w:p w14:paraId="38A462B2"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6C6D1D" w:rsidRPr="00FB60E5">
              <w:t>4</w:t>
            </w:r>
          </w:p>
        </w:tc>
        <w:tc>
          <w:tcPr>
            <w:tcW w:w="884" w:type="pct"/>
          </w:tcPr>
          <w:p w14:paraId="38A462B3"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16.</w:t>
            </w:r>
            <w:r w:rsidR="00851BB2" w:rsidRPr="00FB60E5">
              <w:t>4</w:t>
            </w:r>
            <w:r w:rsidRPr="00FB60E5">
              <w:t>%</w:t>
            </w:r>
          </w:p>
        </w:tc>
        <w:tc>
          <w:tcPr>
            <w:tcW w:w="883" w:type="pct"/>
          </w:tcPr>
          <w:p w14:paraId="38A462B4"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26.</w:t>
            </w:r>
            <w:r w:rsidR="00851BB2" w:rsidRPr="00FB60E5">
              <w:t>9</w:t>
            </w:r>
            <w:r w:rsidRPr="00FB60E5">
              <w:t>%</w:t>
            </w:r>
          </w:p>
        </w:tc>
        <w:tc>
          <w:tcPr>
            <w:tcW w:w="722" w:type="pct"/>
          </w:tcPr>
          <w:p w14:paraId="38A462B5" w14:textId="77777777" w:rsidR="00072449" w:rsidRPr="00FB60E5" w:rsidRDefault="005F6E7E"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r w:rsidR="00072449" w:rsidRPr="00FB60E5" w14:paraId="38A462BC"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B7" w14:textId="77777777" w:rsidR="00072449" w:rsidRPr="00214785" w:rsidRDefault="00072449" w:rsidP="00AF6D9B">
            <w:pPr>
              <w:pStyle w:val="tabletext"/>
              <w:rPr>
                <w:b w:val="0"/>
              </w:rPr>
            </w:pPr>
            <w:r w:rsidRPr="00214785">
              <w:rPr>
                <w:b w:val="0"/>
              </w:rPr>
              <w:t>Any acute service use</w:t>
            </w:r>
          </w:p>
        </w:tc>
        <w:tc>
          <w:tcPr>
            <w:tcW w:w="612" w:type="pct"/>
          </w:tcPr>
          <w:p w14:paraId="38A462B8"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136</w:t>
            </w:r>
          </w:p>
        </w:tc>
        <w:tc>
          <w:tcPr>
            <w:tcW w:w="884" w:type="pct"/>
          </w:tcPr>
          <w:p w14:paraId="38A462B9"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66.9%</w:t>
            </w:r>
          </w:p>
        </w:tc>
        <w:tc>
          <w:tcPr>
            <w:tcW w:w="883" w:type="pct"/>
          </w:tcPr>
          <w:p w14:paraId="38A462BA"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44.1%</w:t>
            </w:r>
          </w:p>
        </w:tc>
        <w:tc>
          <w:tcPr>
            <w:tcW w:w="722" w:type="pct"/>
          </w:tcPr>
          <w:p w14:paraId="38A462BB"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F6E7E" w:rsidRPr="00FB60E5">
              <w:t xml:space="preserve"> </w:t>
            </w:r>
            <w:r w:rsidRPr="00FB60E5">
              <w:t>.001</w:t>
            </w:r>
          </w:p>
        </w:tc>
      </w:tr>
      <w:tr w:rsidR="00072449" w:rsidRPr="00FB60E5" w14:paraId="38A462C2"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BD" w14:textId="77777777" w:rsidR="00072449" w:rsidRPr="00214785" w:rsidRDefault="00072449" w:rsidP="00AF6D9B">
            <w:pPr>
              <w:pStyle w:val="tabletext"/>
              <w:rPr>
                <w:b w:val="0"/>
              </w:rPr>
            </w:pPr>
            <w:r w:rsidRPr="00214785">
              <w:rPr>
                <w:b w:val="0"/>
              </w:rPr>
              <w:t>Ambulance</w:t>
            </w:r>
          </w:p>
        </w:tc>
        <w:tc>
          <w:tcPr>
            <w:tcW w:w="612" w:type="pct"/>
          </w:tcPr>
          <w:p w14:paraId="38A462BE"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851BB2" w:rsidRPr="00FB60E5">
              <w:t>7</w:t>
            </w:r>
          </w:p>
        </w:tc>
        <w:tc>
          <w:tcPr>
            <w:tcW w:w="884" w:type="pct"/>
          </w:tcPr>
          <w:p w14:paraId="38A462BF"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4</w:t>
            </w:r>
            <w:r w:rsidR="00851BB2" w:rsidRPr="00FB60E5">
              <w:t>0.9</w:t>
            </w:r>
            <w:r w:rsidRPr="00FB60E5">
              <w:t>%</w:t>
            </w:r>
          </w:p>
        </w:tc>
        <w:tc>
          <w:tcPr>
            <w:tcW w:w="883" w:type="pct"/>
          </w:tcPr>
          <w:p w14:paraId="38A462C0"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25.</w:t>
            </w:r>
            <w:r w:rsidR="00851BB2" w:rsidRPr="00FB60E5">
              <w:t>5</w:t>
            </w:r>
            <w:r w:rsidRPr="00FB60E5">
              <w:t>%</w:t>
            </w:r>
          </w:p>
        </w:tc>
        <w:tc>
          <w:tcPr>
            <w:tcW w:w="722" w:type="pct"/>
          </w:tcPr>
          <w:p w14:paraId="38A462C1" w14:textId="77777777" w:rsidR="00072449" w:rsidRPr="00FB60E5" w:rsidRDefault="005F6E7E"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1</w:t>
            </w:r>
          </w:p>
        </w:tc>
      </w:tr>
      <w:tr w:rsidR="00072449" w:rsidRPr="00FB60E5" w14:paraId="38A462C8" w14:textId="77777777" w:rsidTr="00B17D09">
        <w:trPr>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C3" w14:textId="77777777" w:rsidR="00072449" w:rsidRPr="00214785" w:rsidRDefault="00072449" w:rsidP="00AF6D9B">
            <w:pPr>
              <w:pStyle w:val="tabletext"/>
              <w:rPr>
                <w:b w:val="0"/>
              </w:rPr>
            </w:pPr>
            <w:r w:rsidRPr="00214785">
              <w:rPr>
                <w:b w:val="0"/>
              </w:rPr>
              <w:t>Hospital emergency department</w:t>
            </w:r>
          </w:p>
        </w:tc>
        <w:tc>
          <w:tcPr>
            <w:tcW w:w="612" w:type="pct"/>
          </w:tcPr>
          <w:p w14:paraId="38A462C4"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13</w:t>
            </w:r>
            <w:r w:rsidR="00851BB2" w:rsidRPr="00FB60E5">
              <w:t>6</w:t>
            </w:r>
          </w:p>
        </w:tc>
        <w:tc>
          <w:tcPr>
            <w:tcW w:w="884" w:type="pct"/>
          </w:tcPr>
          <w:p w14:paraId="38A462C5"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6</w:t>
            </w:r>
            <w:r w:rsidR="00851BB2" w:rsidRPr="00FB60E5">
              <w:t>1.0</w:t>
            </w:r>
            <w:r w:rsidRPr="00FB60E5">
              <w:t>%</w:t>
            </w:r>
          </w:p>
        </w:tc>
        <w:tc>
          <w:tcPr>
            <w:tcW w:w="883" w:type="pct"/>
          </w:tcPr>
          <w:p w14:paraId="38A462C6"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37.</w:t>
            </w:r>
            <w:r w:rsidR="00851BB2" w:rsidRPr="00FB60E5">
              <w:t>5</w:t>
            </w:r>
            <w:r w:rsidRPr="00FB60E5">
              <w:t>%</w:t>
            </w:r>
          </w:p>
        </w:tc>
        <w:tc>
          <w:tcPr>
            <w:tcW w:w="722" w:type="pct"/>
          </w:tcPr>
          <w:p w14:paraId="38A462C7" w14:textId="77777777" w:rsidR="00072449" w:rsidRPr="00FB60E5"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FB60E5">
              <w:t>&lt;</w:t>
            </w:r>
            <w:r w:rsidR="005F6E7E" w:rsidRPr="00FB60E5">
              <w:t xml:space="preserve"> </w:t>
            </w:r>
            <w:r w:rsidRPr="00FB60E5">
              <w:t>.001</w:t>
            </w:r>
          </w:p>
        </w:tc>
      </w:tr>
      <w:tr w:rsidR="00072449" w:rsidRPr="00FB60E5" w14:paraId="38A462CE" w14:textId="77777777" w:rsidTr="00B17D09">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99" w:type="pct"/>
          </w:tcPr>
          <w:p w14:paraId="38A462C9" w14:textId="77777777" w:rsidR="00072449" w:rsidRPr="00214785" w:rsidRDefault="00072449" w:rsidP="00AF6D9B">
            <w:pPr>
              <w:pStyle w:val="tabletext"/>
              <w:rPr>
                <w:b w:val="0"/>
              </w:rPr>
            </w:pPr>
            <w:r w:rsidRPr="00214785">
              <w:rPr>
                <w:b w:val="0"/>
              </w:rPr>
              <w:t xml:space="preserve">Hospital inpatient </w:t>
            </w:r>
          </w:p>
        </w:tc>
        <w:tc>
          <w:tcPr>
            <w:tcW w:w="612" w:type="pct"/>
          </w:tcPr>
          <w:p w14:paraId="38A462CA"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13</w:t>
            </w:r>
            <w:r w:rsidR="00851BB2" w:rsidRPr="00FB60E5">
              <w:t>6</w:t>
            </w:r>
          </w:p>
        </w:tc>
        <w:tc>
          <w:tcPr>
            <w:tcW w:w="884" w:type="pct"/>
          </w:tcPr>
          <w:p w14:paraId="38A462CB"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29.</w:t>
            </w:r>
            <w:r w:rsidR="00851BB2" w:rsidRPr="00FB60E5">
              <w:t>4</w:t>
            </w:r>
            <w:r w:rsidRPr="00FB60E5">
              <w:t>%</w:t>
            </w:r>
          </w:p>
        </w:tc>
        <w:tc>
          <w:tcPr>
            <w:tcW w:w="883" w:type="pct"/>
          </w:tcPr>
          <w:p w14:paraId="38A462CC" w14:textId="77777777" w:rsidR="00072449" w:rsidRPr="00FB60E5"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FB60E5">
              <w:t>1</w:t>
            </w:r>
            <w:r w:rsidR="00851BB2" w:rsidRPr="00FB60E5">
              <w:t>8.4</w:t>
            </w:r>
            <w:r w:rsidRPr="00FB60E5">
              <w:t>%</w:t>
            </w:r>
          </w:p>
        </w:tc>
        <w:tc>
          <w:tcPr>
            <w:tcW w:w="722" w:type="pct"/>
          </w:tcPr>
          <w:p w14:paraId="38A462CD" w14:textId="77777777" w:rsidR="00072449" w:rsidRPr="00FB60E5" w:rsidRDefault="005F6E7E" w:rsidP="00AF6D9B">
            <w:pPr>
              <w:pStyle w:val="tabletext"/>
              <w:cnfStyle w:val="000000100000" w:firstRow="0" w:lastRow="0" w:firstColumn="0" w:lastColumn="0" w:oddVBand="0" w:evenVBand="0" w:oddHBand="1" w:evenHBand="0" w:firstRowFirstColumn="0" w:firstRowLastColumn="0" w:lastRowFirstColumn="0" w:lastRowLastColumn="0"/>
            </w:pPr>
            <w:r w:rsidRPr="00FB60E5">
              <w:t xml:space="preserve">&lt; </w:t>
            </w:r>
            <w:r w:rsidR="00072449" w:rsidRPr="00FB60E5">
              <w:t>.0</w:t>
            </w:r>
            <w:r w:rsidRPr="00FB60E5">
              <w:t>5</w:t>
            </w:r>
          </w:p>
        </w:tc>
      </w:tr>
    </w:tbl>
    <w:p w14:paraId="38A462D0" w14:textId="77777777" w:rsidR="00072449" w:rsidRPr="00FB60E5" w:rsidRDefault="00072449" w:rsidP="00F926FF">
      <w:pPr>
        <w:pStyle w:val="Heading3"/>
      </w:pPr>
      <w:r w:rsidRPr="00FB60E5">
        <w:t>Service use Post-PIT by Primary drug type</w:t>
      </w:r>
    </w:p>
    <w:p w14:paraId="38A462D1" w14:textId="77777777" w:rsidR="00072449" w:rsidRPr="00FB60E5" w:rsidRDefault="00072449" w:rsidP="00FB60E5">
      <w:pPr>
        <w:ind w:left="0"/>
      </w:pPr>
      <w:r w:rsidRPr="00FB60E5">
        <w:t xml:space="preserve">Participants with opioids as their </w:t>
      </w:r>
      <w:r w:rsidR="00EE7A8F" w:rsidRPr="00FB60E5">
        <w:t>PDOC</w:t>
      </w:r>
      <w:r w:rsidRPr="00FB60E5">
        <w:t xml:space="preserve"> were much more likely to engage in specialist AOD services post-PIT. Participants with alcohol as their </w:t>
      </w:r>
      <w:r w:rsidR="00EE7A8F" w:rsidRPr="00FB60E5">
        <w:t>PDOC</w:t>
      </w:r>
      <w:r w:rsidRPr="00FB60E5">
        <w:t xml:space="preserve"> were more likely to engage with acute services in the year following their PIT. In contrast, use of community services and mutual aid showed little variation according to </w:t>
      </w:r>
      <w:r w:rsidR="00EE7A8F" w:rsidRPr="00FB60E5">
        <w:t>PDOC</w:t>
      </w:r>
      <w:r w:rsidRPr="00FB60E5">
        <w:t xml:space="preserve">. The referral source for the 36 outpatient participants who attended an acute withdrawal post-PIT was most commonly self-referral (n=16, 44%) followed by referral from an AOD service (n=13, 36%). The referral source for the 82 acute withdrawal </w:t>
      </w:r>
      <w:r w:rsidR="006D29AE" w:rsidRPr="00FB60E5">
        <w:t>participants</w:t>
      </w:r>
      <w:r w:rsidRPr="00FB60E5">
        <w:t xml:space="preserve"> who attended residential rehabilitation post-PIT was most commonly self-referral (n=38, 47%) followed by referral from AOD service (n=21, 26%), and then referral from an emergency department (n=15, 19%).</w:t>
      </w:r>
    </w:p>
    <w:p w14:paraId="38A462D2" w14:textId="2DDE33E1" w:rsidR="00072449" w:rsidRPr="00FB60E5" w:rsidRDefault="00552239" w:rsidP="00552239">
      <w:pPr>
        <w:pStyle w:val="Caption"/>
      </w:pPr>
      <w:bookmarkStart w:id="158" w:name="_Toc531625789"/>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13</w:t>
      </w:r>
      <w:r>
        <w:fldChar w:fldCharType="end"/>
      </w:r>
      <w:r w:rsidR="00F926FF">
        <w:t xml:space="preserve"> </w:t>
      </w:r>
      <w:r w:rsidR="00072449" w:rsidRPr="00FB60E5">
        <w:t xml:space="preserve">Post PIT AOD specialist, community and acute medical service use by </w:t>
      </w:r>
      <w:r w:rsidR="00EE7A8F" w:rsidRPr="00FB60E5">
        <w:t>PDOC</w:t>
      </w:r>
      <w:bookmarkEnd w:id="158"/>
    </w:p>
    <w:tbl>
      <w:tblPr>
        <w:tblStyle w:val="LightList-Accent1"/>
        <w:tblW w:w="5000" w:type="pct"/>
        <w:tblLook w:val="04A0" w:firstRow="1" w:lastRow="0" w:firstColumn="1" w:lastColumn="0" w:noHBand="0" w:noVBand="1"/>
        <w:tblCaption w:val="Table 3.13  Post PIT AOD specialist, community and acute medical service use by PDOC  "/>
        <w:tblDescription w:val="Table 3.13  Post PIT AOD specialist, community and acute medical service use by PDOC  "/>
      </w:tblPr>
      <w:tblGrid>
        <w:gridCol w:w="2984"/>
        <w:gridCol w:w="1024"/>
        <w:gridCol w:w="1046"/>
        <w:gridCol w:w="1002"/>
        <w:gridCol w:w="1519"/>
        <w:gridCol w:w="683"/>
        <w:gridCol w:w="984"/>
      </w:tblGrid>
      <w:tr w:rsidR="00072449" w:rsidRPr="00FB60E5" w14:paraId="38A462DF" w14:textId="77777777" w:rsidTr="00822F39">
        <w:trPr>
          <w:cnfStyle w:val="100000000000" w:firstRow="1" w:lastRow="0" w:firstColumn="0" w:lastColumn="0" w:oddVBand="0" w:evenVBand="0" w:oddHBand="0" w:evenHBand="0" w:firstRowFirstColumn="0" w:firstRowLastColumn="0" w:lastRowFirstColumn="0" w:lastRowLastColumn="0"/>
          <w:trHeight w:hRule="exact" w:val="624"/>
          <w:tblHeader/>
        </w:trPr>
        <w:tc>
          <w:tcPr>
            <w:cnfStyle w:val="001000000000" w:firstRow="0" w:lastRow="0" w:firstColumn="1" w:lastColumn="0" w:oddVBand="0" w:evenVBand="0" w:oddHBand="0" w:evenHBand="0" w:firstRowFirstColumn="0" w:firstRowLastColumn="0" w:lastRowFirstColumn="0" w:lastRowLastColumn="0"/>
            <w:tcW w:w="1632" w:type="pct"/>
          </w:tcPr>
          <w:p w14:paraId="38A462D3" w14:textId="77777777" w:rsidR="00072449" w:rsidRPr="00FB60E5" w:rsidRDefault="00072449" w:rsidP="00B17D09">
            <w:pPr>
              <w:pStyle w:val="tabletext"/>
            </w:pPr>
            <w:r w:rsidRPr="00FB60E5">
              <w:t xml:space="preserve">Service </w:t>
            </w:r>
            <w:r w:rsidR="004516BD" w:rsidRPr="00FB60E5">
              <w:t>t</w:t>
            </w:r>
            <w:r w:rsidRPr="00FB60E5">
              <w:t xml:space="preserve">ype </w:t>
            </w:r>
            <w:r w:rsidR="004516BD" w:rsidRPr="00FB60E5">
              <w:t>a</w:t>
            </w:r>
            <w:r w:rsidRPr="00FB60E5">
              <w:t>ttended</w:t>
            </w:r>
          </w:p>
        </w:tc>
        <w:tc>
          <w:tcPr>
            <w:tcW w:w="572" w:type="pct"/>
          </w:tcPr>
          <w:p w14:paraId="38A462D4"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Alcohol</w:t>
            </w:r>
          </w:p>
          <w:p w14:paraId="38A462D5"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572" w:type="pct"/>
          </w:tcPr>
          <w:p w14:paraId="38A462D6"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Cannabis</w:t>
            </w:r>
          </w:p>
          <w:p w14:paraId="38A462D7"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572" w:type="pct"/>
          </w:tcPr>
          <w:p w14:paraId="38A462D8"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Opioids</w:t>
            </w:r>
          </w:p>
          <w:p w14:paraId="38A462D9"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715" w:type="pct"/>
          </w:tcPr>
          <w:p w14:paraId="38A462DA" w14:textId="77777777" w:rsidR="00072449" w:rsidRPr="00FB60E5" w:rsidRDefault="00087D81" w:rsidP="00B17D09">
            <w:pPr>
              <w:pStyle w:val="tabletext"/>
              <w:cnfStyle w:val="100000000000" w:firstRow="1" w:lastRow="0" w:firstColumn="0" w:lastColumn="0" w:oddVBand="0" w:evenVBand="0" w:oddHBand="0" w:evenHBand="0" w:firstRowFirstColumn="0" w:firstRowLastColumn="0" w:lastRowFirstColumn="0" w:lastRowLastColumn="0"/>
            </w:pPr>
            <w:r w:rsidRPr="00FB60E5">
              <w:t>Meth</w:t>
            </w:r>
            <w:r w:rsidR="00980B18" w:rsidRPr="00FB60E5">
              <w:t>/</w:t>
            </w:r>
            <w:proofErr w:type="spellStart"/>
            <w:r w:rsidR="00EB5549" w:rsidRPr="00FB60E5">
              <w:t>a</w:t>
            </w:r>
            <w:r w:rsidR="00072449" w:rsidRPr="00FB60E5">
              <w:t>mphet</w:t>
            </w:r>
            <w:proofErr w:type="spellEnd"/>
          </w:p>
          <w:p w14:paraId="38A462DB"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370" w:type="pct"/>
          </w:tcPr>
          <w:p w14:paraId="38A462DC"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Total</w:t>
            </w:r>
          </w:p>
          <w:p w14:paraId="38A462DD"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568" w:type="pct"/>
          </w:tcPr>
          <w:p w14:paraId="38A462DE" w14:textId="77777777" w:rsidR="00072449" w:rsidRPr="00FB60E5" w:rsidRDefault="00072449" w:rsidP="00B17D09">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2E7" w14:textId="77777777" w:rsidTr="00B17D09">
        <w:trPr>
          <w:cnfStyle w:val="000000100000" w:firstRow="0" w:lastRow="0" w:firstColumn="0" w:lastColumn="0" w:oddVBand="0" w:evenVBand="0" w:oddHBand="1" w:evenHBand="0" w:firstRowFirstColumn="0" w:firstRowLastColumn="0" w:lastRowFirstColumn="0" w:lastRowLastColumn="0"/>
          <w:trHeight w:hRule="exact" w:val="834"/>
        </w:trPr>
        <w:tc>
          <w:tcPr>
            <w:cnfStyle w:val="001000000000" w:firstRow="0" w:lastRow="0" w:firstColumn="1" w:lastColumn="0" w:oddVBand="0" w:evenVBand="0" w:oddHBand="0" w:evenHBand="0" w:firstRowFirstColumn="0" w:firstRowLastColumn="0" w:lastRowFirstColumn="0" w:lastRowLastColumn="0"/>
            <w:tcW w:w="1632" w:type="pct"/>
          </w:tcPr>
          <w:p w14:paraId="38A462E0" w14:textId="77777777" w:rsidR="00072449" w:rsidRPr="00214785" w:rsidRDefault="00072449" w:rsidP="00AF6D9B">
            <w:pPr>
              <w:pStyle w:val="tabletext"/>
              <w:rPr>
                <w:b w:val="0"/>
              </w:rPr>
            </w:pPr>
            <w:r w:rsidRPr="00214785">
              <w:rPr>
                <w:b w:val="0"/>
              </w:rPr>
              <w:t xml:space="preserve">AOD </w:t>
            </w:r>
            <w:r w:rsidR="004516BD" w:rsidRPr="00214785">
              <w:rPr>
                <w:b w:val="0"/>
              </w:rPr>
              <w:t>s</w:t>
            </w:r>
            <w:r w:rsidRPr="00214785">
              <w:rPr>
                <w:b w:val="0"/>
              </w:rPr>
              <w:t>ervices</w:t>
            </w:r>
            <w:r w:rsidR="00FC2DF0" w:rsidRPr="00214785">
              <w:rPr>
                <w:b w:val="0"/>
              </w:rPr>
              <w:t xml:space="preserve"> (not including mutual aid or pharmacotherapy)</w:t>
            </w:r>
          </w:p>
        </w:tc>
        <w:tc>
          <w:tcPr>
            <w:tcW w:w="572" w:type="pct"/>
          </w:tcPr>
          <w:p w14:paraId="38A462E1"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6</w:t>
            </w:r>
            <w:r w:rsidR="00FC2DF0" w:rsidRPr="00AF6D9B">
              <w:t>7.0</w:t>
            </w:r>
          </w:p>
        </w:tc>
        <w:tc>
          <w:tcPr>
            <w:tcW w:w="572" w:type="pct"/>
          </w:tcPr>
          <w:p w14:paraId="38A462E2"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6</w:t>
            </w:r>
            <w:r w:rsidR="00FC2DF0" w:rsidRPr="00AF6D9B">
              <w:t>4.7</w:t>
            </w:r>
          </w:p>
        </w:tc>
        <w:tc>
          <w:tcPr>
            <w:tcW w:w="572" w:type="pct"/>
          </w:tcPr>
          <w:p w14:paraId="38A462E3" w14:textId="77777777" w:rsidR="00072449" w:rsidRPr="00AF6D9B" w:rsidRDefault="00FC2DF0" w:rsidP="00AF6D9B">
            <w:pPr>
              <w:pStyle w:val="tabletext"/>
              <w:cnfStyle w:val="000000100000" w:firstRow="0" w:lastRow="0" w:firstColumn="0" w:lastColumn="0" w:oddVBand="0" w:evenVBand="0" w:oddHBand="1" w:evenHBand="0" w:firstRowFirstColumn="0" w:firstRowLastColumn="0" w:lastRowFirstColumn="0" w:lastRowLastColumn="0"/>
            </w:pPr>
            <w:r w:rsidRPr="00AF6D9B">
              <w:t>67.4</w:t>
            </w:r>
          </w:p>
        </w:tc>
        <w:tc>
          <w:tcPr>
            <w:tcW w:w="715" w:type="pct"/>
          </w:tcPr>
          <w:p w14:paraId="38A462E4" w14:textId="77777777" w:rsidR="00072449" w:rsidRPr="00AF6D9B" w:rsidRDefault="00FC2DF0" w:rsidP="00AF6D9B">
            <w:pPr>
              <w:pStyle w:val="tabletext"/>
              <w:cnfStyle w:val="000000100000" w:firstRow="0" w:lastRow="0" w:firstColumn="0" w:lastColumn="0" w:oddVBand="0" w:evenVBand="0" w:oddHBand="1" w:evenHBand="0" w:firstRowFirstColumn="0" w:firstRowLastColumn="0" w:lastRowFirstColumn="0" w:lastRowLastColumn="0"/>
            </w:pPr>
            <w:r w:rsidRPr="00AF6D9B">
              <w:t>69.6</w:t>
            </w:r>
          </w:p>
        </w:tc>
        <w:tc>
          <w:tcPr>
            <w:tcW w:w="370" w:type="pct"/>
          </w:tcPr>
          <w:p w14:paraId="38A462E5" w14:textId="77777777" w:rsidR="00072449" w:rsidRPr="00AF6D9B" w:rsidRDefault="00FC2DF0" w:rsidP="00AF6D9B">
            <w:pPr>
              <w:pStyle w:val="tabletext"/>
              <w:cnfStyle w:val="000000100000" w:firstRow="0" w:lastRow="0" w:firstColumn="0" w:lastColumn="0" w:oddVBand="0" w:evenVBand="0" w:oddHBand="1" w:evenHBand="0" w:firstRowFirstColumn="0" w:firstRowLastColumn="0" w:lastRowFirstColumn="0" w:lastRowLastColumn="0"/>
            </w:pPr>
            <w:r w:rsidRPr="00AF6D9B">
              <w:t>67.6</w:t>
            </w:r>
          </w:p>
        </w:tc>
        <w:tc>
          <w:tcPr>
            <w:tcW w:w="568" w:type="pct"/>
          </w:tcPr>
          <w:p w14:paraId="38A462E6"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w:t>
            </w:r>
            <w:r w:rsidR="00FC2DF0" w:rsidRPr="00AF6D9B">
              <w:t>76</w:t>
            </w:r>
          </w:p>
        </w:tc>
      </w:tr>
      <w:tr w:rsidR="00072449" w:rsidRPr="00FB60E5" w14:paraId="38A462EF" w14:textId="77777777" w:rsidTr="00B17D09">
        <w:trPr>
          <w:trHeight w:hRule="exact" w:val="284"/>
        </w:trPr>
        <w:tc>
          <w:tcPr>
            <w:cnfStyle w:val="001000000000" w:firstRow="0" w:lastRow="0" w:firstColumn="1" w:lastColumn="0" w:oddVBand="0" w:evenVBand="0" w:oddHBand="0" w:evenHBand="0" w:firstRowFirstColumn="0" w:firstRowLastColumn="0" w:lastRowFirstColumn="0" w:lastRowLastColumn="0"/>
            <w:tcW w:w="1632" w:type="pct"/>
          </w:tcPr>
          <w:p w14:paraId="38A462E8" w14:textId="77777777" w:rsidR="00072449" w:rsidRPr="00214785" w:rsidRDefault="00072449" w:rsidP="00AF6D9B">
            <w:pPr>
              <w:pStyle w:val="tabletext"/>
              <w:rPr>
                <w:b w:val="0"/>
              </w:rPr>
            </w:pPr>
            <w:r w:rsidRPr="00214785">
              <w:rPr>
                <w:b w:val="0"/>
              </w:rPr>
              <w:t xml:space="preserve">Community </w:t>
            </w:r>
            <w:r w:rsidR="004516BD" w:rsidRPr="00214785">
              <w:rPr>
                <w:b w:val="0"/>
              </w:rPr>
              <w:t>s</w:t>
            </w:r>
            <w:r w:rsidRPr="00214785">
              <w:rPr>
                <w:b w:val="0"/>
              </w:rPr>
              <w:t>ervice</w:t>
            </w:r>
          </w:p>
        </w:tc>
        <w:tc>
          <w:tcPr>
            <w:tcW w:w="572" w:type="pct"/>
          </w:tcPr>
          <w:p w14:paraId="38A462E9"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7</w:t>
            </w:r>
            <w:r w:rsidR="00FC2DF0" w:rsidRPr="00AF6D9B">
              <w:t>2.8</w:t>
            </w:r>
          </w:p>
        </w:tc>
        <w:tc>
          <w:tcPr>
            <w:tcW w:w="572" w:type="pct"/>
          </w:tcPr>
          <w:p w14:paraId="38A462EA"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82.4</w:t>
            </w:r>
          </w:p>
        </w:tc>
        <w:tc>
          <w:tcPr>
            <w:tcW w:w="572" w:type="pct"/>
          </w:tcPr>
          <w:p w14:paraId="38A462EB"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80.2</w:t>
            </w:r>
          </w:p>
        </w:tc>
        <w:tc>
          <w:tcPr>
            <w:tcW w:w="715" w:type="pct"/>
          </w:tcPr>
          <w:p w14:paraId="38A462EC" w14:textId="77777777" w:rsidR="00072449" w:rsidRPr="00AF6D9B" w:rsidRDefault="00FC2DF0" w:rsidP="00AF6D9B">
            <w:pPr>
              <w:pStyle w:val="tabletext"/>
              <w:cnfStyle w:val="000000000000" w:firstRow="0" w:lastRow="0" w:firstColumn="0" w:lastColumn="0" w:oddVBand="0" w:evenVBand="0" w:oddHBand="0" w:evenHBand="0" w:firstRowFirstColumn="0" w:firstRowLastColumn="0" w:lastRowFirstColumn="0" w:lastRowLastColumn="0"/>
            </w:pPr>
            <w:r w:rsidRPr="00AF6D9B">
              <w:t>79.3</w:t>
            </w:r>
          </w:p>
        </w:tc>
        <w:tc>
          <w:tcPr>
            <w:tcW w:w="370" w:type="pct"/>
          </w:tcPr>
          <w:p w14:paraId="38A462ED"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77.</w:t>
            </w:r>
            <w:r w:rsidR="00FC2DF0" w:rsidRPr="00AF6D9B">
              <w:t>0</w:t>
            </w:r>
          </w:p>
        </w:tc>
        <w:tc>
          <w:tcPr>
            <w:tcW w:w="568" w:type="pct"/>
          </w:tcPr>
          <w:p w14:paraId="38A462EE"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w:t>
            </w:r>
            <w:r w:rsidR="00FC2DF0" w:rsidRPr="00AF6D9B">
              <w:t>21</w:t>
            </w:r>
          </w:p>
        </w:tc>
      </w:tr>
      <w:tr w:rsidR="00072449" w:rsidRPr="00FB60E5" w14:paraId="38A462F7" w14:textId="77777777" w:rsidTr="00B17D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632" w:type="pct"/>
          </w:tcPr>
          <w:p w14:paraId="38A462F0" w14:textId="77777777" w:rsidR="00072449" w:rsidRPr="00214785" w:rsidRDefault="00072449" w:rsidP="00AF6D9B">
            <w:pPr>
              <w:pStyle w:val="tabletext"/>
              <w:rPr>
                <w:b w:val="0"/>
              </w:rPr>
            </w:pPr>
            <w:r w:rsidRPr="00214785">
              <w:rPr>
                <w:b w:val="0"/>
              </w:rPr>
              <w:t xml:space="preserve">Acute or </w:t>
            </w:r>
            <w:r w:rsidR="004516BD" w:rsidRPr="00214785">
              <w:rPr>
                <w:b w:val="0"/>
              </w:rPr>
              <w:t>e</w:t>
            </w:r>
            <w:r w:rsidRPr="00214785">
              <w:rPr>
                <w:b w:val="0"/>
              </w:rPr>
              <w:t xml:space="preserve">mergency </w:t>
            </w:r>
            <w:r w:rsidR="004516BD" w:rsidRPr="00214785">
              <w:rPr>
                <w:b w:val="0"/>
              </w:rPr>
              <w:t>s</w:t>
            </w:r>
            <w:r w:rsidRPr="00214785">
              <w:rPr>
                <w:b w:val="0"/>
              </w:rPr>
              <w:t>ervices</w:t>
            </w:r>
          </w:p>
        </w:tc>
        <w:tc>
          <w:tcPr>
            <w:tcW w:w="572" w:type="pct"/>
          </w:tcPr>
          <w:p w14:paraId="38A462F1"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5</w:t>
            </w:r>
            <w:r w:rsidR="00FC2DF0" w:rsidRPr="00AF6D9B">
              <w:t>8.1</w:t>
            </w:r>
          </w:p>
        </w:tc>
        <w:tc>
          <w:tcPr>
            <w:tcW w:w="572" w:type="pct"/>
          </w:tcPr>
          <w:p w14:paraId="38A462F2"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42.4</w:t>
            </w:r>
          </w:p>
        </w:tc>
        <w:tc>
          <w:tcPr>
            <w:tcW w:w="572" w:type="pct"/>
          </w:tcPr>
          <w:p w14:paraId="38A462F3"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41.9</w:t>
            </w:r>
          </w:p>
        </w:tc>
        <w:tc>
          <w:tcPr>
            <w:tcW w:w="715" w:type="pct"/>
          </w:tcPr>
          <w:p w14:paraId="38A462F4"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4</w:t>
            </w:r>
            <w:r w:rsidR="00FC2DF0" w:rsidRPr="00AF6D9B">
              <w:t>6.7</w:t>
            </w:r>
          </w:p>
        </w:tc>
        <w:tc>
          <w:tcPr>
            <w:tcW w:w="370" w:type="pct"/>
          </w:tcPr>
          <w:p w14:paraId="38A462F5"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51</w:t>
            </w:r>
            <w:r w:rsidR="000C463F" w:rsidRPr="00AF6D9B">
              <w:t>.0</w:t>
            </w:r>
          </w:p>
        </w:tc>
        <w:tc>
          <w:tcPr>
            <w:tcW w:w="568" w:type="pct"/>
          </w:tcPr>
          <w:p w14:paraId="38A462F6"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&lt;</w:t>
            </w:r>
            <w:r w:rsidR="00FC2DF0" w:rsidRPr="00AF6D9B">
              <w:t xml:space="preserve"> </w:t>
            </w:r>
            <w:r w:rsidRPr="00AF6D9B">
              <w:t>.05</w:t>
            </w:r>
          </w:p>
        </w:tc>
      </w:tr>
      <w:tr w:rsidR="00072449" w:rsidRPr="00FB60E5" w14:paraId="38A462FF" w14:textId="77777777" w:rsidTr="00B17D09">
        <w:trPr>
          <w:trHeight w:hRule="exact" w:val="284"/>
        </w:trPr>
        <w:tc>
          <w:tcPr>
            <w:cnfStyle w:val="001000000000" w:firstRow="0" w:lastRow="0" w:firstColumn="1" w:lastColumn="0" w:oddVBand="0" w:evenVBand="0" w:oddHBand="0" w:evenHBand="0" w:firstRowFirstColumn="0" w:firstRowLastColumn="0" w:lastRowFirstColumn="0" w:lastRowLastColumn="0"/>
            <w:tcW w:w="1632" w:type="pct"/>
          </w:tcPr>
          <w:p w14:paraId="38A462F8" w14:textId="77777777" w:rsidR="00072449" w:rsidRPr="00214785" w:rsidRDefault="00072449" w:rsidP="00AF6D9B">
            <w:pPr>
              <w:pStyle w:val="tabletext"/>
              <w:rPr>
                <w:b w:val="0"/>
              </w:rPr>
            </w:pPr>
            <w:r w:rsidRPr="00214785">
              <w:rPr>
                <w:b w:val="0"/>
              </w:rPr>
              <w:t xml:space="preserve">Mutual </w:t>
            </w:r>
            <w:r w:rsidR="004516BD" w:rsidRPr="00214785">
              <w:rPr>
                <w:b w:val="0"/>
              </w:rPr>
              <w:t>a</w:t>
            </w:r>
            <w:r w:rsidRPr="00214785">
              <w:rPr>
                <w:b w:val="0"/>
              </w:rPr>
              <w:t xml:space="preserve">id or </w:t>
            </w:r>
            <w:proofErr w:type="spellStart"/>
            <w:r w:rsidR="004516BD" w:rsidRPr="00214785">
              <w:rPr>
                <w:b w:val="0"/>
              </w:rPr>
              <w:t>s</w:t>
            </w:r>
            <w:r w:rsidRPr="00214785">
              <w:rPr>
                <w:b w:val="0"/>
              </w:rPr>
              <w:t xml:space="preserve">elf </w:t>
            </w:r>
            <w:r w:rsidR="004516BD" w:rsidRPr="00214785">
              <w:rPr>
                <w:b w:val="0"/>
              </w:rPr>
              <w:t>h</w:t>
            </w:r>
            <w:r w:rsidRPr="00214785">
              <w:rPr>
                <w:b w:val="0"/>
              </w:rPr>
              <w:t>elp</w:t>
            </w:r>
            <w:proofErr w:type="spellEnd"/>
            <w:r w:rsidRPr="00214785">
              <w:rPr>
                <w:b w:val="0"/>
              </w:rPr>
              <w:t xml:space="preserve"> </w:t>
            </w:r>
            <w:r w:rsidR="004516BD" w:rsidRPr="00214785">
              <w:rPr>
                <w:b w:val="0"/>
              </w:rPr>
              <w:t>g</w:t>
            </w:r>
            <w:r w:rsidRPr="00214785">
              <w:rPr>
                <w:b w:val="0"/>
              </w:rPr>
              <w:t>roups</w:t>
            </w:r>
          </w:p>
        </w:tc>
        <w:tc>
          <w:tcPr>
            <w:tcW w:w="572" w:type="pct"/>
          </w:tcPr>
          <w:p w14:paraId="38A462F9"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w:t>
            </w:r>
            <w:r w:rsidR="000C463F" w:rsidRPr="00AF6D9B">
              <w:t>0.4</w:t>
            </w:r>
          </w:p>
        </w:tc>
        <w:tc>
          <w:tcPr>
            <w:tcW w:w="572" w:type="pct"/>
          </w:tcPr>
          <w:p w14:paraId="38A462FA"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3</w:t>
            </w:r>
            <w:r w:rsidR="000C463F" w:rsidRPr="00AF6D9B">
              <w:t>5</w:t>
            </w:r>
            <w:r w:rsidRPr="00AF6D9B">
              <w:t>.7</w:t>
            </w:r>
          </w:p>
        </w:tc>
        <w:tc>
          <w:tcPr>
            <w:tcW w:w="572" w:type="pct"/>
          </w:tcPr>
          <w:p w14:paraId="38A462FB"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w:t>
            </w:r>
            <w:r w:rsidR="000C463F" w:rsidRPr="00AF6D9B">
              <w:t>1.2</w:t>
            </w:r>
          </w:p>
        </w:tc>
        <w:tc>
          <w:tcPr>
            <w:tcW w:w="715" w:type="pct"/>
          </w:tcPr>
          <w:p w14:paraId="38A462FC"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5</w:t>
            </w:r>
            <w:r w:rsidR="000C463F" w:rsidRPr="00AF6D9B">
              <w:t>3.8</w:t>
            </w:r>
          </w:p>
        </w:tc>
        <w:tc>
          <w:tcPr>
            <w:tcW w:w="370" w:type="pct"/>
          </w:tcPr>
          <w:p w14:paraId="38A462FD" w14:textId="77777777" w:rsidR="00072449" w:rsidRPr="00AF6D9B" w:rsidRDefault="00376554" w:rsidP="00AF6D9B">
            <w:pPr>
              <w:pStyle w:val="tabletext"/>
              <w:cnfStyle w:val="000000000000" w:firstRow="0" w:lastRow="0" w:firstColumn="0" w:lastColumn="0" w:oddVBand="0" w:evenVBand="0" w:oddHBand="0" w:evenHBand="0" w:firstRowFirstColumn="0" w:firstRowLastColumn="0" w:lastRowFirstColumn="0" w:lastRowLastColumn="0"/>
            </w:pPr>
            <w:r w:rsidRPr="00AF6D9B">
              <w:t>48.6</w:t>
            </w:r>
          </w:p>
        </w:tc>
        <w:tc>
          <w:tcPr>
            <w:tcW w:w="568" w:type="pct"/>
          </w:tcPr>
          <w:p w14:paraId="38A462FE"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w:t>
            </w:r>
            <w:r w:rsidR="000C463F" w:rsidRPr="00AF6D9B">
              <w:t>12</w:t>
            </w:r>
          </w:p>
        </w:tc>
      </w:tr>
      <w:tr w:rsidR="00FC2DF0" w:rsidRPr="00FB60E5" w14:paraId="38A46307" w14:textId="77777777" w:rsidTr="00B17D0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632" w:type="pct"/>
          </w:tcPr>
          <w:p w14:paraId="38A46300" w14:textId="77777777" w:rsidR="00FC2DF0" w:rsidRPr="00214785" w:rsidRDefault="00FC2DF0" w:rsidP="00AF6D9B">
            <w:pPr>
              <w:pStyle w:val="tabletext"/>
              <w:rPr>
                <w:b w:val="0"/>
              </w:rPr>
            </w:pPr>
            <w:r w:rsidRPr="00214785">
              <w:rPr>
                <w:b w:val="0"/>
              </w:rPr>
              <w:t>Pharmacotherapy</w:t>
            </w:r>
          </w:p>
        </w:tc>
        <w:tc>
          <w:tcPr>
            <w:tcW w:w="572" w:type="pct"/>
          </w:tcPr>
          <w:p w14:paraId="38A46301" w14:textId="77777777" w:rsidR="00FC2DF0" w:rsidRPr="00AF6D9B" w:rsidRDefault="00376554" w:rsidP="00AF6D9B">
            <w:pPr>
              <w:pStyle w:val="tabletext"/>
              <w:cnfStyle w:val="000000100000" w:firstRow="0" w:lastRow="0" w:firstColumn="0" w:lastColumn="0" w:oddVBand="0" w:evenVBand="0" w:oddHBand="1" w:evenHBand="0" w:firstRowFirstColumn="0" w:firstRowLastColumn="0" w:lastRowFirstColumn="0" w:lastRowLastColumn="0"/>
            </w:pPr>
            <w:r w:rsidRPr="00AF6D9B">
              <w:t>17.2</w:t>
            </w:r>
          </w:p>
        </w:tc>
        <w:tc>
          <w:tcPr>
            <w:tcW w:w="572" w:type="pct"/>
          </w:tcPr>
          <w:p w14:paraId="38A46302" w14:textId="77777777" w:rsidR="00FC2DF0" w:rsidRPr="00AF6D9B" w:rsidRDefault="00376554" w:rsidP="00AF6D9B">
            <w:pPr>
              <w:pStyle w:val="tabletext"/>
              <w:cnfStyle w:val="000000100000" w:firstRow="0" w:lastRow="0" w:firstColumn="0" w:lastColumn="0" w:oddVBand="0" w:evenVBand="0" w:oddHBand="1" w:evenHBand="0" w:firstRowFirstColumn="0" w:firstRowLastColumn="0" w:lastRowFirstColumn="0" w:lastRowLastColumn="0"/>
            </w:pPr>
            <w:r w:rsidRPr="00AF6D9B">
              <w:t>9.4</w:t>
            </w:r>
          </w:p>
        </w:tc>
        <w:tc>
          <w:tcPr>
            <w:tcW w:w="572" w:type="pct"/>
          </w:tcPr>
          <w:p w14:paraId="38A46303" w14:textId="77777777" w:rsidR="00FC2DF0" w:rsidRPr="00AF6D9B" w:rsidRDefault="00376554" w:rsidP="00AF6D9B">
            <w:pPr>
              <w:pStyle w:val="tabletext"/>
              <w:cnfStyle w:val="000000100000" w:firstRow="0" w:lastRow="0" w:firstColumn="0" w:lastColumn="0" w:oddVBand="0" w:evenVBand="0" w:oddHBand="1" w:evenHBand="0" w:firstRowFirstColumn="0" w:firstRowLastColumn="0" w:lastRowFirstColumn="0" w:lastRowLastColumn="0"/>
            </w:pPr>
            <w:r w:rsidRPr="00AF6D9B">
              <w:t>60.7</w:t>
            </w:r>
          </w:p>
        </w:tc>
        <w:tc>
          <w:tcPr>
            <w:tcW w:w="715" w:type="pct"/>
          </w:tcPr>
          <w:p w14:paraId="38A46304" w14:textId="77777777" w:rsidR="00FC2DF0" w:rsidRPr="00AF6D9B" w:rsidRDefault="00376554" w:rsidP="00AF6D9B">
            <w:pPr>
              <w:pStyle w:val="tabletext"/>
              <w:cnfStyle w:val="000000100000" w:firstRow="0" w:lastRow="0" w:firstColumn="0" w:lastColumn="0" w:oddVBand="0" w:evenVBand="0" w:oddHBand="1" w:evenHBand="0" w:firstRowFirstColumn="0" w:firstRowLastColumn="0" w:lastRowFirstColumn="0" w:lastRowLastColumn="0"/>
            </w:pPr>
            <w:r w:rsidRPr="00AF6D9B">
              <w:t>9.8</w:t>
            </w:r>
          </w:p>
        </w:tc>
        <w:tc>
          <w:tcPr>
            <w:tcW w:w="370" w:type="pct"/>
          </w:tcPr>
          <w:p w14:paraId="38A46305" w14:textId="77777777" w:rsidR="00FC2DF0" w:rsidRPr="00AF6D9B" w:rsidRDefault="00376554" w:rsidP="00AF6D9B">
            <w:pPr>
              <w:pStyle w:val="tabletext"/>
              <w:cnfStyle w:val="000000100000" w:firstRow="0" w:lastRow="0" w:firstColumn="0" w:lastColumn="0" w:oddVBand="0" w:evenVBand="0" w:oddHBand="1" w:evenHBand="0" w:firstRowFirstColumn="0" w:firstRowLastColumn="0" w:lastRowFirstColumn="0" w:lastRowLastColumn="0"/>
            </w:pPr>
            <w:r w:rsidRPr="00AF6D9B">
              <w:t>21.6</w:t>
            </w:r>
          </w:p>
        </w:tc>
        <w:tc>
          <w:tcPr>
            <w:tcW w:w="568" w:type="pct"/>
          </w:tcPr>
          <w:p w14:paraId="38A46306" w14:textId="77777777" w:rsidR="00FC2DF0" w:rsidRPr="00AF6D9B" w:rsidRDefault="00376554" w:rsidP="00AF6D9B">
            <w:pPr>
              <w:pStyle w:val="tabletext"/>
              <w:cnfStyle w:val="000000100000" w:firstRow="0" w:lastRow="0" w:firstColumn="0" w:lastColumn="0" w:oddVBand="0" w:evenVBand="0" w:oddHBand="1" w:evenHBand="0" w:firstRowFirstColumn="0" w:firstRowLastColumn="0" w:lastRowFirstColumn="0" w:lastRowLastColumn="0"/>
            </w:pPr>
            <w:r w:rsidRPr="00AF6D9B">
              <w:t>&lt; .001</w:t>
            </w:r>
          </w:p>
        </w:tc>
      </w:tr>
    </w:tbl>
    <w:p w14:paraId="38A46308" w14:textId="77777777" w:rsidR="00072449" w:rsidRPr="00FB60E5" w:rsidRDefault="004516BD" w:rsidP="00F926FF">
      <w:pPr>
        <w:pStyle w:val="Heading3"/>
      </w:pPr>
      <w:r w:rsidRPr="00FB60E5">
        <w:t>Participant</w:t>
      </w:r>
      <w:r w:rsidR="00072449" w:rsidRPr="00FB60E5">
        <w:t xml:space="preserve"> outcomes</w:t>
      </w:r>
    </w:p>
    <w:p w14:paraId="38A46309" w14:textId="2CA903A4" w:rsidR="00072449" w:rsidRPr="00F926FF" w:rsidRDefault="00F926FF" w:rsidP="00882917">
      <w:pPr>
        <w:pStyle w:val="ListParagraph"/>
        <w:numPr>
          <w:ilvl w:val="0"/>
          <w:numId w:val="16"/>
        </w:numPr>
        <w:rPr>
          <w:rStyle w:val="SubtleEmphasis"/>
        </w:rPr>
      </w:pPr>
      <w:r w:rsidRPr="00F926FF">
        <w:rPr>
          <w:rStyle w:val="SubtleEmphasis"/>
        </w:rPr>
        <w:t>Abstinence</w:t>
      </w:r>
    </w:p>
    <w:p w14:paraId="38A4630A" w14:textId="6B15B266" w:rsidR="00072449" w:rsidRPr="00FB60E5" w:rsidRDefault="00072449" w:rsidP="00FB60E5">
      <w:pPr>
        <w:ind w:left="0"/>
      </w:pPr>
      <w:r w:rsidRPr="00FB60E5">
        <w:t xml:space="preserve">At follow-up 37.5% (208/554) reported that they had been abstinent from their </w:t>
      </w:r>
      <w:r w:rsidR="00EE7A8F" w:rsidRPr="00FB60E5">
        <w:t>PDOC</w:t>
      </w:r>
      <w:r w:rsidRPr="00FB60E5">
        <w:t xml:space="preserve"> in the month prior to interview. Abstinence rates were highest when the </w:t>
      </w:r>
      <w:r w:rsidR="00EE7A8F" w:rsidRPr="00FB60E5">
        <w:t>PDOC</w:t>
      </w:r>
      <w:r w:rsidRPr="00FB60E5">
        <w:t xml:space="preserve"> was meth</w:t>
      </w:r>
      <w:r w:rsidR="00E977AF" w:rsidRPr="00FB60E5">
        <w:t>/</w:t>
      </w:r>
      <w:r w:rsidRPr="00FB60E5">
        <w:t>amphetamine (</w:t>
      </w:r>
      <w:r w:rsidR="00F030F7" w:rsidRPr="00FB60E5">
        <w:t>61</w:t>
      </w:r>
      <w:r w:rsidRPr="00FB60E5">
        <w:t xml:space="preserve">%), followed by opioids (45%); cannabis (34%) and lowest for alcohol (28%). </w:t>
      </w:r>
      <w:r w:rsidR="007A69E1" w:rsidRPr="00FB60E5">
        <w:t>Participants who were prescribed their PDOC, or a pharmacologically similar substance (e.g. substitution pharmacotherapy), but only used it as prescribed (i.e. never used more than the prescribed dose or sourced additional illicit supplies of the substance) were considered abstinent for the purpose of these analyses (n = 22).</w:t>
      </w:r>
      <w:r w:rsidR="001D14D8" w:rsidRPr="00FB60E5">
        <w:t xml:space="preserve"> </w:t>
      </w:r>
      <w:r w:rsidRPr="00FB60E5">
        <w:t>A similar</w:t>
      </w:r>
      <w:r w:rsidR="007A69E1" w:rsidRPr="00FB60E5">
        <w:t>ly superior outcome for participants with meth</w:t>
      </w:r>
      <w:r w:rsidR="00E977AF" w:rsidRPr="00FB60E5">
        <w:t>/</w:t>
      </w:r>
      <w:r w:rsidR="007A69E1" w:rsidRPr="00FB60E5">
        <w:t>amphetamine as their PDOC</w:t>
      </w:r>
      <w:r w:rsidRPr="00FB60E5">
        <w:t xml:space="preserve"> was observed </w:t>
      </w:r>
      <w:r w:rsidR="00D72DE9" w:rsidRPr="00FB60E5">
        <w:t xml:space="preserve">when abstinence from </w:t>
      </w:r>
      <w:r w:rsidRPr="00FB60E5">
        <w:t>all drugs of concern other than tobacco</w:t>
      </w:r>
      <w:r w:rsidR="00D72DE9" w:rsidRPr="00FB60E5">
        <w:t xml:space="preserve"> was analysed</w:t>
      </w:r>
      <w:r w:rsidRPr="00FB60E5">
        <w:t xml:space="preserve"> </w:t>
      </w:r>
      <w:r w:rsidR="007A69E1" w:rsidRPr="00FB60E5">
        <w:t>(</w:t>
      </w:r>
      <w:r w:rsidRPr="00FB60E5">
        <w:t xml:space="preserve">see </w:t>
      </w:r>
      <w:r w:rsidR="00BD7BD8">
        <w:fldChar w:fldCharType="begin"/>
      </w:r>
      <w:r w:rsidR="00BD7BD8">
        <w:instrText xml:space="preserve"> REF _Ref531625648 \h </w:instrText>
      </w:r>
      <w:r w:rsidR="00BD7BD8">
        <w:fldChar w:fldCharType="separate"/>
      </w:r>
      <w:r w:rsidR="00BD7BD8">
        <w:t xml:space="preserve">Figure </w:t>
      </w:r>
      <w:r w:rsidR="00BD7BD8">
        <w:rPr>
          <w:noProof/>
        </w:rPr>
        <w:t>3</w:t>
      </w:r>
      <w:r w:rsidR="00BD7BD8">
        <w:t>.</w:t>
      </w:r>
      <w:r w:rsidR="00BD7BD8">
        <w:rPr>
          <w:noProof/>
        </w:rPr>
        <w:t>5</w:t>
      </w:r>
      <w:r w:rsidR="00BD7BD8">
        <w:fldChar w:fldCharType="end"/>
      </w:r>
      <w:r w:rsidR="007A69E1" w:rsidRPr="00FB60E5">
        <w:t>).</w:t>
      </w:r>
    </w:p>
    <w:p w14:paraId="38A4630B" w14:textId="77777777" w:rsidR="00072449" w:rsidRPr="00FB60E5" w:rsidRDefault="00072449" w:rsidP="00FB60E5">
      <w:pPr>
        <w:ind w:left="0"/>
      </w:pPr>
      <w:r w:rsidRPr="00FB60E5">
        <w:rPr>
          <w:noProof/>
          <w:lang w:eastAsia="en-AU"/>
        </w:rPr>
        <w:lastRenderedPageBreak/>
        <w:drawing>
          <wp:inline distT="0" distB="0" distL="0" distR="0" wp14:anchorId="38A475F5" wp14:editId="38A475F6">
            <wp:extent cx="5731510" cy="2505086"/>
            <wp:effectExtent l="0" t="0" r="2540" b="0"/>
            <wp:docPr id="13" name="Chart 13" descr="Column graph showing the differences in rates of abstinence for PDOC and all DOCs when the PDOC is the indicated substance. Primary drugs of concern being alcohol, cannabis, opiods, meth/amphet, other and total.&#10;&#10;The vertical line being the percentage of clients and the horizontal being the primary drug of concern." title="Figure 3.5  Differences in rates of abstinence for PDOC and all DOCs when the PDOC is the indicated substa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21FB2A4" w14:textId="77777777" w:rsidR="00BB0E5E" w:rsidRDefault="00BD7BD8" w:rsidP="00BD7BD8">
      <w:pPr>
        <w:pStyle w:val="Caption"/>
      </w:pPr>
      <w:bookmarkStart w:id="159" w:name="_Ref531625648"/>
      <w:bookmarkStart w:id="160" w:name="_Toc531625768"/>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5</w:t>
      </w:r>
      <w:r>
        <w:fldChar w:fldCharType="end"/>
      </w:r>
      <w:bookmarkEnd w:id="159"/>
      <w:r w:rsidR="00072449" w:rsidRPr="00FB60E5">
        <w:t xml:space="preserve"> Differences in rates of abstinence for </w:t>
      </w:r>
      <w:r w:rsidR="00EE7A8F" w:rsidRPr="00FB60E5">
        <w:t>PDOC</w:t>
      </w:r>
      <w:r w:rsidR="00072449" w:rsidRPr="00FB60E5">
        <w:t xml:space="preserve"> and all DOCs when the </w:t>
      </w:r>
      <w:r w:rsidR="00EE7A8F" w:rsidRPr="00FB60E5">
        <w:t>PDOC</w:t>
      </w:r>
      <w:r w:rsidR="00072449" w:rsidRPr="00FB60E5">
        <w:t xml:space="preserve"> is the indicated substance</w:t>
      </w:r>
      <w:bookmarkEnd w:id="160"/>
    </w:p>
    <w:p w14:paraId="523C821B" w14:textId="45F63A19" w:rsidR="002C27A8" w:rsidRDefault="00072449" w:rsidP="00FB60E5">
      <w:pPr>
        <w:ind w:left="0"/>
      </w:pPr>
      <w:r w:rsidRPr="00FB60E5">
        <w:t xml:space="preserve">Rates of abstinence were significantly higher among those for whom </w:t>
      </w:r>
      <w:r w:rsidR="004516BD" w:rsidRPr="00FB60E5">
        <w:t>r</w:t>
      </w:r>
      <w:r w:rsidRPr="00FB60E5">
        <w:t>esidential rehabilitation was their PIT (5</w:t>
      </w:r>
      <w:r w:rsidR="0075042E" w:rsidRPr="00FB60E5">
        <w:t>6</w:t>
      </w:r>
      <w:r w:rsidRPr="00FB60E5">
        <w:t>%; p &lt;</w:t>
      </w:r>
      <w:r w:rsidR="0075042E" w:rsidRPr="00FB60E5">
        <w:t xml:space="preserve"> </w:t>
      </w:r>
      <w:r w:rsidRPr="00FB60E5">
        <w:t xml:space="preserve">.001). Abstinence rates were 33% among those for whom outpatient counselling was their PIT and 30% among those for whom acute withdrawal was their PIT. The rates of abstinence from all drugs of concern (DOCs) other than tobacco by PIT are shown a similar trend (see </w:t>
      </w:r>
      <w:r w:rsidR="00BD7BD8">
        <w:fldChar w:fldCharType="begin"/>
      </w:r>
      <w:r w:rsidR="00BD7BD8">
        <w:instrText xml:space="preserve"> REF _Ref531625682 \h </w:instrText>
      </w:r>
      <w:r w:rsidR="00BD7BD8">
        <w:fldChar w:fldCharType="separate"/>
      </w:r>
      <w:r w:rsidR="00BD7BD8">
        <w:t xml:space="preserve">Figure </w:t>
      </w:r>
      <w:r w:rsidR="00BD7BD8">
        <w:rPr>
          <w:noProof/>
        </w:rPr>
        <w:t>3</w:t>
      </w:r>
      <w:r w:rsidR="00BD7BD8">
        <w:t>.</w:t>
      </w:r>
      <w:r w:rsidR="00BD7BD8">
        <w:rPr>
          <w:noProof/>
        </w:rPr>
        <w:t>6</w:t>
      </w:r>
      <w:r w:rsidR="00BD7BD8">
        <w:fldChar w:fldCharType="end"/>
      </w:r>
      <w:r w:rsidRPr="00FB60E5">
        <w:t xml:space="preserve">). </w:t>
      </w:r>
      <w:r w:rsidR="00967BBD" w:rsidRPr="00FB60E5">
        <w:t xml:space="preserve">Twenty-one </w:t>
      </w:r>
      <w:r w:rsidRPr="00FB60E5">
        <w:t xml:space="preserve">percent of the </w:t>
      </w:r>
      <w:proofErr w:type="gramStart"/>
      <w:r w:rsidRPr="00FB60E5">
        <w:t>sample were</w:t>
      </w:r>
      <w:proofErr w:type="gramEnd"/>
      <w:r w:rsidRPr="00FB60E5">
        <w:t xml:space="preserve"> entirely abstinent from all drugs in the past month, including alcohol (but not including tobacco) at follow-up. </w:t>
      </w:r>
      <w:r w:rsidR="00967BBD" w:rsidRPr="00FB60E5">
        <w:t>T</w:t>
      </w:r>
      <w:r w:rsidRPr="00FB60E5">
        <w:t>he highest rate of complete abstinence w</w:t>
      </w:r>
      <w:r w:rsidR="00967BBD" w:rsidRPr="00FB60E5">
        <w:t>as</w:t>
      </w:r>
      <w:r w:rsidRPr="00FB60E5">
        <w:t xml:space="preserve"> achieved by long-term residential participants (</w:t>
      </w:r>
      <w:r w:rsidR="00967BBD" w:rsidRPr="00FB60E5">
        <w:t>30</w:t>
      </w:r>
      <w:r w:rsidRPr="00FB60E5">
        <w:t xml:space="preserve">%), </w:t>
      </w:r>
      <w:r w:rsidR="00967BBD" w:rsidRPr="00FB60E5">
        <w:t xml:space="preserve">which </w:t>
      </w:r>
      <w:r w:rsidRPr="00FB60E5">
        <w:t>was significantly higher than rates achieved by other PIT groups (outpatient: 1</w:t>
      </w:r>
      <w:r w:rsidR="00967BBD" w:rsidRPr="00FB60E5">
        <w:t>6</w:t>
      </w:r>
      <w:r w:rsidRPr="00FB60E5">
        <w:t xml:space="preserve">%; acute withdrawal: </w:t>
      </w:r>
      <w:r w:rsidR="00967BBD" w:rsidRPr="00FB60E5">
        <w:t>20</w:t>
      </w:r>
      <w:r w:rsidRPr="00FB60E5">
        <w:t>%</w:t>
      </w:r>
      <w:r w:rsidR="00DF7DB1" w:rsidRPr="00FB60E5">
        <w:t>, p &lt; .05</w:t>
      </w:r>
      <w:r w:rsidRPr="00FB60E5">
        <w:t>).</w:t>
      </w:r>
      <w:r w:rsidR="00F20D55" w:rsidRPr="00FB60E5">
        <w:t xml:space="preserve"> Taking a conservative estimate and assuming all participants lost to follow-up (excluding those deceased or incarcerated from the analysis) were still </w:t>
      </w:r>
      <w:proofErr w:type="gramStart"/>
      <w:r w:rsidR="00F20D55" w:rsidRPr="00FB60E5">
        <w:t>using,</w:t>
      </w:r>
      <w:proofErr w:type="gramEnd"/>
      <w:r w:rsidR="00F20D55" w:rsidRPr="00FB60E5">
        <w:t xml:space="preserve"> the overall past month abstinence rate from PDOC was 27%</w:t>
      </w:r>
      <w:r w:rsidR="002C27A8">
        <w:t>.</w:t>
      </w:r>
    </w:p>
    <w:p w14:paraId="38A4630F" w14:textId="6D273E8F" w:rsidR="00072449" w:rsidRPr="00FB60E5" w:rsidRDefault="005E2BE0" w:rsidP="00FB60E5">
      <w:pPr>
        <w:ind w:left="0"/>
      </w:pPr>
      <w:r w:rsidRPr="00FB60E5">
        <w:t>These results consistently show long-term residential treatment to be associated with higher rates of abstinence. To test this further, we compared participants who had any residential rehabilitation either in the year preceding their PIT, as th</w:t>
      </w:r>
      <w:r w:rsidR="00605A3A" w:rsidRPr="00FB60E5">
        <w:t>eir PIT, or between their PIT and follow-up (n = 253) to participants with no residential rehabilitation during this 2 year period (n = 302).</w:t>
      </w:r>
      <w:r w:rsidRPr="00FB60E5">
        <w:t xml:space="preserve"> Participants who had been in any residential rehabilitation were significantly more likely to </w:t>
      </w:r>
      <w:r w:rsidR="00605A3A" w:rsidRPr="00FB60E5">
        <w:t>be abstinent from all DOCs (40</w:t>
      </w:r>
      <w:r w:rsidRPr="00FB60E5">
        <w:t xml:space="preserve">% versus 22%; </w:t>
      </w:r>
      <w:r w:rsidR="00605A3A" w:rsidRPr="00FB60E5">
        <w:t>p &lt; .001) and</w:t>
      </w:r>
      <w:r w:rsidRPr="00FB60E5">
        <w:t xml:space="preserve"> from their PDOC (48% versus 29%; p</w:t>
      </w:r>
      <w:r w:rsidR="00605A3A" w:rsidRPr="00FB60E5">
        <w:t xml:space="preserve"> </w:t>
      </w:r>
      <w:r w:rsidRPr="00FB60E5">
        <w:t>&lt;</w:t>
      </w:r>
      <w:r w:rsidR="00605A3A" w:rsidRPr="00FB60E5">
        <w:t xml:space="preserve"> </w:t>
      </w:r>
      <w:r w:rsidRPr="00FB60E5">
        <w:t>.001)</w:t>
      </w:r>
      <w:r w:rsidR="00605A3A" w:rsidRPr="00FB60E5">
        <w:t>.</w:t>
      </w:r>
      <w:r w:rsidR="00072449" w:rsidRPr="00FB60E5">
        <w:t xml:space="preserve"> Fourteen percent reported being abstinent from their </w:t>
      </w:r>
      <w:r w:rsidR="00EE7A8F" w:rsidRPr="00FB60E5">
        <w:t>PDOC</w:t>
      </w:r>
      <w:r w:rsidR="00072449" w:rsidRPr="00FB60E5">
        <w:t xml:space="preserve"> during the past year, and rates were 26% when the </w:t>
      </w:r>
      <w:r w:rsidR="00EE7A8F" w:rsidRPr="00FB60E5">
        <w:t>PDOC</w:t>
      </w:r>
      <w:r w:rsidR="00072449" w:rsidRPr="00FB60E5">
        <w:t xml:space="preserve"> was meth</w:t>
      </w:r>
      <w:r w:rsidR="00E977AF" w:rsidRPr="00FB60E5">
        <w:t>/</w:t>
      </w:r>
      <w:r w:rsidR="00072449" w:rsidRPr="00FB60E5">
        <w:t>amphetamine, 17% for opioi</w:t>
      </w:r>
      <w:r w:rsidR="00D70DCF" w:rsidRPr="00FB60E5">
        <w:t>ds, 16% for cannabis,</w:t>
      </w:r>
      <w:r w:rsidR="00DF7DB1" w:rsidRPr="00FB60E5">
        <w:t xml:space="preserve"> and</w:t>
      </w:r>
      <w:r w:rsidR="00D70DCF" w:rsidRPr="00FB60E5">
        <w:t xml:space="preserve"> 8% for </w:t>
      </w:r>
      <w:r w:rsidR="00072449" w:rsidRPr="00FB60E5">
        <w:t>alcohol</w:t>
      </w:r>
      <w:r w:rsidR="00DF7DB1" w:rsidRPr="00FB60E5">
        <w:t xml:space="preserve"> (p &lt; .001)</w:t>
      </w:r>
      <w:r w:rsidR="00072449" w:rsidRPr="00FB60E5">
        <w:t>. Only 4% reported being entirely abstinent from all drug and alc</w:t>
      </w:r>
      <w:r w:rsidR="00552239">
        <w:t>ohol use during the past year.</w:t>
      </w:r>
    </w:p>
    <w:p w14:paraId="38A46311" w14:textId="77777777" w:rsidR="00D70DCF" w:rsidRPr="00FB60E5" w:rsidRDefault="001C692B" w:rsidP="00FB60E5">
      <w:pPr>
        <w:ind w:left="0"/>
      </w:pPr>
      <w:r w:rsidRPr="00FB60E5">
        <w:rPr>
          <w:noProof/>
          <w:lang w:eastAsia="en-AU"/>
        </w:rPr>
        <w:lastRenderedPageBreak/>
        <w:drawing>
          <wp:inline distT="0" distB="0" distL="0" distR="0" wp14:anchorId="38A475F7" wp14:editId="38A475F8">
            <wp:extent cx="5796501" cy="2743200"/>
            <wp:effectExtent l="0" t="0" r="0" b="0"/>
            <wp:docPr id="1" name="Chart 1" descr="Column graph showing the abstinence rates from PDOC and all DOCs by PIT type. &#10;&#10;Treatment types: outpatient, acute withdrawal, residential rehabilitation and total.&#10;&#10;The vertical line being the percentage of partcipants and the horizontal being the treatment type." title="Figure 3.6  Abstinence rates from PDOC and all DOCs by PIT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A46312" w14:textId="0E777ED1" w:rsidR="00072449" w:rsidRPr="00FB60E5" w:rsidRDefault="00BD7BD8" w:rsidP="00BD7BD8">
      <w:pPr>
        <w:pStyle w:val="Caption"/>
      </w:pPr>
      <w:bookmarkStart w:id="161" w:name="_Ref531625682"/>
      <w:bookmarkStart w:id="162" w:name="_Toc531625769"/>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6</w:t>
      </w:r>
      <w:r>
        <w:fldChar w:fldCharType="end"/>
      </w:r>
      <w:bookmarkEnd w:id="161"/>
      <w:r w:rsidR="00072449" w:rsidRPr="00FB60E5">
        <w:t xml:space="preserve"> Abstinence rates from </w:t>
      </w:r>
      <w:r w:rsidR="00EE7A8F" w:rsidRPr="00FB60E5">
        <w:t>PDOC</w:t>
      </w:r>
      <w:r w:rsidR="00072449" w:rsidRPr="00FB60E5">
        <w:t xml:space="preserve"> and all DOC</w:t>
      </w:r>
      <w:r w:rsidR="00627062" w:rsidRPr="00FB60E5">
        <w:t>s</w:t>
      </w:r>
      <w:r w:rsidR="00072449" w:rsidRPr="00FB60E5">
        <w:t xml:space="preserve"> by PIT type</w:t>
      </w:r>
      <w:bookmarkEnd w:id="162"/>
    </w:p>
    <w:p w14:paraId="38A46314" w14:textId="77777777" w:rsidR="00072449" w:rsidRPr="00FB60E5" w:rsidRDefault="00072449" w:rsidP="00B23FC2">
      <w:pPr>
        <w:pStyle w:val="Heading4"/>
      </w:pPr>
      <w:r w:rsidRPr="00FB60E5">
        <w:t>Differences in abstinence rates by age, gender, ethnicity</w:t>
      </w:r>
    </w:p>
    <w:p w14:paraId="2E19EE57" w14:textId="369BDC11" w:rsidR="002C27A8" w:rsidRDefault="00072449" w:rsidP="00FB60E5">
      <w:pPr>
        <w:ind w:left="0"/>
      </w:pPr>
      <w:r w:rsidRPr="00FB60E5">
        <w:t xml:space="preserve">Logistic regression results showed that being older predicted lower likelihood of abstinence from </w:t>
      </w:r>
      <w:r w:rsidR="00EE7A8F" w:rsidRPr="00FB60E5">
        <w:t>PDOC</w:t>
      </w:r>
      <w:r w:rsidRPr="00FB60E5">
        <w:t xml:space="preserve"> (OR = 0.85, CI = 0.74-0.98), but not all DOCs (OR = .9</w:t>
      </w:r>
      <w:r w:rsidR="00F20941" w:rsidRPr="00FB60E5">
        <w:t>6</w:t>
      </w:r>
      <w:r w:rsidRPr="00FB60E5">
        <w:t>, CI = 0.8</w:t>
      </w:r>
      <w:r w:rsidR="00F20941" w:rsidRPr="00FB60E5">
        <w:t>3</w:t>
      </w:r>
      <w:r w:rsidRPr="00FB60E5">
        <w:t>-1.</w:t>
      </w:r>
      <w:r w:rsidR="00F20941" w:rsidRPr="00FB60E5">
        <w:t>11</w:t>
      </w:r>
      <w:r w:rsidRPr="00FB60E5">
        <w:t>), though this is likely to be biased by the higher drop-out rate among younger participants. There were no significant differences in gender with abstinence rates of 35% for men and 4</w:t>
      </w:r>
      <w:r w:rsidR="00F20941" w:rsidRPr="00FB60E5">
        <w:t>1</w:t>
      </w:r>
      <w:r w:rsidRPr="00FB60E5">
        <w:t xml:space="preserve">% for women for </w:t>
      </w:r>
      <w:r w:rsidR="00EE7A8F" w:rsidRPr="00FB60E5">
        <w:t>PDOC</w:t>
      </w:r>
      <w:r w:rsidRPr="00FB60E5">
        <w:t xml:space="preserve"> (p = .2</w:t>
      </w:r>
      <w:r w:rsidR="00F20941" w:rsidRPr="00FB60E5">
        <w:t>1</w:t>
      </w:r>
      <w:r w:rsidRPr="00FB60E5">
        <w:t>) and 27% of men and 35% of women for all DOCs (p = .0</w:t>
      </w:r>
      <w:r w:rsidR="00F20941" w:rsidRPr="00FB60E5">
        <w:t>8</w:t>
      </w:r>
      <w:r w:rsidRPr="00FB60E5">
        <w:t xml:space="preserve">). There were no significant differences in the rates according to ethnicity, which for </w:t>
      </w:r>
      <w:r w:rsidR="00EE7A8F" w:rsidRPr="00FB60E5">
        <w:t>PDOC</w:t>
      </w:r>
      <w:r w:rsidRPr="00FB60E5">
        <w:t xml:space="preserve"> were 3</w:t>
      </w:r>
      <w:r w:rsidR="00A50DA0" w:rsidRPr="00FB60E5">
        <w:t>7</w:t>
      </w:r>
      <w:r w:rsidRPr="00FB60E5">
        <w:t xml:space="preserve">% for Australian-born and 42% for foreign-born </w:t>
      </w:r>
      <w:r w:rsidR="00A50DA0" w:rsidRPr="00FB60E5">
        <w:t xml:space="preserve">participants </w:t>
      </w:r>
      <w:r w:rsidRPr="00FB60E5">
        <w:t>(p = .32)</w:t>
      </w:r>
      <w:r w:rsidR="00A50DA0" w:rsidRPr="00FB60E5">
        <w:t>, though there was a near-significant trend for foreign-born participants to be more likely to abstain from all their DOCs</w:t>
      </w:r>
      <w:r w:rsidRPr="00FB60E5">
        <w:t xml:space="preserve"> </w:t>
      </w:r>
      <w:r w:rsidR="00A50DA0" w:rsidRPr="00FB60E5">
        <w:t>(</w:t>
      </w:r>
      <w:r w:rsidRPr="00FB60E5">
        <w:t>29% among Australian-born</w:t>
      </w:r>
      <w:r w:rsidR="00A50DA0" w:rsidRPr="00FB60E5">
        <w:t>; 38</w:t>
      </w:r>
      <w:r w:rsidRPr="00FB60E5">
        <w:t>% among foreign-born</w:t>
      </w:r>
      <w:r w:rsidR="00A50DA0" w:rsidRPr="00FB60E5">
        <w:t>;</w:t>
      </w:r>
      <w:r w:rsidRPr="00FB60E5">
        <w:t xml:space="preserve"> p = .0</w:t>
      </w:r>
      <w:r w:rsidR="00A50DA0" w:rsidRPr="00FB60E5">
        <w:t>6</w:t>
      </w:r>
      <w:r w:rsidRPr="00FB60E5">
        <w:t>) (</w:t>
      </w:r>
      <w:r w:rsidR="00552239">
        <w:fldChar w:fldCharType="begin"/>
      </w:r>
      <w:r w:rsidR="00552239">
        <w:instrText xml:space="preserve"> REF _Ref531624376 \h </w:instrText>
      </w:r>
      <w:r w:rsidR="00552239">
        <w:fldChar w:fldCharType="separate"/>
      </w:r>
      <w:r w:rsidR="00552239">
        <w:t xml:space="preserve">Table </w:t>
      </w:r>
      <w:r w:rsidR="00552239">
        <w:rPr>
          <w:noProof/>
        </w:rPr>
        <w:t>3</w:t>
      </w:r>
      <w:r w:rsidR="00552239">
        <w:t>.</w:t>
      </w:r>
      <w:r w:rsidR="00552239">
        <w:rPr>
          <w:noProof/>
        </w:rPr>
        <w:t>14</w:t>
      </w:r>
      <w:r w:rsidR="00552239">
        <w:fldChar w:fldCharType="end"/>
      </w:r>
      <w:r w:rsidRPr="00FB60E5">
        <w:t>)</w:t>
      </w:r>
      <w:r w:rsidR="002C27A8">
        <w:t>.</w:t>
      </w:r>
    </w:p>
    <w:p w14:paraId="38A46317" w14:textId="277E1041" w:rsidR="00072449" w:rsidRPr="00FB60E5" w:rsidRDefault="00552239" w:rsidP="00552239">
      <w:pPr>
        <w:pStyle w:val="Caption"/>
      </w:pPr>
      <w:bookmarkStart w:id="163" w:name="_Ref531624376"/>
      <w:bookmarkStart w:id="164" w:name="_Toc531625790"/>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14</w:t>
      </w:r>
      <w:r>
        <w:fldChar w:fldCharType="end"/>
      </w:r>
      <w:bookmarkEnd w:id="163"/>
      <w:r w:rsidR="006244F5" w:rsidRPr="00FB60E5">
        <w:t xml:space="preserve"> </w:t>
      </w:r>
      <w:r w:rsidR="00072449" w:rsidRPr="00FB60E5">
        <w:t>Abstinence rates by service use post-PIT</w:t>
      </w:r>
      <w:bookmarkEnd w:id="164"/>
    </w:p>
    <w:tbl>
      <w:tblPr>
        <w:tblStyle w:val="LightList-Accent1"/>
        <w:tblW w:w="8944" w:type="dxa"/>
        <w:tblLayout w:type="fixed"/>
        <w:tblLook w:val="04A0" w:firstRow="1" w:lastRow="0" w:firstColumn="1" w:lastColumn="0" w:noHBand="0" w:noVBand="1"/>
        <w:tblCaption w:val="Table 3.14  Abstinence rates by service use post-PIT"/>
        <w:tblDescription w:val="Table 3.14  Abstinence rates by service use post-PIT"/>
      </w:tblPr>
      <w:tblGrid>
        <w:gridCol w:w="2376"/>
        <w:gridCol w:w="1134"/>
        <w:gridCol w:w="1418"/>
        <w:gridCol w:w="992"/>
        <w:gridCol w:w="1078"/>
        <w:gridCol w:w="1029"/>
        <w:gridCol w:w="917"/>
      </w:tblGrid>
      <w:tr w:rsidR="00F926FF" w:rsidRPr="00FB60E5" w14:paraId="38A4631D" w14:textId="77777777" w:rsidTr="00F926FF">
        <w:trPr>
          <w:cnfStyle w:val="100000000000" w:firstRow="1" w:lastRow="0" w:firstColumn="0" w:lastColumn="0" w:oddVBand="0" w:evenVBand="0" w:oddHBand="0" w:evenHBand="0" w:firstRowFirstColumn="0" w:firstRowLastColumn="0" w:lastRowFirstColumn="0" w:lastRowLastColumn="0"/>
          <w:trHeight w:hRule="exact" w:val="567"/>
          <w:tblHeader/>
        </w:trPr>
        <w:tc>
          <w:tcPr>
            <w:cnfStyle w:val="001000000000" w:firstRow="0" w:lastRow="0" w:firstColumn="1" w:lastColumn="0" w:oddVBand="0" w:evenVBand="0" w:oddHBand="0" w:evenHBand="0" w:firstRowFirstColumn="0" w:firstRowLastColumn="0" w:lastRowFirstColumn="0" w:lastRowLastColumn="0"/>
            <w:tcW w:w="2376" w:type="dxa"/>
            <w:vMerge w:val="restart"/>
          </w:tcPr>
          <w:p w14:paraId="38A46318" w14:textId="77777777" w:rsidR="00F926FF" w:rsidRPr="00FB60E5" w:rsidRDefault="00F926FF" w:rsidP="00F926FF">
            <w:pPr>
              <w:pStyle w:val="tabletext"/>
            </w:pPr>
            <w:r w:rsidRPr="00FB60E5">
              <w:t>Abstinence rates in relation to Health or social service use</w:t>
            </w:r>
          </w:p>
        </w:tc>
        <w:tc>
          <w:tcPr>
            <w:tcW w:w="3544" w:type="dxa"/>
            <w:gridSpan w:val="3"/>
          </w:tcPr>
          <w:p w14:paraId="38A46319"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Primary Drug of Concern (PDOC)</w:t>
            </w:r>
          </w:p>
        </w:tc>
        <w:tc>
          <w:tcPr>
            <w:tcW w:w="3024" w:type="dxa"/>
            <w:gridSpan w:val="3"/>
          </w:tcPr>
          <w:p w14:paraId="38A4631B"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All Drugs of Concern</w:t>
            </w:r>
          </w:p>
          <w:p w14:paraId="38A4631C"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(ALL DOCs)</w:t>
            </w:r>
          </w:p>
        </w:tc>
      </w:tr>
      <w:tr w:rsidR="00F926FF" w:rsidRPr="00FB60E5" w14:paraId="38A46326" w14:textId="77777777" w:rsidTr="00F926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14:paraId="38A4631E" w14:textId="77777777" w:rsidR="00F926FF" w:rsidRPr="00FB60E5" w:rsidRDefault="00F926FF" w:rsidP="00F926FF">
            <w:pPr>
              <w:pStyle w:val="tabletext"/>
            </w:pPr>
          </w:p>
        </w:tc>
        <w:tc>
          <w:tcPr>
            <w:tcW w:w="1134" w:type="dxa"/>
          </w:tcPr>
          <w:p w14:paraId="38A4631F"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 xml:space="preserve">Attended </w:t>
            </w:r>
          </w:p>
        </w:tc>
        <w:tc>
          <w:tcPr>
            <w:tcW w:w="1418" w:type="dxa"/>
          </w:tcPr>
          <w:p w14:paraId="38A46320"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 xml:space="preserve">Did not attend </w:t>
            </w:r>
          </w:p>
        </w:tc>
        <w:tc>
          <w:tcPr>
            <w:tcW w:w="992" w:type="dxa"/>
          </w:tcPr>
          <w:p w14:paraId="38A46321"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p</w:t>
            </w:r>
          </w:p>
        </w:tc>
        <w:tc>
          <w:tcPr>
            <w:tcW w:w="1078" w:type="dxa"/>
          </w:tcPr>
          <w:p w14:paraId="38A46323"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 xml:space="preserve">Attended </w:t>
            </w:r>
          </w:p>
        </w:tc>
        <w:tc>
          <w:tcPr>
            <w:tcW w:w="1029" w:type="dxa"/>
          </w:tcPr>
          <w:p w14:paraId="38A46324"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Did not attend</w:t>
            </w:r>
          </w:p>
        </w:tc>
        <w:tc>
          <w:tcPr>
            <w:tcW w:w="917" w:type="dxa"/>
          </w:tcPr>
          <w:p w14:paraId="38A46325" w14:textId="77777777" w:rsidR="00F926FF" w:rsidRPr="00FB60E5" w:rsidRDefault="00F926FF" w:rsidP="00F926FF">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F926FF" w:rsidRPr="00FB60E5" w14:paraId="38A4632F" w14:textId="77777777" w:rsidTr="00F926F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376" w:type="dxa"/>
          </w:tcPr>
          <w:p w14:paraId="38A46327" w14:textId="77777777" w:rsidR="00F926FF" w:rsidRPr="00CC1E35" w:rsidRDefault="00F926FF" w:rsidP="00AF6D9B">
            <w:pPr>
              <w:pStyle w:val="tabletext"/>
              <w:rPr>
                <w:b w:val="0"/>
              </w:rPr>
            </w:pPr>
            <w:r w:rsidRPr="00CC1E35">
              <w:rPr>
                <w:b w:val="0"/>
              </w:rPr>
              <w:t>AOD service use (N = 551)</w:t>
            </w:r>
          </w:p>
        </w:tc>
        <w:tc>
          <w:tcPr>
            <w:tcW w:w="1134" w:type="dxa"/>
          </w:tcPr>
          <w:p w14:paraId="38A46328"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38.4%</w:t>
            </w:r>
          </w:p>
        </w:tc>
        <w:tc>
          <w:tcPr>
            <w:tcW w:w="1418" w:type="dxa"/>
          </w:tcPr>
          <w:p w14:paraId="38A46329"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35.1%</w:t>
            </w:r>
          </w:p>
        </w:tc>
        <w:tc>
          <w:tcPr>
            <w:tcW w:w="992" w:type="dxa"/>
          </w:tcPr>
          <w:p w14:paraId="38A4632A"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.46</w:t>
            </w:r>
          </w:p>
        </w:tc>
        <w:tc>
          <w:tcPr>
            <w:tcW w:w="1078" w:type="dxa"/>
          </w:tcPr>
          <w:p w14:paraId="38A4632C"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32.0%</w:t>
            </w:r>
          </w:p>
        </w:tc>
        <w:tc>
          <w:tcPr>
            <w:tcW w:w="1029" w:type="dxa"/>
          </w:tcPr>
          <w:p w14:paraId="38A4632D"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27.4%</w:t>
            </w:r>
          </w:p>
        </w:tc>
        <w:tc>
          <w:tcPr>
            <w:tcW w:w="917" w:type="dxa"/>
          </w:tcPr>
          <w:p w14:paraId="38A4632E"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.27</w:t>
            </w:r>
          </w:p>
        </w:tc>
      </w:tr>
      <w:tr w:rsidR="00F926FF" w:rsidRPr="00FB60E5" w14:paraId="38A46338" w14:textId="77777777" w:rsidTr="00F926FF">
        <w:trPr>
          <w:trHeight w:hRule="exact" w:val="851"/>
        </w:trPr>
        <w:tc>
          <w:tcPr>
            <w:cnfStyle w:val="001000000000" w:firstRow="0" w:lastRow="0" w:firstColumn="1" w:lastColumn="0" w:oddVBand="0" w:evenVBand="0" w:oddHBand="0" w:evenHBand="0" w:firstRowFirstColumn="0" w:firstRowLastColumn="0" w:lastRowFirstColumn="0" w:lastRowLastColumn="0"/>
            <w:tcW w:w="2376" w:type="dxa"/>
          </w:tcPr>
          <w:p w14:paraId="38A46330" w14:textId="77777777" w:rsidR="00F926FF" w:rsidRPr="00CC1E35" w:rsidRDefault="00F926FF" w:rsidP="00AF6D9B">
            <w:pPr>
              <w:pStyle w:val="tabletext"/>
              <w:rPr>
                <w:b w:val="0"/>
              </w:rPr>
            </w:pPr>
            <w:r w:rsidRPr="00CC1E35">
              <w:rPr>
                <w:b w:val="0"/>
              </w:rPr>
              <w:t>Self-help and mutual aid programs (N = 548)</w:t>
            </w:r>
          </w:p>
        </w:tc>
        <w:tc>
          <w:tcPr>
            <w:tcW w:w="1134" w:type="dxa"/>
          </w:tcPr>
          <w:p w14:paraId="38A46331"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45.5%</w:t>
            </w:r>
          </w:p>
        </w:tc>
        <w:tc>
          <w:tcPr>
            <w:tcW w:w="1418" w:type="dxa"/>
          </w:tcPr>
          <w:p w14:paraId="38A46332"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29.8%</w:t>
            </w:r>
          </w:p>
        </w:tc>
        <w:tc>
          <w:tcPr>
            <w:tcW w:w="992" w:type="dxa"/>
          </w:tcPr>
          <w:p w14:paraId="38A46333"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&lt; .001</w:t>
            </w:r>
          </w:p>
        </w:tc>
        <w:tc>
          <w:tcPr>
            <w:tcW w:w="1078" w:type="dxa"/>
          </w:tcPr>
          <w:p w14:paraId="38A46335"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39.1%</w:t>
            </w:r>
          </w:p>
        </w:tc>
        <w:tc>
          <w:tcPr>
            <w:tcW w:w="1029" w:type="dxa"/>
          </w:tcPr>
          <w:p w14:paraId="38A46336"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22.0%</w:t>
            </w:r>
          </w:p>
        </w:tc>
        <w:tc>
          <w:tcPr>
            <w:tcW w:w="917" w:type="dxa"/>
          </w:tcPr>
          <w:p w14:paraId="38A46337"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&lt; .001</w:t>
            </w:r>
          </w:p>
        </w:tc>
      </w:tr>
      <w:tr w:rsidR="00F926FF" w:rsidRPr="00FB60E5" w14:paraId="38A46341" w14:textId="77777777" w:rsidTr="00F926F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2376" w:type="dxa"/>
          </w:tcPr>
          <w:p w14:paraId="38A46339" w14:textId="77777777" w:rsidR="00F926FF" w:rsidRPr="00CC1E35" w:rsidRDefault="00F926FF" w:rsidP="00AF6D9B">
            <w:pPr>
              <w:pStyle w:val="tabletext"/>
              <w:rPr>
                <w:b w:val="0"/>
              </w:rPr>
            </w:pPr>
            <w:r w:rsidRPr="00CC1E35">
              <w:rPr>
                <w:b w:val="0"/>
              </w:rPr>
              <w:t>Acute service use (N = 550)</w:t>
            </w:r>
          </w:p>
        </w:tc>
        <w:tc>
          <w:tcPr>
            <w:tcW w:w="1134" w:type="dxa"/>
          </w:tcPr>
          <w:p w14:paraId="38A4633A"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35.2%</w:t>
            </w:r>
          </w:p>
        </w:tc>
        <w:tc>
          <w:tcPr>
            <w:tcW w:w="1418" w:type="dxa"/>
          </w:tcPr>
          <w:p w14:paraId="38A4633B"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40.1%</w:t>
            </w:r>
          </w:p>
        </w:tc>
        <w:tc>
          <w:tcPr>
            <w:tcW w:w="992" w:type="dxa"/>
          </w:tcPr>
          <w:p w14:paraId="38A4633C"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.23</w:t>
            </w:r>
          </w:p>
        </w:tc>
        <w:tc>
          <w:tcPr>
            <w:tcW w:w="1078" w:type="dxa"/>
          </w:tcPr>
          <w:p w14:paraId="38A4633E"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29.6%</w:t>
            </w:r>
          </w:p>
        </w:tc>
        <w:tc>
          <w:tcPr>
            <w:tcW w:w="1029" w:type="dxa"/>
          </w:tcPr>
          <w:p w14:paraId="38A4633F"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31.5%</w:t>
            </w:r>
          </w:p>
        </w:tc>
        <w:tc>
          <w:tcPr>
            <w:tcW w:w="917" w:type="dxa"/>
          </w:tcPr>
          <w:p w14:paraId="38A46340" w14:textId="77777777" w:rsidR="00F926FF" w:rsidRPr="00AF6D9B" w:rsidRDefault="00F926FF" w:rsidP="00AF6D9B">
            <w:pPr>
              <w:pStyle w:val="tabletext"/>
              <w:cnfStyle w:val="000000100000" w:firstRow="0" w:lastRow="0" w:firstColumn="0" w:lastColumn="0" w:oddVBand="0" w:evenVBand="0" w:oddHBand="1" w:evenHBand="0" w:firstRowFirstColumn="0" w:firstRowLastColumn="0" w:lastRowFirstColumn="0" w:lastRowLastColumn="0"/>
            </w:pPr>
            <w:r w:rsidRPr="00AF6D9B">
              <w:t>.64</w:t>
            </w:r>
          </w:p>
        </w:tc>
      </w:tr>
      <w:tr w:rsidR="00F926FF" w:rsidRPr="00FB60E5" w14:paraId="38A4634A" w14:textId="77777777" w:rsidTr="00F926FF">
        <w:trPr>
          <w:trHeight w:hRule="exact" w:val="851"/>
        </w:trPr>
        <w:tc>
          <w:tcPr>
            <w:cnfStyle w:val="001000000000" w:firstRow="0" w:lastRow="0" w:firstColumn="1" w:lastColumn="0" w:oddVBand="0" w:evenVBand="0" w:oddHBand="0" w:evenHBand="0" w:firstRowFirstColumn="0" w:firstRowLastColumn="0" w:lastRowFirstColumn="0" w:lastRowLastColumn="0"/>
            <w:tcW w:w="2376" w:type="dxa"/>
          </w:tcPr>
          <w:p w14:paraId="38A46342" w14:textId="77777777" w:rsidR="00F926FF" w:rsidRPr="00CC1E35" w:rsidRDefault="00F926FF" w:rsidP="00AF6D9B">
            <w:pPr>
              <w:pStyle w:val="tabletext"/>
              <w:rPr>
                <w:b w:val="0"/>
              </w:rPr>
            </w:pPr>
            <w:r w:rsidRPr="00CC1E35">
              <w:rPr>
                <w:b w:val="0"/>
              </w:rPr>
              <w:t>Community service use (exc. GP) (N = 550)</w:t>
            </w:r>
          </w:p>
        </w:tc>
        <w:tc>
          <w:tcPr>
            <w:tcW w:w="1134" w:type="dxa"/>
          </w:tcPr>
          <w:p w14:paraId="38A46343"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38.1%</w:t>
            </w:r>
          </w:p>
        </w:tc>
        <w:tc>
          <w:tcPr>
            <w:tcW w:w="1418" w:type="dxa"/>
          </w:tcPr>
          <w:p w14:paraId="38A46344"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36.2%</w:t>
            </w:r>
          </w:p>
        </w:tc>
        <w:tc>
          <w:tcPr>
            <w:tcW w:w="992" w:type="dxa"/>
          </w:tcPr>
          <w:p w14:paraId="38A46345"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.71</w:t>
            </w:r>
          </w:p>
        </w:tc>
        <w:tc>
          <w:tcPr>
            <w:tcW w:w="1078" w:type="dxa"/>
          </w:tcPr>
          <w:p w14:paraId="38A46347"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31.0%</w:t>
            </w:r>
          </w:p>
        </w:tc>
        <w:tc>
          <w:tcPr>
            <w:tcW w:w="1029" w:type="dxa"/>
          </w:tcPr>
          <w:p w14:paraId="38A46348"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29.1%</w:t>
            </w:r>
          </w:p>
        </w:tc>
        <w:tc>
          <w:tcPr>
            <w:tcW w:w="917" w:type="dxa"/>
          </w:tcPr>
          <w:p w14:paraId="38A46349" w14:textId="77777777" w:rsidR="00F926FF" w:rsidRPr="00AF6D9B" w:rsidRDefault="00F926FF" w:rsidP="00AF6D9B">
            <w:pPr>
              <w:pStyle w:val="tabletext"/>
              <w:cnfStyle w:val="000000000000" w:firstRow="0" w:lastRow="0" w:firstColumn="0" w:lastColumn="0" w:oddVBand="0" w:evenVBand="0" w:oddHBand="0" w:evenHBand="0" w:firstRowFirstColumn="0" w:firstRowLastColumn="0" w:lastRowFirstColumn="0" w:lastRowLastColumn="0"/>
            </w:pPr>
            <w:r w:rsidRPr="00AF6D9B">
              <w:t>.69</w:t>
            </w:r>
          </w:p>
        </w:tc>
      </w:tr>
    </w:tbl>
    <w:p w14:paraId="70F4962E" w14:textId="77777777" w:rsidR="002C27A8" w:rsidRDefault="00072449" w:rsidP="00FB60E5">
      <w:pPr>
        <w:ind w:left="0"/>
      </w:pPr>
      <w:r w:rsidRPr="00FB60E5">
        <w:t xml:space="preserve">The rates of abstinence from both </w:t>
      </w:r>
      <w:r w:rsidR="00EE7A8F" w:rsidRPr="00FB60E5">
        <w:t>PDOC</w:t>
      </w:r>
      <w:r w:rsidRPr="00FB60E5">
        <w:t xml:space="preserve"> and all DOCs showed little variation according to type of services used post-PIT, with the exception of attendance at mutual aid groups, which was associated with significantly higher rates of abstinence</w:t>
      </w:r>
      <w:r w:rsidR="002C27A8">
        <w:t>.</w:t>
      </w:r>
    </w:p>
    <w:p w14:paraId="38A4634D" w14:textId="17FA1B43" w:rsidR="00072449" w:rsidRPr="00F926FF" w:rsidRDefault="00072449" w:rsidP="00882917">
      <w:pPr>
        <w:pStyle w:val="ListParagraph"/>
        <w:keepNext/>
        <w:numPr>
          <w:ilvl w:val="0"/>
          <w:numId w:val="16"/>
        </w:numPr>
        <w:ind w:left="714" w:hanging="357"/>
        <w:rPr>
          <w:rStyle w:val="SubtleEmphasis"/>
        </w:rPr>
      </w:pPr>
      <w:r w:rsidRPr="00F926FF">
        <w:rPr>
          <w:rStyle w:val="SubtleEmphasis"/>
        </w:rPr>
        <w:lastRenderedPageBreak/>
        <w:t>Treatment Success</w:t>
      </w:r>
    </w:p>
    <w:p w14:paraId="38A4634F" w14:textId="2028F7D3" w:rsidR="00072449" w:rsidRPr="00FB60E5" w:rsidRDefault="00072449" w:rsidP="00FB60E5">
      <w:pPr>
        <w:ind w:left="0"/>
      </w:pPr>
      <w:r w:rsidRPr="00FB60E5">
        <w:rPr>
          <w:noProof/>
          <w:lang w:eastAsia="en-AU"/>
        </w:rPr>
        <w:drawing>
          <wp:inline distT="0" distB="0" distL="0" distR="0" wp14:anchorId="38A475F9" wp14:editId="38A475FA">
            <wp:extent cx="5581816" cy="2313830"/>
            <wp:effectExtent l="0" t="0" r="0" b="0"/>
            <wp:docPr id="3" name="Chart 1" descr="Column graph showing the proportion of participants (total sample) achieving different degrees of treatment success (frequency of use). &#10;&#10;Abstinent, Reduced 50% and Did not reduce 50%.&#10;&#10;The vertical line being the percentage of participants and the horizontal showing outpatient, acute withdrawal, residential rehabilitation and total." title="Figure 3.7  Proportion of participants (total sample) achieving different degrees of treatment success (frequency of u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8A46350" w14:textId="023FFA4E" w:rsidR="00072449" w:rsidRPr="00FB60E5" w:rsidRDefault="00BD7BD8" w:rsidP="00BD7BD8">
      <w:pPr>
        <w:pStyle w:val="Caption"/>
      </w:pPr>
      <w:bookmarkStart w:id="165" w:name="_Toc531625770"/>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7</w:t>
      </w:r>
      <w:r>
        <w:fldChar w:fldCharType="end"/>
      </w:r>
      <w:r w:rsidR="00072449" w:rsidRPr="00FB60E5">
        <w:t xml:space="preserve"> Proportion of </w:t>
      </w:r>
      <w:r w:rsidR="006D29AE" w:rsidRPr="00FB60E5">
        <w:t xml:space="preserve">participants </w:t>
      </w:r>
      <w:r w:rsidR="00072449" w:rsidRPr="00FB60E5">
        <w:t>(total sample) achieving different degrees of treatment success (frequency of use)</w:t>
      </w:r>
      <w:bookmarkEnd w:id="165"/>
    </w:p>
    <w:p w14:paraId="38A46352" w14:textId="77777777" w:rsidR="00072449" w:rsidRPr="00FB60E5" w:rsidRDefault="00072449" w:rsidP="00FB60E5">
      <w:pPr>
        <w:ind w:left="0"/>
      </w:pPr>
      <w:r w:rsidRPr="00FB60E5">
        <w:t xml:space="preserve">Success in reducing frequency of use of the </w:t>
      </w:r>
      <w:r w:rsidR="00EE7A8F" w:rsidRPr="00FB60E5">
        <w:t>PDOC</w:t>
      </w:r>
      <w:r w:rsidRPr="00FB60E5">
        <w:t xml:space="preserve"> by at least 50% (or being abstinent from the </w:t>
      </w:r>
      <w:r w:rsidR="00EE7A8F" w:rsidRPr="00FB60E5">
        <w:t>PDOC</w:t>
      </w:r>
      <w:r w:rsidRPr="00FB60E5">
        <w:t>) at follow-up was achieved by 5</w:t>
      </w:r>
      <w:r w:rsidR="00183D73" w:rsidRPr="00FB60E5">
        <w:t>3</w:t>
      </w:r>
      <w:r w:rsidRPr="00FB60E5">
        <w:t>% of the total sample. The rate of success achieved by long-term residential participants (62%)</w:t>
      </w:r>
      <w:r w:rsidR="00183D73" w:rsidRPr="00FB60E5">
        <w:t xml:space="preserve"> was higher than those achieved </w:t>
      </w:r>
      <w:r w:rsidRPr="00FB60E5">
        <w:t>by outpatient participants (5</w:t>
      </w:r>
      <w:r w:rsidR="00183D73" w:rsidRPr="00FB60E5">
        <w:t>0</w:t>
      </w:r>
      <w:r w:rsidRPr="00FB60E5">
        <w:t>%) and acute withdrawal participants (5</w:t>
      </w:r>
      <w:r w:rsidR="00183D73" w:rsidRPr="00FB60E5">
        <w:t>0</w:t>
      </w:r>
      <w:r w:rsidRPr="00FB60E5">
        <w:t>%</w:t>
      </w:r>
      <w:r w:rsidR="00183D73" w:rsidRPr="00FB60E5">
        <w:t>)</w:t>
      </w:r>
      <w:r w:rsidRPr="00FB60E5">
        <w:t>, though these differences did not reach statistical significance (p = .</w:t>
      </w:r>
      <w:r w:rsidR="00183D73" w:rsidRPr="00FB60E5">
        <w:t>06</w:t>
      </w:r>
      <w:r w:rsidRPr="00FB60E5">
        <w:t xml:space="preserve">). </w:t>
      </w:r>
      <w:r w:rsidR="00F20D55" w:rsidRPr="00FB60E5">
        <w:t>However, those who had residential rehabilitation</w:t>
      </w:r>
      <w:r w:rsidR="007022B0" w:rsidRPr="00FB60E5">
        <w:t xml:space="preserve"> during any part of their 2-year treatment journey (pre-PIT, PIT, or post-PIT) were significantly more likely to succeed than those with no long-term residential treatment in this period (59% vs. 48%, p &lt; .01). </w:t>
      </w:r>
      <w:r w:rsidRPr="00FB60E5">
        <w:t xml:space="preserve">When the sample was grouped by </w:t>
      </w:r>
      <w:r w:rsidR="00EE7A8F" w:rsidRPr="00FB60E5">
        <w:t>PDOC</w:t>
      </w:r>
      <w:r w:rsidRPr="00FB60E5">
        <w:t>, success rates were significantly higher (p &lt;</w:t>
      </w:r>
      <w:r w:rsidR="00183D73" w:rsidRPr="00FB60E5">
        <w:t xml:space="preserve"> </w:t>
      </w:r>
      <w:r w:rsidRPr="00FB60E5">
        <w:t>.001) for meth</w:t>
      </w:r>
      <w:r w:rsidR="00E977AF" w:rsidRPr="00FB60E5">
        <w:t>/</w:t>
      </w:r>
      <w:r w:rsidRPr="00FB60E5">
        <w:t>amphetamine (73%), followed by opioids (</w:t>
      </w:r>
      <w:r w:rsidR="00D07904" w:rsidRPr="00FB60E5">
        <w:t>58</w:t>
      </w:r>
      <w:r w:rsidRPr="00FB60E5">
        <w:t>%), cannabis (51%), and alcohol (46%).</w:t>
      </w:r>
      <w:r w:rsidR="00F20D55" w:rsidRPr="00FB60E5">
        <w:t xml:space="preserve"> Taking a conservative estimate and assuming all participants lost to follow-up (excluding those deceased or incarcerated from the analysis) were treatment failures, the treatment success rate was 38%</w:t>
      </w:r>
      <w:r w:rsidR="00D07904" w:rsidRPr="00FB60E5">
        <w:t>.</w:t>
      </w:r>
    </w:p>
    <w:p w14:paraId="724A96E8" w14:textId="77777777" w:rsidR="00BB0E5E" w:rsidRDefault="00072449" w:rsidP="00882917">
      <w:pPr>
        <w:pStyle w:val="ListParagraph"/>
        <w:numPr>
          <w:ilvl w:val="0"/>
          <w:numId w:val="16"/>
        </w:numPr>
        <w:rPr>
          <w:rStyle w:val="SubtleEmphasis"/>
        </w:rPr>
      </w:pPr>
      <w:r w:rsidRPr="00F926FF">
        <w:rPr>
          <w:rStyle w:val="SubtleEmphasis"/>
        </w:rPr>
        <w:t>Changes in severity of dependence</w:t>
      </w:r>
    </w:p>
    <w:p w14:paraId="38A46354" w14:textId="65150415" w:rsidR="00072449" w:rsidRPr="00FB60E5" w:rsidRDefault="001B3CBD" w:rsidP="00FB60E5">
      <w:pPr>
        <w:ind w:left="0"/>
      </w:pPr>
      <w:r>
        <w:fldChar w:fldCharType="begin"/>
      </w:r>
      <w:r>
        <w:instrText xml:space="preserve"> REF _Ref531624414 \h </w:instrText>
      </w:r>
      <w:r>
        <w:fldChar w:fldCharType="separate"/>
      </w:r>
      <w:r>
        <w:t xml:space="preserve">Table </w:t>
      </w:r>
      <w:r>
        <w:rPr>
          <w:noProof/>
        </w:rPr>
        <w:t>3</w:t>
      </w:r>
      <w:r>
        <w:t>.</w:t>
      </w:r>
      <w:r>
        <w:rPr>
          <w:noProof/>
        </w:rPr>
        <w:t>15</w:t>
      </w:r>
      <w:r>
        <w:fldChar w:fldCharType="end"/>
      </w:r>
      <w:r w:rsidR="00072449" w:rsidRPr="00FB60E5">
        <w:t xml:space="preserve"> shows that there were significant reductions in the severity of dependence (SDS score) for </w:t>
      </w:r>
      <w:r w:rsidR="00EE7A8F" w:rsidRPr="00FB60E5">
        <w:t>PDOC</w:t>
      </w:r>
      <w:r w:rsidR="00072449" w:rsidRPr="00FB60E5">
        <w:t xml:space="preserve"> between baseline and follow-up and that this was observed across all PIT types. A clinically meaningful reduction in SDS score (i.e</w:t>
      </w:r>
      <w:r w:rsidR="00062E4B" w:rsidRPr="00FB60E5">
        <w:t>.</w:t>
      </w:r>
      <w:r w:rsidR="00072449" w:rsidRPr="00FB60E5">
        <w:t xml:space="preserve"> </w:t>
      </w:r>
      <w:r w:rsidR="001934F3" w:rsidRPr="00FB60E5">
        <w:t>&gt;</w:t>
      </w:r>
      <w:r w:rsidR="00072449" w:rsidRPr="00FB60E5">
        <w:t xml:space="preserve"> 50%) was achieved by 32% (173/540) of the overall follow-up sample; 4</w:t>
      </w:r>
      <w:r w:rsidR="00C604CB" w:rsidRPr="00FB60E5">
        <w:t>2</w:t>
      </w:r>
      <w:r w:rsidR="00072449" w:rsidRPr="00FB60E5">
        <w:t>% of residential rehabilitation, 29% of acute withdrawal and 28% of outpatient participants</w:t>
      </w:r>
      <w:r w:rsidR="00C604CB" w:rsidRPr="00FB60E5">
        <w:t xml:space="preserve"> (p &lt; .05)</w:t>
      </w:r>
      <w:r w:rsidR="00072449" w:rsidRPr="00FB60E5">
        <w:t>.</w:t>
      </w:r>
    </w:p>
    <w:p w14:paraId="38A46355" w14:textId="24940D32" w:rsidR="00072449" w:rsidRPr="00FB60E5" w:rsidRDefault="00552239" w:rsidP="00552239">
      <w:pPr>
        <w:pStyle w:val="Caption"/>
      </w:pPr>
      <w:bookmarkStart w:id="166" w:name="_Ref531624414"/>
      <w:bookmarkStart w:id="167" w:name="_Toc531625791"/>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15</w:t>
      </w:r>
      <w:r>
        <w:fldChar w:fldCharType="end"/>
      </w:r>
      <w:bookmarkEnd w:id="166"/>
      <w:r>
        <w:t xml:space="preserve"> </w:t>
      </w:r>
      <w:r w:rsidR="00072449" w:rsidRPr="00FB60E5">
        <w:t xml:space="preserve">Changes in severity of dependence on </w:t>
      </w:r>
      <w:r w:rsidR="00EE7A8F" w:rsidRPr="00FB60E5">
        <w:t>PDOC</w:t>
      </w:r>
      <w:r w:rsidR="00072449" w:rsidRPr="00FB60E5">
        <w:t xml:space="preserve"> by PIT type</w:t>
      </w:r>
      <w:bookmarkEnd w:id="167"/>
    </w:p>
    <w:tbl>
      <w:tblPr>
        <w:tblStyle w:val="LightList-Accent1"/>
        <w:tblW w:w="5000" w:type="pct"/>
        <w:tblLook w:val="04A0" w:firstRow="1" w:lastRow="0" w:firstColumn="1" w:lastColumn="0" w:noHBand="0" w:noVBand="1"/>
        <w:tblCaption w:val="Table 3.15  Changes in severity of dependence on PDOC by PIT type "/>
        <w:tblDescription w:val="Table 3.15  Changes in severity of dependence on PDOC by PIT type "/>
      </w:tblPr>
      <w:tblGrid>
        <w:gridCol w:w="3371"/>
        <w:gridCol w:w="2126"/>
        <w:gridCol w:w="2266"/>
        <w:gridCol w:w="1479"/>
      </w:tblGrid>
      <w:tr w:rsidR="00072449" w:rsidRPr="00FB60E5" w14:paraId="38A4635A" w14:textId="77777777" w:rsidTr="00F926FF">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1823" w:type="pct"/>
            <w:hideMark/>
          </w:tcPr>
          <w:p w14:paraId="38A46356" w14:textId="77777777" w:rsidR="00072449" w:rsidRPr="00FB60E5" w:rsidRDefault="00072449" w:rsidP="00F926FF">
            <w:pPr>
              <w:pStyle w:val="tabletext"/>
            </w:pPr>
            <w:r w:rsidRPr="00FB60E5">
              <w:t>PIT-type</w:t>
            </w:r>
          </w:p>
        </w:tc>
        <w:tc>
          <w:tcPr>
            <w:tcW w:w="1150" w:type="pct"/>
            <w:hideMark/>
          </w:tcPr>
          <w:p w14:paraId="38A46357" w14:textId="77777777"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 xml:space="preserve">Baseline </w:t>
            </w:r>
            <w:r w:rsidR="00CE2C8E" w:rsidRPr="00FB60E5">
              <w:t>(</w:t>
            </w:r>
            <w:r w:rsidRPr="00FB60E5">
              <w:t>median</w:t>
            </w:r>
            <w:r w:rsidR="00CE2C8E" w:rsidRPr="00FB60E5">
              <w:t>)</w:t>
            </w:r>
          </w:p>
        </w:tc>
        <w:tc>
          <w:tcPr>
            <w:tcW w:w="1226" w:type="pct"/>
            <w:hideMark/>
          </w:tcPr>
          <w:p w14:paraId="38A46358" w14:textId="77777777"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Follow-up</w:t>
            </w:r>
            <w:r w:rsidR="00CE2C8E" w:rsidRPr="00FB60E5">
              <w:t xml:space="preserve"> (median)</w:t>
            </w:r>
          </w:p>
        </w:tc>
        <w:tc>
          <w:tcPr>
            <w:tcW w:w="800" w:type="pct"/>
            <w:hideMark/>
          </w:tcPr>
          <w:p w14:paraId="38A46359" w14:textId="77777777"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72449" w:rsidRPr="00FB60E5" w14:paraId="38A4635F"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23" w:type="pct"/>
            <w:hideMark/>
          </w:tcPr>
          <w:p w14:paraId="38A4635B" w14:textId="77777777" w:rsidR="00072449" w:rsidRPr="00AF6D9B" w:rsidRDefault="00072449" w:rsidP="00AF6D9B">
            <w:pPr>
              <w:pStyle w:val="tabletext"/>
            </w:pPr>
            <w:r w:rsidRPr="00AF6D9B">
              <w:t>Outpatient (n</w:t>
            </w:r>
            <w:r w:rsidR="00C604CB" w:rsidRPr="00AF6D9B">
              <w:t xml:space="preserve"> </w:t>
            </w:r>
            <w:r w:rsidRPr="00AF6D9B">
              <w:t>=</w:t>
            </w:r>
            <w:r w:rsidR="00C604CB" w:rsidRPr="00AF6D9B">
              <w:t xml:space="preserve"> </w:t>
            </w:r>
            <w:r w:rsidRPr="00AF6D9B">
              <w:t>1</w:t>
            </w:r>
            <w:r w:rsidR="00C604CB" w:rsidRPr="00AF6D9B">
              <w:t>74</w:t>
            </w:r>
            <w:r w:rsidRPr="00AF6D9B">
              <w:t>)</w:t>
            </w:r>
          </w:p>
        </w:tc>
        <w:tc>
          <w:tcPr>
            <w:tcW w:w="1150" w:type="pct"/>
            <w:hideMark/>
          </w:tcPr>
          <w:p w14:paraId="38A4635C"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10.0</w:t>
            </w:r>
          </w:p>
        </w:tc>
        <w:tc>
          <w:tcPr>
            <w:tcW w:w="1226" w:type="pct"/>
            <w:hideMark/>
          </w:tcPr>
          <w:p w14:paraId="38A4635D"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7.</w:t>
            </w:r>
            <w:r w:rsidR="00C604CB" w:rsidRPr="00AF6D9B">
              <w:t>5</w:t>
            </w:r>
          </w:p>
        </w:tc>
        <w:tc>
          <w:tcPr>
            <w:tcW w:w="800" w:type="pct"/>
            <w:hideMark/>
          </w:tcPr>
          <w:p w14:paraId="38A4635E"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&lt;</w:t>
            </w:r>
            <w:r w:rsidR="00D07904" w:rsidRPr="00AF6D9B">
              <w:t xml:space="preserve"> </w:t>
            </w:r>
            <w:r w:rsidRPr="00AF6D9B">
              <w:t>.001</w:t>
            </w:r>
          </w:p>
        </w:tc>
      </w:tr>
      <w:tr w:rsidR="00072449" w:rsidRPr="00FB60E5" w14:paraId="38A46364"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1823" w:type="pct"/>
            <w:hideMark/>
          </w:tcPr>
          <w:p w14:paraId="38A46360" w14:textId="12FF5704" w:rsidR="00072449" w:rsidRPr="00AF6D9B" w:rsidRDefault="00072449" w:rsidP="00AF6D9B">
            <w:pPr>
              <w:pStyle w:val="tabletext"/>
            </w:pPr>
            <w:r w:rsidRPr="00AF6D9B">
              <w:t xml:space="preserve">Acute </w:t>
            </w:r>
            <w:r w:rsidR="004516BD" w:rsidRPr="00AF6D9B">
              <w:t>w</w:t>
            </w:r>
            <w:r w:rsidRPr="00AF6D9B">
              <w:t>ithdrawal</w:t>
            </w:r>
            <w:r w:rsidR="002C27A8" w:rsidRPr="00AF6D9B">
              <w:t xml:space="preserve"> </w:t>
            </w:r>
            <w:r w:rsidRPr="00AF6D9B">
              <w:t>(n</w:t>
            </w:r>
            <w:r w:rsidR="00C604CB" w:rsidRPr="00AF6D9B">
              <w:t xml:space="preserve"> </w:t>
            </w:r>
            <w:r w:rsidRPr="00AF6D9B">
              <w:t>=</w:t>
            </w:r>
            <w:r w:rsidR="00C604CB" w:rsidRPr="00AF6D9B">
              <w:t xml:space="preserve"> </w:t>
            </w:r>
            <w:r w:rsidRPr="00AF6D9B">
              <w:t>2</w:t>
            </w:r>
            <w:r w:rsidR="00C604CB" w:rsidRPr="00AF6D9B">
              <w:t>37</w:t>
            </w:r>
            <w:r w:rsidRPr="00AF6D9B">
              <w:t>)</w:t>
            </w:r>
          </w:p>
        </w:tc>
        <w:tc>
          <w:tcPr>
            <w:tcW w:w="1150" w:type="pct"/>
            <w:hideMark/>
          </w:tcPr>
          <w:p w14:paraId="38A46361"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12.0</w:t>
            </w:r>
          </w:p>
        </w:tc>
        <w:tc>
          <w:tcPr>
            <w:tcW w:w="1226" w:type="pct"/>
            <w:hideMark/>
          </w:tcPr>
          <w:p w14:paraId="38A46362"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9.0</w:t>
            </w:r>
          </w:p>
        </w:tc>
        <w:tc>
          <w:tcPr>
            <w:tcW w:w="800" w:type="pct"/>
            <w:hideMark/>
          </w:tcPr>
          <w:p w14:paraId="38A46363"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&lt;</w:t>
            </w:r>
            <w:r w:rsidR="00D07904" w:rsidRPr="00AF6D9B">
              <w:t xml:space="preserve"> </w:t>
            </w:r>
            <w:r w:rsidRPr="00AF6D9B">
              <w:t>.001</w:t>
            </w:r>
          </w:p>
        </w:tc>
      </w:tr>
      <w:tr w:rsidR="00072449" w:rsidRPr="00FB60E5" w14:paraId="38A46369"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23" w:type="pct"/>
            <w:hideMark/>
          </w:tcPr>
          <w:p w14:paraId="38A46365" w14:textId="77777777" w:rsidR="00072449" w:rsidRPr="00AF6D9B" w:rsidRDefault="00072449" w:rsidP="00AF6D9B">
            <w:pPr>
              <w:pStyle w:val="tabletext"/>
            </w:pPr>
            <w:r w:rsidRPr="00AF6D9B">
              <w:t>Residential</w:t>
            </w:r>
            <w:r w:rsidR="004516BD" w:rsidRPr="00AF6D9B">
              <w:t xml:space="preserve"> rehabilitation</w:t>
            </w:r>
            <w:r w:rsidRPr="00AF6D9B">
              <w:t xml:space="preserve"> (n</w:t>
            </w:r>
            <w:r w:rsidR="00C604CB" w:rsidRPr="00AF6D9B">
              <w:t xml:space="preserve"> </w:t>
            </w:r>
            <w:r w:rsidRPr="00AF6D9B">
              <w:t>=</w:t>
            </w:r>
            <w:r w:rsidR="00C604CB" w:rsidRPr="00AF6D9B">
              <w:t xml:space="preserve"> 136</w:t>
            </w:r>
            <w:r w:rsidRPr="00AF6D9B">
              <w:t>)</w:t>
            </w:r>
          </w:p>
        </w:tc>
        <w:tc>
          <w:tcPr>
            <w:tcW w:w="1150" w:type="pct"/>
            <w:hideMark/>
          </w:tcPr>
          <w:p w14:paraId="38A46366"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11.0</w:t>
            </w:r>
          </w:p>
        </w:tc>
        <w:tc>
          <w:tcPr>
            <w:tcW w:w="1226" w:type="pct"/>
            <w:hideMark/>
          </w:tcPr>
          <w:p w14:paraId="38A46367"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7.0</w:t>
            </w:r>
          </w:p>
        </w:tc>
        <w:tc>
          <w:tcPr>
            <w:tcW w:w="800" w:type="pct"/>
            <w:hideMark/>
          </w:tcPr>
          <w:p w14:paraId="38A46368" w14:textId="77777777" w:rsidR="00072449" w:rsidRPr="00AF6D9B" w:rsidRDefault="00072449" w:rsidP="00AF6D9B">
            <w:pPr>
              <w:pStyle w:val="tabletext"/>
              <w:cnfStyle w:val="000000100000" w:firstRow="0" w:lastRow="0" w:firstColumn="0" w:lastColumn="0" w:oddVBand="0" w:evenVBand="0" w:oddHBand="1" w:evenHBand="0" w:firstRowFirstColumn="0" w:firstRowLastColumn="0" w:lastRowFirstColumn="0" w:lastRowLastColumn="0"/>
            </w:pPr>
            <w:r w:rsidRPr="00AF6D9B">
              <w:t>&lt;</w:t>
            </w:r>
            <w:r w:rsidR="00D07904" w:rsidRPr="00AF6D9B">
              <w:t xml:space="preserve"> </w:t>
            </w:r>
            <w:r w:rsidRPr="00AF6D9B">
              <w:t>.001</w:t>
            </w:r>
          </w:p>
        </w:tc>
      </w:tr>
      <w:tr w:rsidR="00072449" w:rsidRPr="00FB60E5" w14:paraId="38A4636E"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1823" w:type="pct"/>
            <w:hideMark/>
          </w:tcPr>
          <w:p w14:paraId="38A4636A" w14:textId="77777777" w:rsidR="00072449" w:rsidRPr="00AF6D9B" w:rsidRDefault="00072449" w:rsidP="00AF6D9B">
            <w:pPr>
              <w:pStyle w:val="tabletext"/>
            </w:pPr>
            <w:r w:rsidRPr="00AF6D9B">
              <w:t>Total (n</w:t>
            </w:r>
            <w:r w:rsidR="00C604CB" w:rsidRPr="00AF6D9B">
              <w:t xml:space="preserve"> </w:t>
            </w:r>
            <w:r w:rsidRPr="00AF6D9B">
              <w:t>=</w:t>
            </w:r>
            <w:r w:rsidR="00C604CB" w:rsidRPr="00AF6D9B">
              <w:t xml:space="preserve"> 547</w:t>
            </w:r>
            <w:r w:rsidRPr="00AF6D9B">
              <w:t>)</w:t>
            </w:r>
          </w:p>
        </w:tc>
        <w:tc>
          <w:tcPr>
            <w:tcW w:w="1150" w:type="pct"/>
            <w:hideMark/>
          </w:tcPr>
          <w:p w14:paraId="38A4636B"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11.0</w:t>
            </w:r>
          </w:p>
        </w:tc>
        <w:tc>
          <w:tcPr>
            <w:tcW w:w="1226" w:type="pct"/>
            <w:hideMark/>
          </w:tcPr>
          <w:p w14:paraId="38A4636C"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8.0</w:t>
            </w:r>
          </w:p>
        </w:tc>
        <w:tc>
          <w:tcPr>
            <w:tcW w:w="800" w:type="pct"/>
            <w:hideMark/>
          </w:tcPr>
          <w:p w14:paraId="38A4636D" w14:textId="77777777" w:rsidR="00072449" w:rsidRPr="00AF6D9B" w:rsidRDefault="00072449" w:rsidP="00AF6D9B">
            <w:pPr>
              <w:pStyle w:val="tabletext"/>
              <w:cnfStyle w:val="000000000000" w:firstRow="0" w:lastRow="0" w:firstColumn="0" w:lastColumn="0" w:oddVBand="0" w:evenVBand="0" w:oddHBand="0" w:evenHBand="0" w:firstRowFirstColumn="0" w:firstRowLastColumn="0" w:lastRowFirstColumn="0" w:lastRowLastColumn="0"/>
            </w:pPr>
            <w:r w:rsidRPr="00AF6D9B">
              <w:t>&lt;</w:t>
            </w:r>
            <w:r w:rsidR="00D07904" w:rsidRPr="00AF6D9B">
              <w:t xml:space="preserve"> </w:t>
            </w:r>
            <w:r w:rsidRPr="00AF6D9B">
              <w:t>.001</w:t>
            </w:r>
          </w:p>
        </w:tc>
      </w:tr>
    </w:tbl>
    <w:p w14:paraId="38A46370" w14:textId="0AC8FF1A" w:rsidR="00072449" w:rsidRPr="00F926FF" w:rsidRDefault="00072449" w:rsidP="00882917">
      <w:pPr>
        <w:pStyle w:val="ListParagraph"/>
        <w:numPr>
          <w:ilvl w:val="0"/>
          <w:numId w:val="16"/>
        </w:numPr>
        <w:rPr>
          <w:rStyle w:val="SubtleEmphasis"/>
        </w:rPr>
      </w:pPr>
      <w:r w:rsidRPr="00F926FF">
        <w:rPr>
          <w:rStyle w:val="SubtleEmphasis"/>
        </w:rPr>
        <w:t>Changes in Quality of Life (</w:t>
      </w:r>
      <w:r w:rsidR="00EE7A8F" w:rsidRPr="00F926FF">
        <w:rPr>
          <w:rStyle w:val="SubtleEmphasis"/>
        </w:rPr>
        <w:t>QOL</w:t>
      </w:r>
      <w:r w:rsidRPr="00F926FF">
        <w:rPr>
          <w:rStyle w:val="SubtleEmphasis"/>
        </w:rPr>
        <w:t>)</w:t>
      </w:r>
    </w:p>
    <w:p w14:paraId="38A46371" w14:textId="2D615810" w:rsidR="00072449" w:rsidRPr="00FB60E5" w:rsidRDefault="005A0C62" w:rsidP="00FB60E5">
      <w:pPr>
        <w:ind w:left="0"/>
      </w:pPr>
      <w:r w:rsidRPr="00FB60E5">
        <w:t>Participants</w:t>
      </w:r>
      <w:r w:rsidR="00072449" w:rsidRPr="00FB60E5">
        <w:t xml:space="preserve"> within each PIT type had a significantly higher median scores on each of the WHO-</w:t>
      </w:r>
      <w:r w:rsidR="00EE7A8F" w:rsidRPr="00FB60E5">
        <w:t>QOL</w:t>
      </w:r>
      <w:r w:rsidR="00072449" w:rsidRPr="00FB60E5">
        <w:t xml:space="preserve"> domains than they had at baseline, reflecting improved </w:t>
      </w:r>
      <w:r w:rsidR="00EE7A8F" w:rsidRPr="00FB60E5">
        <w:t>QOL</w:t>
      </w:r>
      <w:r w:rsidR="00072449" w:rsidRPr="00FB60E5">
        <w:t xml:space="preserve"> (see </w:t>
      </w:r>
      <w:r w:rsidR="001B3CBD">
        <w:fldChar w:fldCharType="begin"/>
      </w:r>
      <w:r w:rsidR="001B3CBD">
        <w:instrText xml:space="preserve"> REF _Ref531624452 \h </w:instrText>
      </w:r>
      <w:r w:rsidR="001B3CBD">
        <w:fldChar w:fldCharType="separate"/>
      </w:r>
      <w:r w:rsidR="001B3CBD">
        <w:t xml:space="preserve">Table </w:t>
      </w:r>
      <w:r w:rsidR="001B3CBD">
        <w:rPr>
          <w:noProof/>
        </w:rPr>
        <w:t>3</w:t>
      </w:r>
      <w:r w:rsidR="001B3CBD">
        <w:t>.</w:t>
      </w:r>
      <w:r w:rsidR="001B3CBD">
        <w:rPr>
          <w:noProof/>
        </w:rPr>
        <w:t>16</w:t>
      </w:r>
      <w:r w:rsidR="001B3CBD">
        <w:fldChar w:fldCharType="end"/>
      </w:r>
      <w:r w:rsidR="00072449" w:rsidRPr="00FB60E5">
        <w:t xml:space="preserve">), with the exception of physical </w:t>
      </w:r>
      <w:r w:rsidR="00EE7A8F" w:rsidRPr="00FB60E5">
        <w:t>QOL</w:t>
      </w:r>
      <w:r w:rsidR="00072449" w:rsidRPr="00FB60E5">
        <w:t xml:space="preserve"> among the residential rehabilitation </w:t>
      </w:r>
      <w:r w:rsidR="006D29AE" w:rsidRPr="00FB60E5">
        <w:t>participants</w:t>
      </w:r>
      <w:r w:rsidR="00072449" w:rsidRPr="00FB60E5">
        <w:t>. Australian general population means for each domain appear in parentheses in the “total” section. At follow-up,</w:t>
      </w:r>
      <w:r w:rsidR="00A26035" w:rsidRPr="00FB60E5">
        <w:t xml:space="preserve"> median</w:t>
      </w:r>
      <w:r w:rsidR="00072449" w:rsidRPr="00FB60E5">
        <w:t xml:space="preserve"> physical, psychological, social, and environmental </w:t>
      </w:r>
      <w:r w:rsidR="00EE7A8F" w:rsidRPr="00FB60E5">
        <w:t>QOL</w:t>
      </w:r>
      <w:r w:rsidR="00072449" w:rsidRPr="00FB60E5">
        <w:t xml:space="preserve"> remain </w:t>
      </w:r>
      <w:r w:rsidR="00072449" w:rsidRPr="00FB60E5">
        <w:lastRenderedPageBreak/>
        <w:t xml:space="preserve">significantly lower than Australian general population means (all </w:t>
      </w:r>
      <w:proofErr w:type="spellStart"/>
      <w:r w:rsidR="00072449" w:rsidRPr="00FB60E5">
        <w:t>ps</w:t>
      </w:r>
      <w:proofErr w:type="spellEnd"/>
      <w:r w:rsidR="00072449" w:rsidRPr="00FB60E5">
        <w:t xml:space="preserve"> &lt; .001). Me</w:t>
      </w:r>
      <w:r w:rsidR="00A26035" w:rsidRPr="00FB60E5">
        <w:t>di</w:t>
      </w:r>
      <w:r w:rsidR="00072449" w:rsidRPr="00FB60E5">
        <w:t>an scores at follow-up were 0.7</w:t>
      </w:r>
      <w:r w:rsidR="00A26035" w:rsidRPr="00FB60E5">
        <w:t>1</w:t>
      </w:r>
      <w:r w:rsidR="00072449" w:rsidRPr="00FB60E5">
        <w:t>, 1.17, 0.</w:t>
      </w:r>
      <w:r w:rsidR="00A26035" w:rsidRPr="00FB60E5">
        <w:t>73</w:t>
      </w:r>
      <w:r w:rsidR="00072449" w:rsidRPr="00FB60E5">
        <w:t>, and 0.7</w:t>
      </w:r>
      <w:r w:rsidR="00A26035" w:rsidRPr="00FB60E5">
        <w:t>3</w:t>
      </w:r>
      <w:r w:rsidR="00072449" w:rsidRPr="00FB60E5">
        <w:t xml:space="preserve"> SDs below general population norms, respectively.</w:t>
      </w:r>
    </w:p>
    <w:p w14:paraId="38A46373" w14:textId="07709EC7" w:rsidR="00072449" w:rsidRPr="00FB60E5" w:rsidRDefault="00552239" w:rsidP="00552239">
      <w:pPr>
        <w:pStyle w:val="Caption"/>
      </w:pPr>
      <w:bookmarkStart w:id="168" w:name="_Ref531624452"/>
      <w:bookmarkStart w:id="169" w:name="_Toc531625792"/>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16</w:t>
      </w:r>
      <w:r>
        <w:fldChar w:fldCharType="end"/>
      </w:r>
      <w:bookmarkEnd w:id="168"/>
      <w:r w:rsidR="00F926FF">
        <w:t xml:space="preserve"> </w:t>
      </w:r>
      <w:r w:rsidR="005A0C62" w:rsidRPr="00FB60E5">
        <w:t>C</w:t>
      </w:r>
      <w:r w:rsidR="00072449" w:rsidRPr="00FB60E5">
        <w:t>hanges in median score on each WHO</w:t>
      </w:r>
      <w:r w:rsidR="00EE7A8F" w:rsidRPr="00FB60E5">
        <w:t>QOL</w:t>
      </w:r>
      <w:r w:rsidR="00072449" w:rsidRPr="00FB60E5">
        <w:t xml:space="preserve"> domain between baseline and follow-up for each PIT type</w:t>
      </w:r>
      <w:bookmarkEnd w:id="169"/>
    </w:p>
    <w:tbl>
      <w:tblPr>
        <w:tblStyle w:val="LightList-Accent1"/>
        <w:tblW w:w="0" w:type="auto"/>
        <w:tblLook w:val="04A0" w:firstRow="1" w:lastRow="0" w:firstColumn="1" w:lastColumn="0" w:noHBand="0" w:noVBand="1"/>
        <w:tblCaption w:val="Table 3.16  Changes in median score on each WHOQOL domain between baseline and follow-up for each PIT type"/>
        <w:tblDescription w:val="Table 3.16  Changes in median score on each WHOQOL domain between baseline and follow-up for each PIT type"/>
      </w:tblPr>
      <w:tblGrid>
        <w:gridCol w:w="2802"/>
        <w:gridCol w:w="2126"/>
        <w:gridCol w:w="1417"/>
        <w:gridCol w:w="1418"/>
        <w:gridCol w:w="1192"/>
      </w:tblGrid>
      <w:tr w:rsidR="00072449" w:rsidRPr="00FB60E5" w14:paraId="38A46379" w14:textId="77777777" w:rsidTr="00F926FF">
        <w:trPr>
          <w:cnfStyle w:val="100000000000" w:firstRow="1" w:lastRow="0" w:firstColumn="0" w:lastColumn="0" w:oddVBand="0" w:evenVBand="0" w:oddHBand="0" w:evenHBand="0" w:firstRowFirstColumn="0" w:firstRowLastColumn="0" w:lastRowFirstColumn="0" w:lastRowLastColumn="0"/>
          <w:trHeight w:hRule="exact" w:val="567"/>
          <w:tblHeader/>
        </w:trPr>
        <w:tc>
          <w:tcPr>
            <w:cnfStyle w:val="001000000000" w:firstRow="0" w:lastRow="0" w:firstColumn="1" w:lastColumn="0" w:oddVBand="0" w:evenVBand="0" w:oddHBand="0" w:evenHBand="0" w:firstRowFirstColumn="0" w:firstRowLastColumn="0" w:lastRowFirstColumn="0" w:lastRowLastColumn="0"/>
            <w:tcW w:w="2802" w:type="dxa"/>
            <w:hideMark/>
          </w:tcPr>
          <w:p w14:paraId="38A46374" w14:textId="77777777" w:rsidR="00072449" w:rsidRPr="00FB60E5" w:rsidRDefault="00072449" w:rsidP="00F926FF">
            <w:pPr>
              <w:pStyle w:val="tabletext"/>
            </w:pPr>
            <w:r w:rsidRPr="00FB60E5">
              <w:t>PIT-type</w:t>
            </w:r>
          </w:p>
        </w:tc>
        <w:tc>
          <w:tcPr>
            <w:tcW w:w="2126" w:type="dxa"/>
            <w:hideMark/>
          </w:tcPr>
          <w:p w14:paraId="38A46375" w14:textId="3EB00AE2"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 xml:space="preserve">WHO </w:t>
            </w:r>
            <w:r w:rsidR="00EE7A8F" w:rsidRPr="00FB60E5">
              <w:t>QOL</w:t>
            </w:r>
            <w:r w:rsidRPr="00FB60E5">
              <w:t xml:space="preserve"> Domain</w:t>
            </w:r>
            <w:r w:rsidR="002C27A8">
              <w:t xml:space="preserve"> </w:t>
            </w:r>
          </w:p>
        </w:tc>
        <w:tc>
          <w:tcPr>
            <w:tcW w:w="1417" w:type="dxa"/>
            <w:hideMark/>
          </w:tcPr>
          <w:p w14:paraId="38A46376" w14:textId="77777777"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Baseline median</w:t>
            </w:r>
          </w:p>
        </w:tc>
        <w:tc>
          <w:tcPr>
            <w:tcW w:w="1418" w:type="dxa"/>
            <w:hideMark/>
          </w:tcPr>
          <w:p w14:paraId="38A46377" w14:textId="77777777"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Follow-up median</w:t>
            </w:r>
          </w:p>
        </w:tc>
        <w:tc>
          <w:tcPr>
            <w:tcW w:w="1192" w:type="dxa"/>
          </w:tcPr>
          <w:p w14:paraId="38A46378" w14:textId="77777777" w:rsidR="00072449" w:rsidRPr="00FB60E5" w:rsidRDefault="00072449" w:rsidP="00F926FF">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BC273E" w:rsidRPr="00FB60E5" w14:paraId="38A4637F"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val="restart"/>
            <w:hideMark/>
          </w:tcPr>
          <w:p w14:paraId="38A4637A" w14:textId="77777777" w:rsidR="00BC273E" w:rsidRPr="00FB60E5" w:rsidRDefault="00BC273E" w:rsidP="00AF6D9B">
            <w:pPr>
              <w:pStyle w:val="tabletext"/>
            </w:pPr>
            <w:r w:rsidRPr="00FB60E5">
              <w:t>Outpatient</w:t>
            </w:r>
          </w:p>
        </w:tc>
        <w:tc>
          <w:tcPr>
            <w:tcW w:w="2126" w:type="dxa"/>
            <w:hideMark/>
          </w:tcPr>
          <w:p w14:paraId="38A4637B"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Physical</w:t>
            </w:r>
          </w:p>
        </w:tc>
        <w:tc>
          <w:tcPr>
            <w:tcW w:w="1417" w:type="dxa"/>
            <w:hideMark/>
          </w:tcPr>
          <w:p w14:paraId="38A4637C"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50.0</w:t>
            </w:r>
          </w:p>
        </w:tc>
        <w:tc>
          <w:tcPr>
            <w:tcW w:w="1418" w:type="dxa"/>
            <w:hideMark/>
          </w:tcPr>
          <w:p w14:paraId="38A4637D"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60.7</w:t>
            </w:r>
          </w:p>
        </w:tc>
        <w:tc>
          <w:tcPr>
            <w:tcW w:w="1192" w:type="dxa"/>
          </w:tcPr>
          <w:p w14:paraId="38A4637E"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85"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80" w14:textId="77777777" w:rsidR="00BC273E" w:rsidRPr="00FB60E5" w:rsidRDefault="00BC273E" w:rsidP="00AF6D9B">
            <w:pPr>
              <w:pStyle w:val="tabletext"/>
            </w:pPr>
          </w:p>
        </w:tc>
        <w:tc>
          <w:tcPr>
            <w:tcW w:w="2126" w:type="dxa"/>
            <w:hideMark/>
          </w:tcPr>
          <w:p w14:paraId="38A46381"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Psychological</w:t>
            </w:r>
          </w:p>
        </w:tc>
        <w:tc>
          <w:tcPr>
            <w:tcW w:w="1417" w:type="dxa"/>
            <w:hideMark/>
          </w:tcPr>
          <w:p w14:paraId="38A46382"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41.7</w:t>
            </w:r>
          </w:p>
        </w:tc>
        <w:tc>
          <w:tcPr>
            <w:tcW w:w="1418" w:type="dxa"/>
            <w:hideMark/>
          </w:tcPr>
          <w:p w14:paraId="38A46383"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54.2</w:t>
            </w:r>
          </w:p>
        </w:tc>
        <w:tc>
          <w:tcPr>
            <w:tcW w:w="1192" w:type="dxa"/>
          </w:tcPr>
          <w:p w14:paraId="38A46384"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BC273E" w:rsidRPr="00FB60E5" w14:paraId="38A4638B"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86" w14:textId="77777777" w:rsidR="00BC273E" w:rsidRPr="00FB60E5" w:rsidRDefault="00BC273E" w:rsidP="00AF6D9B">
            <w:pPr>
              <w:pStyle w:val="tabletext"/>
            </w:pPr>
          </w:p>
        </w:tc>
        <w:tc>
          <w:tcPr>
            <w:tcW w:w="2126" w:type="dxa"/>
            <w:hideMark/>
          </w:tcPr>
          <w:p w14:paraId="38A46387"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Social</w:t>
            </w:r>
          </w:p>
        </w:tc>
        <w:tc>
          <w:tcPr>
            <w:tcW w:w="1417" w:type="dxa"/>
            <w:hideMark/>
          </w:tcPr>
          <w:p w14:paraId="38A46388"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41.7</w:t>
            </w:r>
          </w:p>
        </w:tc>
        <w:tc>
          <w:tcPr>
            <w:tcW w:w="1418" w:type="dxa"/>
            <w:hideMark/>
          </w:tcPr>
          <w:p w14:paraId="38A46389"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58.3</w:t>
            </w:r>
          </w:p>
        </w:tc>
        <w:tc>
          <w:tcPr>
            <w:tcW w:w="1192" w:type="dxa"/>
          </w:tcPr>
          <w:p w14:paraId="38A4638A"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91"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8C" w14:textId="77777777" w:rsidR="00BC273E" w:rsidRPr="00FB60E5" w:rsidRDefault="00BC273E" w:rsidP="00AF6D9B">
            <w:pPr>
              <w:pStyle w:val="tabletext"/>
            </w:pPr>
          </w:p>
        </w:tc>
        <w:tc>
          <w:tcPr>
            <w:tcW w:w="2126" w:type="dxa"/>
            <w:hideMark/>
          </w:tcPr>
          <w:p w14:paraId="38A4638D"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Environmental</w:t>
            </w:r>
          </w:p>
        </w:tc>
        <w:tc>
          <w:tcPr>
            <w:tcW w:w="1417" w:type="dxa"/>
            <w:hideMark/>
          </w:tcPr>
          <w:p w14:paraId="38A4638E"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59.4</w:t>
            </w:r>
          </w:p>
        </w:tc>
        <w:tc>
          <w:tcPr>
            <w:tcW w:w="1418" w:type="dxa"/>
            <w:hideMark/>
          </w:tcPr>
          <w:p w14:paraId="38A4638F"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68.8</w:t>
            </w:r>
          </w:p>
        </w:tc>
        <w:tc>
          <w:tcPr>
            <w:tcW w:w="1192" w:type="dxa"/>
          </w:tcPr>
          <w:p w14:paraId="38A46390"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BC273E" w:rsidRPr="00FB60E5" w14:paraId="38A46397"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val="restart"/>
            <w:hideMark/>
          </w:tcPr>
          <w:p w14:paraId="38A46392" w14:textId="77777777" w:rsidR="00BC273E" w:rsidRPr="00FB60E5" w:rsidRDefault="00BC273E" w:rsidP="00AF6D9B">
            <w:pPr>
              <w:pStyle w:val="tabletext"/>
            </w:pPr>
            <w:r w:rsidRPr="00FB60E5">
              <w:t>Acute withdrawal</w:t>
            </w:r>
          </w:p>
        </w:tc>
        <w:tc>
          <w:tcPr>
            <w:tcW w:w="2126" w:type="dxa"/>
            <w:hideMark/>
          </w:tcPr>
          <w:p w14:paraId="38A46393"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Physical</w:t>
            </w:r>
          </w:p>
        </w:tc>
        <w:tc>
          <w:tcPr>
            <w:tcW w:w="1417" w:type="dxa"/>
            <w:hideMark/>
          </w:tcPr>
          <w:p w14:paraId="38A46394"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46.4</w:t>
            </w:r>
          </w:p>
        </w:tc>
        <w:tc>
          <w:tcPr>
            <w:tcW w:w="1418" w:type="dxa"/>
            <w:hideMark/>
          </w:tcPr>
          <w:p w14:paraId="38A46395"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57.1</w:t>
            </w:r>
          </w:p>
        </w:tc>
        <w:tc>
          <w:tcPr>
            <w:tcW w:w="1192" w:type="dxa"/>
          </w:tcPr>
          <w:p w14:paraId="38A46396"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9D"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98" w14:textId="77777777" w:rsidR="00BC273E" w:rsidRPr="00FB60E5" w:rsidRDefault="00BC273E" w:rsidP="00AF6D9B">
            <w:pPr>
              <w:pStyle w:val="tabletext"/>
            </w:pPr>
          </w:p>
        </w:tc>
        <w:tc>
          <w:tcPr>
            <w:tcW w:w="2126" w:type="dxa"/>
            <w:hideMark/>
          </w:tcPr>
          <w:p w14:paraId="38A46399"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Psychological</w:t>
            </w:r>
          </w:p>
        </w:tc>
        <w:tc>
          <w:tcPr>
            <w:tcW w:w="1417" w:type="dxa"/>
            <w:hideMark/>
          </w:tcPr>
          <w:p w14:paraId="38A4639A"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41.7</w:t>
            </w:r>
          </w:p>
        </w:tc>
        <w:tc>
          <w:tcPr>
            <w:tcW w:w="1418" w:type="dxa"/>
            <w:hideMark/>
          </w:tcPr>
          <w:p w14:paraId="38A4639B"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54.2</w:t>
            </w:r>
          </w:p>
        </w:tc>
        <w:tc>
          <w:tcPr>
            <w:tcW w:w="1192" w:type="dxa"/>
          </w:tcPr>
          <w:p w14:paraId="38A4639C"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BC273E" w:rsidRPr="00FB60E5" w14:paraId="38A463A3"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9E" w14:textId="77777777" w:rsidR="00BC273E" w:rsidRPr="00FB60E5" w:rsidRDefault="00BC273E" w:rsidP="00AF6D9B">
            <w:pPr>
              <w:pStyle w:val="tabletext"/>
            </w:pPr>
          </w:p>
        </w:tc>
        <w:tc>
          <w:tcPr>
            <w:tcW w:w="2126" w:type="dxa"/>
            <w:hideMark/>
          </w:tcPr>
          <w:p w14:paraId="38A4639F"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Social</w:t>
            </w:r>
          </w:p>
        </w:tc>
        <w:tc>
          <w:tcPr>
            <w:tcW w:w="1417" w:type="dxa"/>
            <w:hideMark/>
          </w:tcPr>
          <w:p w14:paraId="38A463A0"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41.7</w:t>
            </w:r>
          </w:p>
        </w:tc>
        <w:tc>
          <w:tcPr>
            <w:tcW w:w="1418" w:type="dxa"/>
            <w:hideMark/>
          </w:tcPr>
          <w:p w14:paraId="38A463A1"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50.0</w:t>
            </w:r>
          </w:p>
        </w:tc>
        <w:tc>
          <w:tcPr>
            <w:tcW w:w="1192" w:type="dxa"/>
          </w:tcPr>
          <w:p w14:paraId="38A463A2"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A9"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A4" w14:textId="77777777" w:rsidR="00BC273E" w:rsidRPr="00FB60E5" w:rsidRDefault="00BC273E" w:rsidP="00AF6D9B">
            <w:pPr>
              <w:pStyle w:val="tabletext"/>
            </w:pPr>
          </w:p>
        </w:tc>
        <w:tc>
          <w:tcPr>
            <w:tcW w:w="2126" w:type="dxa"/>
            <w:hideMark/>
          </w:tcPr>
          <w:p w14:paraId="38A463A5"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Environmental</w:t>
            </w:r>
          </w:p>
        </w:tc>
        <w:tc>
          <w:tcPr>
            <w:tcW w:w="1417" w:type="dxa"/>
            <w:hideMark/>
          </w:tcPr>
          <w:p w14:paraId="38A463A6"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57.1</w:t>
            </w:r>
          </w:p>
        </w:tc>
        <w:tc>
          <w:tcPr>
            <w:tcW w:w="1418" w:type="dxa"/>
            <w:hideMark/>
          </w:tcPr>
          <w:p w14:paraId="38A463A7"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62.5</w:t>
            </w:r>
          </w:p>
        </w:tc>
        <w:tc>
          <w:tcPr>
            <w:tcW w:w="1192" w:type="dxa"/>
          </w:tcPr>
          <w:p w14:paraId="38A463A8"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BC273E" w:rsidRPr="00FB60E5" w14:paraId="38A463AF"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val="restart"/>
            <w:hideMark/>
          </w:tcPr>
          <w:p w14:paraId="38A463AA" w14:textId="77777777" w:rsidR="00BC273E" w:rsidRPr="00FB60E5" w:rsidRDefault="00BC273E" w:rsidP="00AF6D9B">
            <w:pPr>
              <w:pStyle w:val="tabletext"/>
            </w:pPr>
            <w:r w:rsidRPr="00FB60E5">
              <w:t>Residential rehabilitation</w:t>
            </w:r>
          </w:p>
        </w:tc>
        <w:tc>
          <w:tcPr>
            <w:tcW w:w="2126" w:type="dxa"/>
            <w:hideMark/>
          </w:tcPr>
          <w:p w14:paraId="38A463AB"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Physical</w:t>
            </w:r>
          </w:p>
        </w:tc>
        <w:tc>
          <w:tcPr>
            <w:tcW w:w="1417" w:type="dxa"/>
            <w:hideMark/>
          </w:tcPr>
          <w:p w14:paraId="38A463AC"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67.9</w:t>
            </w:r>
          </w:p>
        </w:tc>
        <w:tc>
          <w:tcPr>
            <w:tcW w:w="1418" w:type="dxa"/>
            <w:hideMark/>
          </w:tcPr>
          <w:p w14:paraId="38A463AD"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67.9</w:t>
            </w:r>
          </w:p>
        </w:tc>
        <w:tc>
          <w:tcPr>
            <w:tcW w:w="1192" w:type="dxa"/>
          </w:tcPr>
          <w:p w14:paraId="38A463AE"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.62</w:t>
            </w:r>
          </w:p>
        </w:tc>
      </w:tr>
      <w:tr w:rsidR="00BC273E" w:rsidRPr="00FB60E5" w14:paraId="38A463B5"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B0" w14:textId="77777777" w:rsidR="00BC273E" w:rsidRPr="00FB60E5" w:rsidRDefault="00BC273E" w:rsidP="00AF6D9B">
            <w:pPr>
              <w:pStyle w:val="tabletext"/>
            </w:pPr>
          </w:p>
        </w:tc>
        <w:tc>
          <w:tcPr>
            <w:tcW w:w="2126" w:type="dxa"/>
            <w:hideMark/>
          </w:tcPr>
          <w:p w14:paraId="38A463B1"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Psychological</w:t>
            </w:r>
          </w:p>
        </w:tc>
        <w:tc>
          <w:tcPr>
            <w:tcW w:w="1417" w:type="dxa"/>
            <w:hideMark/>
          </w:tcPr>
          <w:p w14:paraId="38A463B2"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54.2</w:t>
            </w:r>
          </w:p>
        </w:tc>
        <w:tc>
          <w:tcPr>
            <w:tcW w:w="1418" w:type="dxa"/>
            <w:hideMark/>
          </w:tcPr>
          <w:p w14:paraId="38A463B3"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58.3</w:t>
            </w:r>
          </w:p>
        </w:tc>
        <w:tc>
          <w:tcPr>
            <w:tcW w:w="1192" w:type="dxa"/>
          </w:tcPr>
          <w:p w14:paraId="38A463B4"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.05</w:t>
            </w:r>
          </w:p>
        </w:tc>
      </w:tr>
      <w:tr w:rsidR="00BC273E" w:rsidRPr="00FB60E5" w14:paraId="38A463BB"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B6" w14:textId="77777777" w:rsidR="00BC273E" w:rsidRPr="00FB60E5" w:rsidRDefault="00BC273E" w:rsidP="00AF6D9B">
            <w:pPr>
              <w:pStyle w:val="tabletext"/>
            </w:pPr>
          </w:p>
        </w:tc>
        <w:tc>
          <w:tcPr>
            <w:tcW w:w="2126" w:type="dxa"/>
            <w:hideMark/>
          </w:tcPr>
          <w:p w14:paraId="38A463B7"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Social</w:t>
            </w:r>
          </w:p>
        </w:tc>
        <w:tc>
          <w:tcPr>
            <w:tcW w:w="1417" w:type="dxa"/>
            <w:hideMark/>
          </w:tcPr>
          <w:p w14:paraId="38A463B8"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50.0</w:t>
            </w:r>
          </w:p>
        </w:tc>
        <w:tc>
          <w:tcPr>
            <w:tcW w:w="1418" w:type="dxa"/>
            <w:hideMark/>
          </w:tcPr>
          <w:p w14:paraId="38A463B9"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58.3</w:t>
            </w:r>
          </w:p>
        </w:tc>
        <w:tc>
          <w:tcPr>
            <w:tcW w:w="1192" w:type="dxa"/>
          </w:tcPr>
          <w:p w14:paraId="38A463BA"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C1"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BC" w14:textId="77777777" w:rsidR="00BC273E" w:rsidRPr="00FB60E5" w:rsidRDefault="00BC273E" w:rsidP="00AF6D9B">
            <w:pPr>
              <w:pStyle w:val="tabletext"/>
            </w:pPr>
          </w:p>
        </w:tc>
        <w:tc>
          <w:tcPr>
            <w:tcW w:w="2126" w:type="dxa"/>
            <w:hideMark/>
          </w:tcPr>
          <w:p w14:paraId="38A463BD"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Environmental</w:t>
            </w:r>
          </w:p>
        </w:tc>
        <w:tc>
          <w:tcPr>
            <w:tcW w:w="1417" w:type="dxa"/>
            <w:hideMark/>
          </w:tcPr>
          <w:p w14:paraId="38A463BE"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59.4</w:t>
            </w:r>
          </w:p>
        </w:tc>
        <w:tc>
          <w:tcPr>
            <w:tcW w:w="1418" w:type="dxa"/>
            <w:hideMark/>
          </w:tcPr>
          <w:p w14:paraId="38A463BF"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71.9</w:t>
            </w:r>
          </w:p>
        </w:tc>
        <w:tc>
          <w:tcPr>
            <w:tcW w:w="1192" w:type="dxa"/>
          </w:tcPr>
          <w:p w14:paraId="38A463C0"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BC273E" w:rsidRPr="00FB60E5" w14:paraId="38A463C7"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val="restart"/>
            <w:hideMark/>
          </w:tcPr>
          <w:p w14:paraId="38A463C2" w14:textId="77777777" w:rsidR="00BC273E" w:rsidRPr="00FB60E5" w:rsidRDefault="00BC273E" w:rsidP="00AF6D9B">
            <w:pPr>
              <w:pStyle w:val="tabletext"/>
            </w:pPr>
            <w:r w:rsidRPr="00FB60E5">
              <w:t>Total (Norms)</w:t>
            </w:r>
          </w:p>
        </w:tc>
        <w:tc>
          <w:tcPr>
            <w:tcW w:w="2126" w:type="dxa"/>
            <w:hideMark/>
          </w:tcPr>
          <w:p w14:paraId="38A463C3"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Physical (73.5)</w:t>
            </w:r>
          </w:p>
        </w:tc>
        <w:tc>
          <w:tcPr>
            <w:tcW w:w="1417" w:type="dxa"/>
            <w:hideMark/>
          </w:tcPr>
          <w:p w14:paraId="38A463C4"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53.6</w:t>
            </w:r>
          </w:p>
        </w:tc>
        <w:tc>
          <w:tcPr>
            <w:tcW w:w="1418" w:type="dxa"/>
            <w:hideMark/>
          </w:tcPr>
          <w:p w14:paraId="38A463C5"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60.7</w:t>
            </w:r>
          </w:p>
        </w:tc>
        <w:tc>
          <w:tcPr>
            <w:tcW w:w="1192" w:type="dxa"/>
          </w:tcPr>
          <w:p w14:paraId="38A463C6"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CD"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C8" w14:textId="77777777" w:rsidR="00BC273E" w:rsidRPr="00FB60E5" w:rsidRDefault="00BC273E" w:rsidP="00AF6D9B">
            <w:pPr>
              <w:pStyle w:val="tabletext"/>
            </w:pPr>
          </w:p>
        </w:tc>
        <w:tc>
          <w:tcPr>
            <w:tcW w:w="2126" w:type="dxa"/>
            <w:hideMark/>
          </w:tcPr>
          <w:p w14:paraId="38A463C9"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Psychological (70.6)</w:t>
            </w:r>
          </w:p>
        </w:tc>
        <w:tc>
          <w:tcPr>
            <w:tcW w:w="1417" w:type="dxa"/>
            <w:hideMark/>
          </w:tcPr>
          <w:p w14:paraId="38A463CA"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41.7</w:t>
            </w:r>
          </w:p>
        </w:tc>
        <w:tc>
          <w:tcPr>
            <w:tcW w:w="1418" w:type="dxa"/>
            <w:hideMark/>
          </w:tcPr>
          <w:p w14:paraId="38A463CB"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54.2</w:t>
            </w:r>
          </w:p>
        </w:tc>
        <w:tc>
          <w:tcPr>
            <w:tcW w:w="1192" w:type="dxa"/>
          </w:tcPr>
          <w:p w14:paraId="38A463CC"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BC273E" w:rsidRPr="00FB60E5" w14:paraId="38A463D3" w14:textId="77777777" w:rsidTr="00F926FF">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CE" w14:textId="77777777" w:rsidR="00BC273E" w:rsidRPr="00FB60E5" w:rsidRDefault="00BC273E" w:rsidP="00AF6D9B">
            <w:pPr>
              <w:pStyle w:val="tabletext"/>
            </w:pPr>
          </w:p>
        </w:tc>
        <w:tc>
          <w:tcPr>
            <w:tcW w:w="2126" w:type="dxa"/>
            <w:hideMark/>
          </w:tcPr>
          <w:p w14:paraId="38A463CF"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Social (71.5)</w:t>
            </w:r>
          </w:p>
        </w:tc>
        <w:tc>
          <w:tcPr>
            <w:tcW w:w="1417" w:type="dxa"/>
            <w:hideMark/>
          </w:tcPr>
          <w:p w14:paraId="38A463D0"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41.7</w:t>
            </w:r>
          </w:p>
        </w:tc>
        <w:tc>
          <w:tcPr>
            <w:tcW w:w="1418" w:type="dxa"/>
            <w:hideMark/>
          </w:tcPr>
          <w:p w14:paraId="38A463D1"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58.3</w:t>
            </w:r>
          </w:p>
        </w:tc>
        <w:tc>
          <w:tcPr>
            <w:tcW w:w="1192" w:type="dxa"/>
          </w:tcPr>
          <w:p w14:paraId="38A463D2" w14:textId="77777777" w:rsidR="00BC273E" w:rsidRPr="00FB60E5" w:rsidRDefault="00BC273E" w:rsidP="00AF6D9B">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BC273E" w:rsidRPr="00FB60E5" w14:paraId="38A463D9" w14:textId="77777777" w:rsidTr="00F926FF">
        <w:trPr>
          <w:trHeight w:hRule="exact" w:val="340"/>
        </w:trPr>
        <w:tc>
          <w:tcPr>
            <w:cnfStyle w:val="001000000000" w:firstRow="0" w:lastRow="0" w:firstColumn="1" w:lastColumn="0" w:oddVBand="0" w:evenVBand="0" w:oddHBand="0" w:evenHBand="0" w:firstRowFirstColumn="0" w:firstRowLastColumn="0" w:lastRowFirstColumn="0" w:lastRowLastColumn="0"/>
            <w:tcW w:w="2802" w:type="dxa"/>
            <w:vMerge/>
          </w:tcPr>
          <w:p w14:paraId="38A463D4" w14:textId="77777777" w:rsidR="00BC273E" w:rsidRPr="00FB60E5" w:rsidRDefault="00BC273E" w:rsidP="00AF6D9B">
            <w:pPr>
              <w:pStyle w:val="tabletext"/>
            </w:pPr>
          </w:p>
        </w:tc>
        <w:tc>
          <w:tcPr>
            <w:tcW w:w="2126" w:type="dxa"/>
            <w:hideMark/>
          </w:tcPr>
          <w:p w14:paraId="38A463D5"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Environmental (75.1)</w:t>
            </w:r>
          </w:p>
        </w:tc>
        <w:tc>
          <w:tcPr>
            <w:tcW w:w="1417" w:type="dxa"/>
            <w:hideMark/>
          </w:tcPr>
          <w:p w14:paraId="38A463D6"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59.4</w:t>
            </w:r>
          </w:p>
        </w:tc>
        <w:tc>
          <w:tcPr>
            <w:tcW w:w="1418" w:type="dxa"/>
            <w:hideMark/>
          </w:tcPr>
          <w:p w14:paraId="38A463D7"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65.6</w:t>
            </w:r>
          </w:p>
        </w:tc>
        <w:tc>
          <w:tcPr>
            <w:tcW w:w="1192" w:type="dxa"/>
          </w:tcPr>
          <w:p w14:paraId="38A463D8" w14:textId="77777777" w:rsidR="00BC273E" w:rsidRPr="00FB60E5" w:rsidRDefault="00BC273E" w:rsidP="00AF6D9B">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bl>
    <w:p w14:paraId="38A463DC" w14:textId="5D555F95" w:rsidR="00072449" w:rsidRPr="00FB60E5" w:rsidRDefault="00072449" w:rsidP="00FB60E5">
      <w:pPr>
        <w:ind w:left="0"/>
      </w:pPr>
      <w:r w:rsidRPr="00FB60E5">
        <w:t>Using the standard deviations of Hawthorne et al.’s (2006) Australian general population sample, WHO-</w:t>
      </w:r>
      <w:r w:rsidR="00EE7A8F" w:rsidRPr="00FB60E5">
        <w:t>QOL</w:t>
      </w:r>
      <w:r w:rsidRPr="00FB60E5">
        <w:t xml:space="preserve"> scores on each domain were then recoded as significant improvement (i.e. &gt;</w:t>
      </w:r>
      <w:r w:rsidR="00D55D25" w:rsidRPr="00FB60E5">
        <w:t xml:space="preserve"> </w:t>
      </w:r>
      <w:r w:rsidRPr="00FB60E5">
        <w:t>1 SD increase), no significant change (&lt; 1 SD change), or significant deterioration (&gt; 1 SD decrease). This indicated that 37% of the followed-up sample improved on the psychological domain, 3</w:t>
      </w:r>
      <w:r w:rsidR="00D55D25" w:rsidRPr="00FB60E5">
        <w:t>6</w:t>
      </w:r>
      <w:r w:rsidRPr="00FB60E5">
        <w:t>% on the social domain, 33% on the environmental domain and 28% on the physical domain (</w:t>
      </w:r>
      <w:r w:rsidR="00BD7BD8">
        <w:fldChar w:fldCharType="begin"/>
      </w:r>
      <w:r w:rsidR="00BD7BD8">
        <w:instrText xml:space="preserve"> REF _Ref531625722 \h </w:instrText>
      </w:r>
      <w:r w:rsidR="00BD7BD8">
        <w:fldChar w:fldCharType="separate"/>
      </w:r>
      <w:r w:rsidR="00BD7BD8">
        <w:t xml:space="preserve">Figure </w:t>
      </w:r>
      <w:r w:rsidR="00BD7BD8">
        <w:rPr>
          <w:noProof/>
        </w:rPr>
        <w:t>3</w:t>
      </w:r>
      <w:r w:rsidR="00BD7BD8">
        <w:t>.</w:t>
      </w:r>
      <w:r w:rsidR="00BD7BD8">
        <w:rPr>
          <w:noProof/>
        </w:rPr>
        <w:t>8</w:t>
      </w:r>
      <w:r w:rsidR="00BD7BD8">
        <w:fldChar w:fldCharType="end"/>
      </w:r>
      <w:r w:rsidRPr="00FB60E5">
        <w:t>).</w:t>
      </w:r>
      <w:r w:rsidR="00033AEC" w:rsidRPr="00FB60E5">
        <w:t xml:space="preserve"> In summary this indicates that irrespective of PIT, treatment significantly improves quality of life for the majority of </w:t>
      </w:r>
      <w:r w:rsidR="00FF4A78" w:rsidRPr="00FB60E5">
        <w:t>participants</w:t>
      </w:r>
      <w:r w:rsidR="00033AEC" w:rsidRPr="00FB60E5">
        <w:t>.</w:t>
      </w:r>
    </w:p>
    <w:p w14:paraId="38A463DD" w14:textId="007AA858" w:rsidR="005A0C62" w:rsidRPr="00500201" w:rsidRDefault="00CA0650" w:rsidP="00500201">
      <w:r w:rsidRPr="00FB60E5">
        <w:rPr>
          <w:noProof/>
          <w:lang w:eastAsia="en-AU"/>
        </w:rPr>
        <w:drawing>
          <wp:inline distT="0" distB="0" distL="0" distR="0" wp14:anchorId="38A475FB" wp14:editId="38A475FC">
            <wp:extent cx="5500048" cy="2374711"/>
            <wp:effectExtent l="0" t="0" r="5715" b="6985"/>
            <wp:docPr id="25" name="Chart 7" descr="Column graph showing the direction of change in each WHO-QOL domain between baseline and follow-up." title="Figure 3.8  Direction of change in each WHO-QOL domain between baseline and follow-up"/>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8A463DE" w14:textId="1BBCA48F" w:rsidR="005A0C62" w:rsidRPr="00FB60E5" w:rsidRDefault="00BD7BD8" w:rsidP="00BD7BD8">
      <w:pPr>
        <w:pStyle w:val="Caption"/>
      </w:pPr>
      <w:bookmarkStart w:id="170" w:name="_Ref531625722"/>
      <w:bookmarkStart w:id="171" w:name="_Toc531625771"/>
      <w:proofErr w:type="gramStart"/>
      <w:r>
        <w:lastRenderedPageBreak/>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8</w:t>
      </w:r>
      <w:r>
        <w:fldChar w:fldCharType="end"/>
      </w:r>
      <w:bookmarkEnd w:id="170"/>
      <w:r w:rsidR="005A0C62" w:rsidRPr="00FB60E5">
        <w:t xml:space="preserve"> Direction of change in each WHO-</w:t>
      </w:r>
      <w:r w:rsidR="00EE7A8F" w:rsidRPr="00FB60E5">
        <w:t>QOL</w:t>
      </w:r>
      <w:r w:rsidR="005A0C62" w:rsidRPr="00FB60E5">
        <w:t xml:space="preserve"> domain</w:t>
      </w:r>
      <w:r w:rsidR="00033AEC" w:rsidRPr="00FB60E5">
        <w:t xml:space="preserve"> between baseline and follow-up</w:t>
      </w:r>
      <w:bookmarkEnd w:id="171"/>
    </w:p>
    <w:p w14:paraId="38A463DF" w14:textId="1B1EA765" w:rsidR="00072449" w:rsidRPr="00F926FF" w:rsidRDefault="00072449" w:rsidP="00882917">
      <w:pPr>
        <w:pStyle w:val="ListParagraph"/>
        <w:keepNext/>
        <w:numPr>
          <w:ilvl w:val="0"/>
          <w:numId w:val="16"/>
        </w:numPr>
        <w:ind w:left="714" w:hanging="357"/>
        <w:rPr>
          <w:rStyle w:val="SubtleEmphasis"/>
        </w:rPr>
      </w:pPr>
      <w:r w:rsidRPr="00F926FF">
        <w:rPr>
          <w:rStyle w:val="SubtleEmphasis"/>
        </w:rPr>
        <w:t>Defining unmet needs</w:t>
      </w:r>
    </w:p>
    <w:p w14:paraId="38A463E0" w14:textId="10859D5F" w:rsidR="00072449" w:rsidRPr="00FB60E5" w:rsidRDefault="001F0928" w:rsidP="00FB60E5">
      <w:pPr>
        <w:ind w:left="0"/>
      </w:pPr>
      <w:r w:rsidRPr="00FB60E5">
        <w:t>It was hypothesised that</w:t>
      </w:r>
      <w:r w:rsidR="002C27A8">
        <w:t xml:space="preserve"> </w:t>
      </w:r>
      <w:r w:rsidR="006D29AE" w:rsidRPr="00FB60E5">
        <w:t>participants</w:t>
      </w:r>
      <w:r w:rsidR="00072449" w:rsidRPr="00FB60E5">
        <w:t xml:space="preserve"> with more extensive AOD specialist treatment and greater engagement with community service would achieve better outcomes. However not all </w:t>
      </w:r>
      <w:r w:rsidR="00EE7A8F" w:rsidRPr="00FB60E5">
        <w:t>participants</w:t>
      </w:r>
      <w:r w:rsidR="00072449" w:rsidRPr="00FB60E5">
        <w:t xml:space="preserve"> would need to engage with all of the various community services examined. It was expected that </w:t>
      </w:r>
      <w:r w:rsidR="00EE7A8F" w:rsidRPr="00FB60E5">
        <w:t>participants</w:t>
      </w:r>
      <w:r w:rsidR="00072449" w:rsidRPr="00FB60E5">
        <w:t xml:space="preserve"> who were homeless or unemployed at baseline would achieve better outcomes if they engaged with employment/housing agencies during the one-year period, and that those who did not engage with these services would have had an on-going ‘unmet need’. As there was no measure of mental health morbidity at baseline, the psychological domain score on the WHO-</w:t>
      </w:r>
      <w:r w:rsidR="00EE7A8F" w:rsidRPr="00FB60E5">
        <w:t>QOL</w:t>
      </w:r>
      <w:r w:rsidR="00072449" w:rsidRPr="00FB60E5">
        <w:t xml:space="preserve"> was used as a proxy measure of psychological ill-health (&gt;</w:t>
      </w:r>
      <w:r w:rsidR="00D55D25" w:rsidRPr="00FB60E5">
        <w:t xml:space="preserve"> </w:t>
      </w:r>
      <w:r w:rsidR="00072449" w:rsidRPr="00FB60E5">
        <w:t xml:space="preserve">1.5 SD below Australian norms), with an expectation that those </w:t>
      </w:r>
      <w:r w:rsidR="00EE7A8F" w:rsidRPr="00FB60E5">
        <w:t>participant</w:t>
      </w:r>
      <w:r w:rsidR="00072449" w:rsidRPr="00FB60E5">
        <w:t>s would have done better had they engaged with mental health services and that there would be an unmet need in relation to mental health if they had not. In total, 25% of the sample was identified as having an unmet need for employment services, (3</w:t>
      </w:r>
      <w:r w:rsidR="00D55D25" w:rsidRPr="00FB60E5">
        <w:t>8</w:t>
      </w:r>
      <w:r w:rsidR="00072449" w:rsidRPr="00FB60E5">
        <w:t>% among long-term residential participants, 2</w:t>
      </w:r>
      <w:r w:rsidR="00D55D25" w:rsidRPr="00FB60E5">
        <w:t>1</w:t>
      </w:r>
      <w:r w:rsidR="00072449" w:rsidRPr="00FB60E5">
        <w:t>% among outpatient participants, and 2</w:t>
      </w:r>
      <w:r w:rsidR="00D55D25" w:rsidRPr="00FB60E5">
        <w:t>2</w:t>
      </w:r>
      <w:r w:rsidR="00072449" w:rsidRPr="00FB60E5">
        <w:t>% among acute withdrawal participants</w:t>
      </w:r>
      <w:r w:rsidR="00D55D25" w:rsidRPr="00FB60E5">
        <w:t>;</w:t>
      </w:r>
      <w:r w:rsidR="00072449" w:rsidRPr="00FB60E5">
        <w:t xml:space="preserve"> p &lt; .0</w:t>
      </w:r>
      <w:r w:rsidR="00D55D25" w:rsidRPr="00FB60E5">
        <w:t>0</w:t>
      </w:r>
      <w:r w:rsidR="00072449" w:rsidRPr="00FB60E5">
        <w:t>1). Unmet housing service needs were identified in 14% of the sample (1</w:t>
      </w:r>
      <w:r w:rsidR="000D6334" w:rsidRPr="00FB60E5">
        <w:t>5</w:t>
      </w:r>
      <w:r w:rsidR="00072449" w:rsidRPr="00FB60E5">
        <w:t>% among long-term residential participants, 12% among outpatient participants, and 15% among acute withdrawal participants</w:t>
      </w:r>
      <w:r w:rsidR="000D6334" w:rsidRPr="00FB60E5">
        <w:t>; p = .64</w:t>
      </w:r>
      <w:r w:rsidR="00072449" w:rsidRPr="00FB60E5">
        <w:t>). Unmet mental health service needs were identified in 34% of the sample (2</w:t>
      </w:r>
      <w:r w:rsidR="000D6334" w:rsidRPr="00FB60E5">
        <w:t>8</w:t>
      </w:r>
      <w:r w:rsidR="00072449" w:rsidRPr="00FB60E5">
        <w:t>% among long-term residential participants, 35% among outpatient participants, and 3</w:t>
      </w:r>
      <w:r w:rsidR="000D6334" w:rsidRPr="00FB60E5">
        <w:t>8</w:t>
      </w:r>
      <w:r w:rsidR="00072449" w:rsidRPr="00FB60E5">
        <w:t>% among acute withdrawal participants</w:t>
      </w:r>
      <w:r w:rsidR="000D6334" w:rsidRPr="00FB60E5">
        <w:t>; p = .13</w:t>
      </w:r>
      <w:r w:rsidR="00072449" w:rsidRPr="00FB60E5">
        <w:t>).</w:t>
      </w:r>
    </w:p>
    <w:p w14:paraId="38A463E1" w14:textId="77777777" w:rsidR="00072449" w:rsidRPr="00FB60E5" w:rsidRDefault="00072449" w:rsidP="00F926FF">
      <w:pPr>
        <w:pStyle w:val="Heading3"/>
      </w:pPr>
      <w:r w:rsidRPr="00FB60E5">
        <w:t>Predictors of treatment success</w:t>
      </w:r>
    </w:p>
    <w:p w14:paraId="38A463E2" w14:textId="77777777" w:rsidR="00072449" w:rsidRPr="00FB60E5" w:rsidRDefault="00072449" w:rsidP="00F926FF">
      <w:pPr>
        <w:pStyle w:val="Heading4"/>
      </w:pPr>
      <w:r w:rsidRPr="00FB60E5">
        <w:t>Demographic Predictors</w:t>
      </w:r>
    </w:p>
    <w:p w14:paraId="38A463E3" w14:textId="77777777" w:rsidR="00072449" w:rsidRPr="00FB60E5" w:rsidRDefault="00072449" w:rsidP="00FB60E5">
      <w:pPr>
        <w:ind w:left="0"/>
      </w:pPr>
      <w:r w:rsidRPr="00FB60E5">
        <w:t xml:space="preserve">Demographic and </w:t>
      </w:r>
      <w:r w:rsidR="00EE7A8F" w:rsidRPr="00FB60E5">
        <w:t>PDOC</w:t>
      </w:r>
      <w:r w:rsidRPr="00FB60E5">
        <w:t xml:space="preserve"> predictors (transformed age, gender, born in Australia, in marriage or de facto relationship at baseline, </w:t>
      </w:r>
      <w:r w:rsidR="00EE7A8F" w:rsidRPr="00FB60E5">
        <w:t>PDOC</w:t>
      </w:r>
      <w:r w:rsidRPr="00FB60E5">
        <w:t xml:space="preserve">, SDS score for </w:t>
      </w:r>
      <w:r w:rsidR="00EE7A8F" w:rsidRPr="00FB60E5">
        <w:t>PDOC</w:t>
      </w:r>
      <w:r w:rsidRPr="00FB60E5">
        <w:t xml:space="preserve"> &gt; 7) of treatment success (abstinence from </w:t>
      </w:r>
      <w:r w:rsidR="00EE7A8F" w:rsidRPr="00FB60E5">
        <w:t>PDOC</w:t>
      </w:r>
      <w:r w:rsidRPr="00FB60E5">
        <w:t xml:space="preserve"> or &gt; 50% reduction in frequency of use of </w:t>
      </w:r>
      <w:r w:rsidR="00EE7A8F" w:rsidRPr="00FB60E5">
        <w:t>PDOC</w:t>
      </w:r>
      <w:r w:rsidRPr="00FB60E5">
        <w:t xml:space="preserve"> relative to baseline rate of use) were first analysed with binary logistic regression. Being foreign-born was significantly associated with higher likelihood of treatment success (OR = 1.8</w:t>
      </w:r>
      <w:r w:rsidR="00D13F2D" w:rsidRPr="00FB60E5">
        <w:t>8</w:t>
      </w:r>
      <w:r w:rsidRPr="00FB60E5">
        <w:t>, CI = 1.1</w:t>
      </w:r>
      <w:r w:rsidR="00D13F2D" w:rsidRPr="00FB60E5">
        <w:t>9</w:t>
      </w:r>
      <w:r w:rsidRPr="00FB60E5">
        <w:t>-2.9</w:t>
      </w:r>
      <w:r w:rsidR="00D13F2D" w:rsidRPr="00FB60E5">
        <w:t>9</w:t>
      </w:r>
      <w:r w:rsidRPr="00FB60E5">
        <w:t xml:space="preserve">), as was </w:t>
      </w:r>
      <w:r w:rsidR="00EE7A8F" w:rsidRPr="00FB60E5">
        <w:t>PDOC</w:t>
      </w:r>
      <w:r w:rsidRPr="00FB60E5">
        <w:t xml:space="preserve"> (p &lt; .001). Compared with participants for whom alcohol was the </w:t>
      </w:r>
      <w:r w:rsidR="00EE7A8F" w:rsidRPr="00FB60E5">
        <w:t>PDOC</w:t>
      </w:r>
      <w:r w:rsidRPr="00FB60E5">
        <w:t xml:space="preserve">, participants with opioids (OR = </w:t>
      </w:r>
      <w:r w:rsidR="00D13F2D" w:rsidRPr="00FB60E5">
        <w:t>1.74</w:t>
      </w:r>
      <w:r w:rsidRPr="00FB60E5">
        <w:t>, CI = 1.</w:t>
      </w:r>
      <w:r w:rsidR="00D13F2D" w:rsidRPr="00FB60E5">
        <w:t>0</w:t>
      </w:r>
      <w:r w:rsidRPr="00FB60E5">
        <w:t>3-</w:t>
      </w:r>
      <w:r w:rsidR="00D13F2D" w:rsidRPr="00FB60E5">
        <w:t>2.93</w:t>
      </w:r>
      <w:r w:rsidRPr="00FB60E5">
        <w:t>) or meth</w:t>
      </w:r>
      <w:r w:rsidR="00E977AF" w:rsidRPr="00FB60E5">
        <w:t>/</w:t>
      </w:r>
      <w:r w:rsidRPr="00FB60E5">
        <w:t>amphetamine (OR = 3.</w:t>
      </w:r>
      <w:r w:rsidR="00D13F2D" w:rsidRPr="00FB60E5">
        <w:t>53</w:t>
      </w:r>
      <w:r w:rsidRPr="00FB60E5">
        <w:t xml:space="preserve">, CI = </w:t>
      </w:r>
      <w:r w:rsidR="00D13F2D" w:rsidRPr="00FB60E5">
        <w:t>2.00</w:t>
      </w:r>
      <w:r w:rsidRPr="00FB60E5">
        <w:t>-</w:t>
      </w:r>
      <w:r w:rsidR="00D13F2D" w:rsidRPr="00FB60E5">
        <w:t>6.22</w:t>
      </w:r>
      <w:r w:rsidRPr="00FB60E5">
        <w:t xml:space="preserve">) as the </w:t>
      </w:r>
      <w:r w:rsidR="00EE7A8F" w:rsidRPr="00FB60E5">
        <w:t>PDOC</w:t>
      </w:r>
      <w:r w:rsidRPr="00FB60E5">
        <w:t xml:space="preserve"> had increased likelihood of success. </w:t>
      </w:r>
      <w:r w:rsidR="00EE7A8F" w:rsidRPr="00FB60E5">
        <w:t>PDOC</w:t>
      </w:r>
      <w:r w:rsidRPr="00FB60E5">
        <w:t xml:space="preserve"> and being born in Australia were therefore included as predictors in the following analyses. (</w:t>
      </w:r>
      <w:r w:rsidR="005A0C62" w:rsidRPr="00FB60E5">
        <w:t>Appendix 2.4</w:t>
      </w:r>
      <w:r w:rsidRPr="00FB60E5">
        <w:t>)</w:t>
      </w:r>
    </w:p>
    <w:p w14:paraId="38A463E4" w14:textId="77777777" w:rsidR="00072449" w:rsidRPr="00FB60E5" w:rsidRDefault="00072449" w:rsidP="00F926FF">
      <w:pPr>
        <w:pStyle w:val="Heading4"/>
      </w:pPr>
      <w:r w:rsidRPr="00FB60E5">
        <w:t xml:space="preserve">Baseline Predictors (complexity, PIT and </w:t>
      </w:r>
      <w:r w:rsidR="00EE7A8F" w:rsidRPr="00FB60E5">
        <w:t>PDOC</w:t>
      </w:r>
      <w:r w:rsidRPr="00FB60E5">
        <w:t>)</w:t>
      </w:r>
    </w:p>
    <w:p w14:paraId="38A463E5" w14:textId="77777777" w:rsidR="00072449" w:rsidRPr="00FB60E5" w:rsidRDefault="00072449" w:rsidP="00FB60E5">
      <w:pPr>
        <w:ind w:left="0"/>
      </w:pPr>
      <w:r w:rsidRPr="00FB60E5">
        <w:t>The subsequent model examined treatment success with PIT type, PIT completion, unmet need in terms of employment, housing and mental health (meaning problem present at baseline but did not engage with the relevant service post-PIT), any post-PIT AOD service use</w:t>
      </w:r>
      <w:r w:rsidR="00851224" w:rsidRPr="00FB60E5">
        <w:t xml:space="preserve"> (including pharmacotherapy)</w:t>
      </w:r>
      <w:r w:rsidRPr="00FB60E5">
        <w:t>, any ‘other’ community service use (i.e. excluding housing, mental health and employment agencies), any mutual aid attendance</w:t>
      </w:r>
      <w:r w:rsidR="00851224" w:rsidRPr="00FB60E5">
        <w:t>,</w:t>
      </w:r>
      <w:r w:rsidRPr="00FB60E5">
        <w:t xml:space="preserve"> interval between baseline and follow-up (in days)</w:t>
      </w:r>
      <w:r w:rsidR="00851224" w:rsidRPr="00FB60E5">
        <w:t>, and transformed PIT duration</w:t>
      </w:r>
      <w:r w:rsidRPr="00FB60E5">
        <w:t>.</w:t>
      </w:r>
    </w:p>
    <w:p w14:paraId="38A463E6" w14:textId="77777777" w:rsidR="00072449" w:rsidRPr="00FB60E5" w:rsidRDefault="00072449" w:rsidP="00FB60E5">
      <w:pPr>
        <w:ind w:left="0"/>
      </w:pPr>
      <w:r w:rsidRPr="00FB60E5">
        <w:t xml:space="preserve">Having opioids (OR = </w:t>
      </w:r>
      <w:r w:rsidR="0084031D" w:rsidRPr="00FB60E5">
        <w:t>1.9</w:t>
      </w:r>
      <w:r w:rsidRPr="00FB60E5">
        <w:t>2, CI = 1.</w:t>
      </w:r>
      <w:r w:rsidR="0084031D" w:rsidRPr="00FB60E5">
        <w:t>08</w:t>
      </w:r>
      <w:r w:rsidRPr="00FB60E5">
        <w:t>-</w:t>
      </w:r>
      <w:r w:rsidR="0084031D" w:rsidRPr="00FB60E5">
        <w:t>3.42</w:t>
      </w:r>
      <w:r w:rsidRPr="00FB60E5">
        <w:t>), or meth</w:t>
      </w:r>
      <w:r w:rsidR="00E977AF" w:rsidRPr="00FB60E5">
        <w:t>/</w:t>
      </w:r>
      <w:r w:rsidRPr="00FB60E5">
        <w:t xml:space="preserve">amphetamine (OR = </w:t>
      </w:r>
      <w:r w:rsidR="0084031D" w:rsidRPr="00FB60E5">
        <w:t>4.05</w:t>
      </w:r>
      <w:r w:rsidRPr="00FB60E5">
        <w:t>, CI = 2.</w:t>
      </w:r>
      <w:r w:rsidR="0084031D" w:rsidRPr="00FB60E5">
        <w:t>2</w:t>
      </w:r>
      <w:r w:rsidRPr="00FB60E5">
        <w:t>1-7.</w:t>
      </w:r>
      <w:r w:rsidR="0084031D" w:rsidRPr="00FB60E5">
        <w:t>42</w:t>
      </w:r>
      <w:r w:rsidRPr="00FB60E5">
        <w:t xml:space="preserve">) relative to alcohol as the </w:t>
      </w:r>
      <w:r w:rsidR="00EE7A8F" w:rsidRPr="00FB60E5">
        <w:t>PDOC</w:t>
      </w:r>
      <w:r w:rsidRPr="00FB60E5">
        <w:t xml:space="preserve">, PIT-completion (OR = </w:t>
      </w:r>
      <w:r w:rsidR="00BA0016" w:rsidRPr="00FB60E5">
        <w:t>2.01</w:t>
      </w:r>
      <w:r w:rsidRPr="00FB60E5">
        <w:t>, CI = 1.</w:t>
      </w:r>
      <w:r w:rsidR="00BA0016" w:rsidRPr="00FB60E5">
        <w:t>27</w:t>
      </w:r>
      <w:r w:rsidRPr="00FB60E5">
        <w:t>-</w:t>
      </w:r>
      <w:r w:rsidR="00BA0016" w:rsidRPr="00FB60E5">
        <w:t>3.18</w:t>
      </w:r>
      <w:r w:rsidRPr="00FB60E5">
        <w:t>), and mutual aid attendance in the 12 months prior to follow-up (OR = 1.8</w:t>
      </w:r>
      <w:r w:rsidR="00BA0016" w:rsidRPr="00FB60E5">
        <w:t>0</w:t>
      </w:r>
      <w:r w:rsidRPr="00FB60E5">
        <w:t>, CI = 1.</w:t>
      </w:r>
      <w:r w:rsidR="00BA0016" w:rsidRPr="00FB60E5">
        <w:t>19</w:t>
      </w:r>
      <w:r w:rsidRPr="00FB60E5">
        <w:t>-2.</w:t>
      </w:r>
      <w:r w:rsidR="00BA0016" w:rsidRPr="00FB60E5">
        <w:t>72</w:t>
      </w:r>
      <w:r w:rsidRPr="00FB60E5">
        <w:t>) were significant predictors. Being foreign-born also predicted a higher likelihood of success (OR = 1.</w:t>
      </w:r>
      <w:r w:rsidR="00BA0016" w:rsidRPr="00FB60E5">
        <w:t>93</w:t>
      </w:r>
      <w:r w:rsidRPr="00FB60E5">
        <w:t>, CI = 1.1</w:t>
      </w:r>
      <w:r w:rsidR="00BA0016" w:rsidRPr="00FB60E5">
        <w:t>8</w:t>
      </w:r>
      <w:r w:rsidRPr="00FB60E5">
        <w:t>-3.</w:t>
      </w:r>
      <w:r w:rsidR="00BA0016" w:rsidRPr="00FB60E5">
        <w:t>16</w:t>
      </w:r>
      <w:r w:rsidRPr="00FB60E5">
        <w:t>), while a longer interval between baseline and follow-up was associated with reduced likelihood of success (OR = 0.99</w:t>
      </w:r>
      <w:r w:rsidR="00BA0016" w:rsidRPr="00FB60E5">
        <w:t>7</w:t>
      </w:r>
      <w:r w:rsidRPr="00FB60E5">
        <w:t>, CI = 0.994-0.999</w:t>
      </w:r>
      <w:r w:rsidR="00BA0016" w:rsidRPr="00FB60E5">
        <w:t>8</w:t>
      </w:r>
      <w:r w:rsidRPr="00FB60E5">
        <w:t>).</w:t>
      </w:r>
      <w:r w:rsidR="00BA0016" w:rsidRPr="00FB60E5">
        <w:t xml:space="preserve"> Surprisingly, after controlling for the effects of other variables, increased PIT duration predicted reduced likelihood of </w:t>
      </w:r>
      <w:r w:rsidR="00BA0016" w:rsidRPr="00FB60E5">
        <w:lastRenderedPageBreak/>
        <w:t>success (OR = 0.25, CI = 0.07-0.86</w:t>
      </w:r>
      <w:r w:rsidR="009E2862" w:rsidRPr="00FB60E5">
        <w:t>)</w:t>
      </w:r>
      <w:r w:rsidR="00BA0016" w:rsidRPr="00FB60E5">
        <w:t>.</w:t>
      </w:r>
      <w:r w:rsidRPr="00FB60E5">
        <w:t xml:space="preserve"> Unmet need</w:t>
      </w:r>
      <w:r w:rsidR="00D53EC0" w:rsidRPr="00FB60E5">
        <w:t>s</w:t>
      </w:r>
      <w:r w:rsidRPr="00FB60E5">
        <w:t>, attending AOD services post-PIT</w:t>
      </w:r>
      <w:r w:rsidR="00D53EC0" w:rsidRPr="00FB60E5">
        <w:t>,</w:t>
      </w:r>
      <w:r w:rsidRPr="00FB60E5">
        <w:t xml:space="preserve"> and community service engagement did not predict treatment success. However, the positive effect for mutual aid attendance is likely to reflect the high rates of (often mandatory) mutual aid attendance in the long-term residential group, since mutual aid was not a significant predictor when analyses were restricted to the other 2 PIT types</w:t>
      </w:r>
      <w:r w:rsidR="00801471" w:rsidRPr="00FB60E5">
        <w:t xml:space="preserve"> (Appendix 2.4)</w:t>
      </w:r>
      <w:r w:rsidR="00533B92" w:rsidRPr="00FB60E5">
        <w:t>.</w:t>
      </w:r>
    </w:p>
    <w:p w14:paraId="38A463E7" w14:textId="77777777" w:rsidR="00072449" w:rsidRPr="00FB60E5" w:rsidRDefault="00072449" w:rsidP="00B90486">
      <w:pPr>
        <w:pStyle w:val="Heading3"/>
      </w:pPr>
      <w:r w:rsidRPr="00FB60E5">
        <w:t xml:space="preserve">Predictors of abstinence from </w:t>
      </w:r>
      <w:r w:rsidR="00EE7A8F" w:rsidRPr="00FB60E5">
        <w:t>PDOC</w:t>
      </w:r>
    </w:p>
    <w:p w14:paraId="38A463E8" w14:textId="77777777" w:rsidR="00072449" w:rsidRPr="00FB60E5" w:rsidRDefault="00072449" w:rsidP="00B90486">
      <w:pPr>
        <w:pStyle w:val="Heading4"/>
      </w:pPr>
      <w:r w:rsidRPr="00FB60E5">
        <w:t>Demographic Predictors</w:t>
      </w:r>
    </w:p>
    <w:p w14:paraId="38A463E9" w14:textId="77777777" w:rsidR="00072449" w:rsidRPr="00FB60E5" w:rsidRDefault="00072449" w:rsidP="00FB60E5">
      <w:pPr>
        <w:ind w:left="0"/>
      </w:pPr>
      <w:r w:rsidRPr="00FB60E5">
        <w:t xml:space="preserve">Demographic and </w:t>
      </w:r>
      <w:r w:rsidR="00EE7A8F" w:rsidRPr="00FB60E5">
        <w:t>PDOC</w:t>
      </w:r>
      <w:r w:rsidRPr="00FB60E5">
        <w:t xml:space="preserve"> predictors (transformed age, gender, born in Australia, in marriage or de facto relationship at baseline, </w:t>
      </w:r>
      <w:r w:rsidR="00EE7A8F" w:rsidRPr="00FB60E5">
        <w:t>PDOC</w:t>
      </w:r>
      <w:r w:rsidRPr="00FB60E5">
        <w:t xml:space="preserve">, SDS score for </w:t>
      </w:r>
      <w:r w:rsidR="00EE7A8F" w:rsidRPr="00FB60E5">
        <w:t>PDOC</w:t>
      </w:r>
      <w:r w:rsidRPr="00FB60E5">
        <w:t xml:space="preserve"> &gt; 7) of abstinence from the </w:t>
      </w:r>
      <w:r w:rsidR="00EE7A8F" w:rsidRPr="00FB60E5">
        <w:t>PDOC</w:t>
      </w:r>
      <w:r w:rsidRPr="00FB60E5">
        <w:t xml:space="preserve"> were first analysed with binary logistic regression. </w:t>
      </w:r>
      <w:r w:rsidR="00EE7A8F" w:rsidRPr="00FB60E5">
        <w:t>PDOC</w:t>
      </w:r>
      <w:r w:rsidRPr="00FB60E5">
        <w:t xml:space="preserve"> was the only significant predictor of abstinence (p &lt; .001). Participants who reported opioids (OR = 2.38, CI = 1.41-4.00) or meth</w:t>
      </w:r>
      <w:r w:rsidR="00E977AF" w:rsidRPr="00FB60E5">
        <w:t>/</w:t>
      </w:r>
      <w:r w:rsidRPr="00FB60E5">
        <w:t xml:space="preserve">amphetamine (OR = 4.42, CI = 2.57-7.61) as their </w:t>
      </w:r>
      <w:r w:rsidR="00EE7A8F" w:rsidRPr="00FB60E5">
        <w:t>PDOC</w:t>
      </w:r>
      <w:r w:rsidRPr="00FB60E5">
        <w:t xml:space="preserve"> were more likely to</w:t>
      </w:r>
      <w:r w:rsidR="002A7D29" w:rsidRPr="00FB60E5">
        <w:t xml:space="preserve"> be</w:t>
      </w:r>
      <w:r w:rsidRPr="00FB60E5">
        <w:t xml:space="preserve"> abstinent than those who reported alcohol as their </w:t>
      </w:r>
      <w:r w:rsidR="00EE7A8F" w:rsidRPr="00FB60E5">
        <w:t>PDOC</w:t>
      </w:r>
      <w:r w:rsidRPr="00FB60E5">
        <w:t xml:space="preserve">. </w:t>
      </w:r>
      <w:r w:rsidR="00EE7A8F" w:rsidRPr="00FB60E5">
        <w:t>PDOC</w:t>
      </w:r>
      <w:r w:rsidRPr="00FB60E5">
        <w:t xml:space="preserve"> was therefore included in the following regression model</w:t>
      </w:r>
    </w:p>
    <w:p w14:paraId="38A463EB" w14:textId="77777777" w:rsidR="00072449" w:rsidRPr="00FB60E5" w:rsidRDefault="00072449" w:rsidP="00B90486">
      <w:pPr>
        <w:pStyle w:val="Heading4"/>
      </w:pPr>
      <w:r w:rsidRPr="00FB60E5">
        <w:t>Predictors (need and overall service engagement)</w:t>
      </w:r>
    </w:p>
    <w:p w14:paraId="0215CF37" w14:textId="77777777" w:rsidR="002C27A8" w:rsidRDefault="00072449" w:rsidP="00FB60E5">
      <w:pPr>
        <w:ind w:left="0"/>
      </w:pPr>
      <w:r w:rsidRPr="00FB60E5">
        <w:t xml:space="preserve">The model examined abstinence from the </w:t>
      </w:r>
      <w:r w:rsidR="00EE7A8F" w:rsidRPr="00FB60E5">
        <w:t>PDOC</w:t>
      </w:r>
      <w:r w:rsidRPr="00FB60E5">
        <w:t xml:space="preserve"> as the outcome with PIT type, PIT completion, unmet need in terms of employment, housing and mental health, any post-PIT AOD service use, any community service use (other than housing, mental health and employment agencies), any mutual aid attendance, interval between baseline and follow-up (in days), </w:t>
      </w:r>
      <w:r w:rsidR="00EE7A8F" w:rsidRPr="00FB60E5">
        <w:t>PDOC</w:t>
      </w:r>
      <w:r w:rsidR="002A7D29" w:rsidRPr="00FB60E5">
        <w:t>, and transformed PIT duration</w:t>
      </w:r>
      <w:r w:rsidRPr="00FB60E5">
        <w:t xml:space="preserve">. </w:t>
      </w:r>
      <w:r w:rsidR="00EE7A8F" w:rsidRPr="00FB60E5">
        <w:t>PDOC</w:t>
      </w:r>
      <w:r w:rsidRPr="00FB60E5">
        <w:t xml:space="preserve"> was again a significant predictor (p &lt; .001) and opioids (OR = 2.</w:t>
      </w:r>
      <w:r w:rsidR="00724661" w:rsidRPr="00FB60E5">
        <w:t>18</w:t>
      </w:r>
      <w:r w:rsidRPr="00FB60E5">
        <w:t>, CI = 1.</w:t>
      </w:r>
      <w:r w:rsidR="00724661" w:rsidRPr="00FB60E5">
        <w:t>21</w:t>
      </w:r>
      <w:r w:rsidRPr="00FB60E5">
        <w:t>-</w:t>
      </w:r>
      <w:r w:rsidR="00724661" w:rsidRPr="00FB60E5">
        <w:t>3</w:t>
      </w:r>
      <w:r w:rsidRPr="00FB60E5">
        <w:t>.9</w:t>
      </w:r>
      <w:r w:rsidR="00724661" w:rsidRPr="00FB60E5">
        <w:t>3</w:t>
      </w:r>
      <w:r w:rsidRPr="00FB60E5">
        <w:t>) and meth</w:t>
      </w:r>
      <w:r w:rsidR="00E977AF" w:rsidRPr="00FB60E5">
        <w:t>/</w:t>
      </w:r>
      <w:r w:rsidRPr="00FB60E5">
        <w:t>amphetamine (OR = 3.</w:t>
      </w:r>
      <w:r w:rsidR="00724661" w:rsidRPr="00FB60E5">
        <w:t>88</w:t>
      </w:r>
      <w:r w:rsidRPr="00FB60E5">
        <w:t>, CI = 2.</w:t>
      </w:r>
      <w:r w:rsidR="00724661" w:rsidRPr="00FB60E5">
        <w:t>18</w:t>
      </w:r>
      <w:r w:rsidRPr="00FB60E5">
        <w:t>-6.9</w:t>
      </w:r>
      <w:r w:rsidR="00724661" w:rsidRPr="00FB60E5">
        <w:t>1</w:t>
      </w:r>
      <w:r w:rsidRPr="00FB60E5">
        <w:t xml:space="preserve">) were again associated with higher rates of abstinence than alcohol. PIT type was also a significant predictor (p &lt; .001), with long-term residential treatment associated with significantly higher (OR = </w:t>
      </w:r>
      <w:r w:rsidR="00724661" w:rsidRPr="00FB60E5">
        <w:t>2.06</w:t>
      </w:r>
      <w:r w:rsidRPr="00FB60E5">
        <w:t>, CI = 1.1</w:t>
      </w:r>
      <w:r w:rsidR="00724661" w:rsidRPr="00FB60E5">
        <w:t>6</w:t>
      </w:r>
      <w:r w:rsidRPr="00FB60E5">
        <w:t>-3.</w:t>
      </w:r>
      <w:r w:rsidR="00724661" w:rsidRPr="00FB60E5">
        <w:t>6</w:t>
      </w:r>
      <w:r w:rsidRPr="00FB60E5">
        <w:t>6), and acute withdrawal with non-significantly lower (OR = 0.</w:t>
      </w:r>
      <w:r w:rsidR="00724661" w:rsidRPr="00FB60E5">
        <w:t>58</w:t>
      </w:r>
      <w:r w:rsidRPr="00FB60E5">
        <w:t>, CI = 0.</w:t>
      </w:r>
      <w:r w:rsidR="00724661" w:rsidRPr="00FB60E5">
        <w:t>28</w:t>
      </w:r>
      <w:r w:rsidRPr="00FB60E5">
        <w:t>-1.</w:t>
      </w:r>
      <w:r w:rsidR="00724661" w:rsidRPr="00FB60E5">
        <w:t>23</w:t>
      </w:r>
      <w:r w:rsidRPr="00FB60E5">
        <w:t>) rates of abstinence than outpatient treatment. PIT completion (OR = 2.</w:t>
      </w:r>
      <w:r w:rsidR="00724661" w:rsidRPr="00FB60E5">
        <w:t>73</w:t>
      </w:r>
      <w:r w:rsidRPr="00FB60E5">
        <w:t>, CI = 1.6</w:t>
      </w:r>
      <w:r w:rsidR="00724661" w:rsidRPr="00FB60E5">
        <w:t>6</w:t>
      </w:r>
      <w:r w:rsidRPr="00FB60E5">
        <w:t>-4.</w:t>
      </w:r>
      <w:r w:rsidR="00724661" w:rsidRPr="00FB60E5">
        <w:t>50</w:t>
      </w:r>
      <w:r w:rsidRPr="00FB60E5">
        <w:t>)</w:t>
      </w:r>
      <w:r w:rsidR="00724661" w:rsidRPr="00FB60E5">
        <w:t>,</w:t>
      </w:r>
      <w:r w:rsidRPr="00FB60E5">
        <w:t xml:space="preserve"> engagement in mutual aid in the 12 months prior to follow-up (OR = 1.6</w:t>
      </w:r>
      <w:r w:rsidR="00724661" w:rsidRPr="00FB60E5">
        <w:t>7</w:t>
      </w:r>
      <w:r w:rsidRPr="00FB60E5">
        <w:t>, CI = 1.</w:t>
      </w:r>
      <w:r w:rsidR="00724661" w:rsidRPr="00FB60E5">
        <w:t>09</w:t>
      </w:r>
      <w:r w:rsidRPr="00FB60E5">
        <w:t>-2.5</w:t>
      </w:r>
      <w:r w:rsidR="00724661" w:rsidRPr="00FB60E5">
        <w:t>7</w:t>
      </w:r>
      <w:r w:rsidRPr="00FB60E5">
        <w:t>)</w:t>
      </w:r>
      <w:r w:rsidR="00724661" w:rsidRPr="00FB60E5">
        <w:t>, and use of community services</w:t>
      </w:r>
      <w:r w:rsidR="00D64A0C" w:rsidRPr="00FB60E5">
        <w:t xml:space="preserve"> (OR = 1.56, CI = 1.04-2.34)</w:t>
      </w:r>
      <w:r w:rsidRPr="00FB60E5">
        <w:t xml:space="preserve"> also significantly predicted higher rates of abstinence.</w:t>
      </w:r>
      <w:r w:rsidR="00D64A0C" w:rsidRPr="00FB60E5">
        <w:t xml:space="preserve"> Surprisingly, having an unmet need for employment services also predicted increased likelihood of abstinence (OR = 1.67, CI = 1.07-2.62), though given the lack of temporal resolution to determine exactly when participants experienced unemployment and accessed employment services, this is difficult to interpret.</w:t>
      </w:r>
      <w:r w:rsidRPr="00FB60E5">
        <w:t xml:space="preserve"> As with treatment success, the effect of mutual aid appears to be largely driven by the high attendance rates in the long-term residential group. However, further univariate logistic regression analys</w:t>
      </w:r>
      <w:r w:rsidR="005F5581" w:rsidRPr="00FB60E5">
        <w:t>i</w:t>
      </w:r>
      <w:r w:rsidRPr="00FB60E5">
        <w:t xml:space="preserve">s indicated that, among those with any mutual aid attendance, a 10-fold increase in number of mutual aid meetings attended more than doubled the likelihood of achieving abstinence from their </w:t>
      </w:r>
      <w:r w:rsidR="00EE7A8F" w:rsidRPr="00FB60E5">
        <w:t>PDOC</w:t>
      </w:r>
      <w:r w:rsidRPr="00FB60E5">
        <w:t xml:space="preserve"> (OR = 2.</w:t>
      </w:r>
      <w:r w:rsidR="005F5581" w:rsidRPr="00FB60E5">
        <w:t>3</w:t>
      </w:r>
      <w:r w:rsidRPr="00FB60E5">
        <w:t>4, CI = 1.</w:t>
      </w:r>
      <w:r w:rsidR="005F5581" w:rsidRPr="00FB60E5">
        <w:t>58</w:t>
      </w:r>
      <w:r w:rsidRPr="00FB60E5">
        <w:t>-3.</w:t>
      </w:r>
      <w:r w:rsidR="005F5581" w:rsidRPr="00FB60E5">
        <w:t>49</w:t>
      </w:r>
      <w:r w:rsidRPr="00FB60E5">
        <w:t>)</w:t>
      </w:r>
      <w:r w:rsidR="002C27A8">
        <w:t>.</w:t>
      </w:r>
    </w:p>
    <w:p w14:paraId="38A463ED" w14:textId="11804CFA" w:rsidR="00072449" w:rsidRPr="00FB60E5" w:rsidRDefault="00072449" w:rsidP="00FB60E5">
      <w:pPr>
        <w:ind w:left="0"/>
      </w:pPr>
      <w:r w:rsidRPr="00FB60E5">
        <w:t xml:space="preserve">A consistent finding from the regression models is that </w:t>
      </w:r>
      <w:r w:rsidR="006D29AE" w:rsidRPr="00FB60E5">
        <w:t>participants</w:t>
      </w:r>
      <w:r w:rsidRPr="00FB60E5">
        <w:t xml:space="preserve"> with alcohol as their primary drug of concern are less likely to achieve reduction of use or abstinence than those with other </w:t>
      </w:r>
      <w:r w:rsidR="00EE7A8F" w:rsidRPr="00FB60E5">
        <w:t>PDOC</w:t>
      </w:r>
      <w:r w:rsidRPr="00FB60E5">
        <w:t>s (particularly opioids and meth</w:t>
      </w:r>
      <w:r w:rsidR="00E977AF" w:rsidRPr="00FB60E5">
        <w:t>/</w:t>
      </w:r>
      <w:r w:rsidRPr="00FB60E5">
        <w:t xml:space="preserve">amphetamine). Since </w:t>
      </w:r>
      <w:r w:rsidR="00EE7A8F" w:rsidRPr="00FB60E5">
        <w:t>PDOC</w:t>
      </w:r>
      <w:r w:rsidRPr="00FB60E5">
        <w:t xml:space="preserve"> was a significant predictor, the regression analyses</w:t>
      </w:r>
      <w:r w:rsidR="00903AA8" w:rsidRPr="00FB60E5">
        <w:t xml:space="preserve"> predicting abstinence from PDOC</w:t>
      </w:r>
      <w:r w:rsidRPr="00FB60E5">
        <w:t xml:space="preserve"> were re-run separately for </w:t>
      </w:r>
      <w:r w:rsidR="00903AA8" w:rsidRPr="00FB60E5">
        <w:t xml:space="preserve">those with </w:t>
      </w:r>
      <w:r w:rsidRPr="00FB60E5">
        <w:t>alcohol</w:t>
      </w:r>
      <w:r w:rsidR="00903AA8" w:rsidRPr="00FB60E5">
        <w:t xml:space="preserve"> as their PDOC</w:t>
      </w:r>
      <w:r w:rsidRPr="00FB60E5">
        <w:t xml:space="preserve"> and</w:t>
      </w:r>
      <w:r w:rsidR="00903AA8" w:rsidRPr="00FB60E5">
        <w:t xml:space="preserve"> those with other</w:t>
      </w:r>
      <w:r w:rsidRPr="00FB60E5">
        <w:t xml:space="preserve"> drugs</w:t>
      </w:r>
      <w:r w:rsidR="00903AA8" w:rsidRPr="00FB60E5">
        <w:t xml:space="preserve"> (other than tobacco) as their PDOC</w:t>
      </w:r>
      <w:r w:rsidRPr="00FB60E5">
        <w:t xml:space="preserve">. For </w:t>
      </w:r>
      <w:r w:rsidR="006D29AE" w:rsidRPr="00FB60E5">
        <w:t>participants</w:t>
      </w:r>
      <w:r w:rsidRPr="00FB60E5">
        <w:t xml:space="preserve"> with alcohol as their </w:t>
      </w:r>
      <w:r w:rsidR="00EE7A8F" w:rsidRPr="00FB60E5">
        <w:t>PDOC</w:t>
      </w:r>
      <w:r w:rsidRPr="00FB60E5">
        <w:t>, having residential rehabilitation as the PIT (OR</w:t>
      </w:r>
      <w:r w:rsidR="007713E9" w:rsidRPr="00FB60E5">
        <w:t xml:space="preserve"> </w:t>
      </w:r>
      <w:r w:rsidRPr="00FB60E5">
        <w:t>=</w:t>
      </w:r>
      <w:r w:rsidR="007713E9" w:rsidRPr="00FB60E5">
        <w:t xml:space="preserve"> </w:t>
      </w:r>
      <w:r w:rsidRPr="00FB60E5">
        <w:t>2.</w:t>
      </w:r>
      <w:r w:rsidR="007713E9" w:rsidRPr="00FB60E5">
        <w:t>79</w:t>
      </w:r>
      <w:r w:rsidRPr="00FB60E5">
        <w:t>, CI = 1.</w:t>
      </w:r>
      <w:r w:rsidR="007713E9" w:rsidRPr="00FB60E5">
        <w:t>07</w:t>
      </w:r>
      <w:r w:rsidRPr="00FB60E5">
        <w:t>-7.2</w:t>
      </w:r>
      <w:r w:rsidR="007713E9" w:rsidRPr="00FB60E5">
        <w:t>7</w:t>
      </w:r>
      <w:r w:rsidRPr="00FB60E5">
        <w:t xml:space="preserve">), attending ‘other’ community services (OR = </w:t>
      </w:r>
      <w:r w:rsidR="00561C06" w:rsidRPr="00FB60E5">
        <w:t>2.11</w:t>
      </w:r>
      <w:r w:rsidRPr="00FB60E5">
        <w:t>, CI = 1.</w:t>
      </w:r>
      <w:r w:rsidR="00561C06" w:rsidRPr="00FB60E5">
        <w:t>14</w:t>
      </w:r>
      <w:r w:rsidRPr="00FB60E5">
        <w:t>-3.</w:t>
      </w:r>
      <w:r w:rsidR="00561C06" w:rsidRPr="00FB60E5">
        <w:t>88</w:t>
      </w:r>
      <w:r w:rsidRPr="00FB60E5">
        <w:t xml:space="preserve">), and attending mutual aid (OR = </w:t>
      </w:r>
      <w:r w:rsidR="00561C06" w:rsidRPr="00FB60E5">
        <w:t>1.99</w:t>
      </w:r>
      <w:r w:rsidRPr="00FB60E5">
        <w:t>, CI = 1.</w:t>
      </w:r>
      <w:r w:rsidR="00561C06" w:rsidRPr="00FB60E5">
        <w:t>03</w:t>
      </w:r>
      <w:r w:rsidRPr="00FB60E5">
        <w:t>-</w:t>
      </w:r>
      <w:r w:rsidR="00561C06" w:rsidRPr="00FB60E5">
        <w:t>3.8</w:t>
      </w:r>
      <w:r w:rsidRPr="00FB60E5">
        <w:t xml:space="preserve">5) were predictors of increased likelihood of abstinence from </w:t>
      </w:r>
      <w:r w:rsidR="00EE7A8F" w:rsidRPr="00FB60E5">
        <w:t>PDOC</w:t>
      </w:r>
      <w:r w:rsidRPr="00FB60E5">
        <w:t>, while having an unmet housing service need (OR = 0.</w:t>
      </w:r>
      <w:r w:rsidR="00561C06" w:rsidRPr="00FB60E5">
        <w:t>2</w:t>
      </w:r>
      <w:r w:rsidRPr="00FB60E5">
        <w:t>3, CI = 0.0</w:t>
      </w:r>
      <w:r w:rsidR="00561C06" w:rsidRPr="00FB60E5">
        <w:t>6</w:t>
      </w:r>
      <w:r w:rsidRPr="00FB60E5">
        <w:t>-0.</w:t>
      </w:r>
      <w:r w:rsidR="00561C06" w:rsidRPr="00FB60E5">
        <w:t>86</w:t>
      </w:r>
      <w:r w:rsidRPr="00FB60E5">
        <w:t>) predicted decreased likelihood of abstinence.</w:t>
      </w:r>
    </w:p>
    <w:p w14:paraId="38A463EE" w14:textId="77777777" w:rsidR="00072449" w:rsidRPr="00FB60E5" w:rsidRDefault="00072449" w:rsidP="00FB60E5">
      <w:pPr>
        <w:ind w:left="0"/>
      </w:pPr>
      <w:r w:rsidRPr="00FB60E5">
        <w:lastRenderedPageBreak/>
        <w:t xml:space="preserve">When the </w:t>
      </w:r>
      <w:r w:rsidR="00EE7A8F" w:rsidRPr="00FB60E5">
        <w:t>PDOC</w:t>
      </w:r>
      <w:r w:rsidRPr="00FB60E5">
        <w:t xml:space="preserve"> was any substance other than alcohol or tobacco, completing the PIT (OR = 3.4</w:t>
      </w:r>
      <w:r w:rsidR="002E164C" w:rsidRPr="00FB60E5">
        <w:t>0</w:t>
      </w:r>
      <w:r w:rsidRPr="00FB60E5">
        <w:t>, CI = 1.</w:t>
      </w:r>
      <w:r w:rsidR="002E164C" w:rsidRPr="00FB60E5">
        <w:t>74</w:t>
      </w:r>
      <w:r w:rsidRPr="00FB60E5">
        <w:t>-6.</w:t>
      </w:r>
      <w:r w:rsidR="002E164C" w:rsidRPr="00FB60E5">
        <w:t>64</w:t>
      </w:r>
      <w:r w:rsidRPr="00FB60E5">
        <w:t>) predicted significantly higher likelihood of abstinence at follow-up. There was a significant overall effect of PIT type which appears to be due to the combined effect of non-significant trends for those with acute withdrawal as their PIT to be less (OR = 0.</w:t>
      </w:r>
      <w:r w:rsidR="002E164C" w:rsidRPr="00FB60E5">
        <w:t>40</w:t>
      </w:r>
      <w:r w:rsidRPr="00FB60E5">
        <w:t>, CI = 0.</w:t>
      </w:r>
      <w:r w:rsidR="002E164C" w:rsidRPr="00FB60E5">
        <w:t>15</w:t>
      </w:r>
      <w:r w:rsidRPr="00FB60E5">
        <w:t>-1.</w:t>
      </w:r>
      <w:r w:rsidR="002E164C" w:rsidRPr="00FB60E5">
        <w:t>07</w:t>
      </w:r>
      <w:r w:rsidRPr="00FB60E5">
        <w:t>), and those with long-term residential treatment as their PIT to be more likely (OR = 2.</w:t>
      </w:r>
      <w:r w:rsidR="002E164C" w:rsidRPr="00FB60E5">
        <w:t>1</w:t>
      </w:r>
      <w:r w:rsidRPr="00FB60E5">
        <w:t>0, CI = 0.97-4.</w:t>
      </w:r>
      <w:r w:rsidR="002E164C" w:rsidRPr="00FB60E5">
        <w:t>52</w:t>
      </w:r>
      <w:r w:rsidRPr="00FB60E5">
        <w:t xml:space="preserve">) to achieve abstinence than outpatient participants. The overall effect of </w:t>
      </w:r>
      <w:r w:rsidR="00EE7A8F" w:rsidRPr="00FB60E5">
        <w:t>PDOC</w:t>
      </w:r>
      <w:r w:rsidRPr="00FB60E5">
        <w:t xml:space="preserve"> did not reach significance (p = .0</w:t>
      </w:r>
      <w:r w:rsidR="002E164C" w:rsidRPr="00FB60E5">
        <w:t>6</w:t>
      </w:r>
      <w:r w:rsidRPr="00FB60E5">
        <w:t>), though it appeared that those with meth</w:t>
      </w:r>
      <w:r w:rsidR="00E977AF" w:rsidRPr="00FB60E5">
        <w:t>/</w:t>
      </w:r>
      <w:r w:rsidRPr="00FB60E5">
        <w:t xml:space="preserve">amphetamine as their </w:t>
      </w:r>
      <w:r w:rsidR="00EE7A8F" w:rsidRPr="00FB60E5">
        <w:t>PDOC</w:t>
      </w:r>
      <w:r w:rsidRPr="00FB60E5">
        <w:t xml:space="preserve"> were more likely to achieve abstinence than those with cannabis as their </w:t>
      </w:r>
      <w:r w:rsidR="00EE7A8F" w:rsidRPr="00FB60E5">
        <w:t>PDOC</w:t>
      </w:r>
      <w:r w:rsidRPr="00FB60E5">
        <w:t xml:space="preserve"> (OR = 2.</w:t>
      </w:r>
      <w:r w:rsidR="002E164C" w:rsidRPr="00FB60E5">
        <w:t>60</w:t>
      </w:r>
      <w:r w:rsidRPr="00FB60E5">
        <w:t>, CI = 1.</w:t>
      </w:r>
      <w:r w:rsidR="002E164C" w:rsidRPr="00FB60E5">
        <w:t>23</w:t>
      </w:r>
      <w:r w:rsidRPr="00FB60E5">
        <w:t>-5.</w:t>
      </w:r>
      <w:r w:rsidR="002E164C" w:rsidRPr="00FB60E5">
        <w:t>50</w:t>
      </w:r>
      <w:r w:rsidRPr="00FB60E5">
        <w:t>). Longer follow-up intervals</w:t>
      </w:r>
      <w:r w:rsidR="002E164C" w:rsidRPr="00FB60E5">
        <w:t xml:space="preserve"> (OR = 0.995, CI = 0.991-0.999) and, surprisingly, longer PIT duration</w:t>
      </w:r>
      <w:r w:rsidR="00A93A75" w:rsidRPr="00FB60E5">
        <w:t xml:space="preserve"> (OR = 0.16, CI = 0.03-0.81)</w:t>
      </w:r>
      <w:r w:rsidRPr="00FB60E5">
        <w:t xml:space="preserve"> were associated with lower rates of abstinence from the </w:t>
      </w:r>
      <w:r w:rsidR="00EE7A8F" w:rsidRPr="00FB60E5">
        <w:t>PDOC</w:t>
      </w:r>
      <w:r w:rsidR="002E164C" w:rsidRPr="00FB60E5">
        <w:t>.</w:t>
      </w:r>
    </w:p>
    <w:p w14:paraId="38A463EF" w14:textId="77777777" w:rsidR="00072449" w:rsidRPr="00FB60E5" w:rsidRDefault="00072449" w:rsidP="00D72123">
      <w:pPr>
        <w:pStyle w:val="Heading5"/>
      </w:pPr>
      <w:r w:rsidRPr="00FB60E5">
        <w:t xml:space="preserve">Characteristics of </w:t>
      </w:r>
      <w:r w:rsidR="008E0FD3" w:rsidRPr="00FB60E5">
        <w:t xml:space="preserve">participants </w:t>
      </w:r>
      <w:r w:rsidRPr="00FB60E5">
        <w:t>who attended Mutual Aid Groups</w:t>
      </w:r>
    </w:p>
    <w:p w14:paraId="3E9A5BF4" w14:textId="77777777" w:rsidR="002C27A8" w:rsidRDefault="00072449" w:rsidP="00FB60E5">
      <w:pPr>
        <w:ind w:left="0"/>
      </w:pPr>
      <w:r w:rsidRPr="00FB60E5">
        <w:t xml:space="preserve">The proportion of participants who attended mutual aid meetings increased from around one third of the sample in the year prior to baseline to </w:t>
      </w:r>
      <w:r w:rsidR="00FF19D3" w:rsidRPr="00FB60E5">
        <w:t>almost</w:t>
      </w:r>
      <w:r w:rsidRPr="00FB60E5">
        <w:t xml:space="preserve"> half in the year prior to follow-up, although some of these may have done so as part of their rehabilitation or aftercare programs. Mutual aid attendance was broken down into the different types of meetings attended. Alcoholics Anonymous was attended by 3</w:t>
      </w:r>
      <w:r w:rsidR="00EF67BE" w:rsidRPr="00FB60E5">
        <w:t>3</w:t>
      </w:r>
      <w:r w:rsidRPr="00FB60E5">
        <w:t>% of the follow-up sample, Narcotics Anonymous by 3</w:t>
      </w:r>
      <w:r w:rsidR="00EF67BE" w:rsidRPr="00FB60E5">
        <w:t>3</w:t>
      </w:r>
      <w:r w:rsidRPr="00FB60E5">
        <w:t xml:space="preserve">%, SMART Recovery by </w:t>
      </w:r>
      <w:r w:rsidR="00EF67BE" w:rsidRPr="00FB60E5">
        <w:t>5</w:t>
      </w:r>
      <w:r w:rsidRPr="00FB60E5">
        <w:t>% and '</w:t>
      </w:r>
      <w:r w:rsidR="00EF67BE" w:rsidRPr="00FB60E5">
        <w:t>o</w:t>
      </w:r>
      <w:r w:rsidRPr="00FB60E5">
        <w:t>ther' recovery groups by 5%. Among participants who attended any meetings in the 12 months prior to follow-up (n = 2</w:t>
      </w:r>
      <w:r w:rsidR="00EF67BE" w:rsidRPr="00FB60E5">
        <w:t>6</w:t>
      </w:r>
      <w:r w:rsidRPr="00FB60E5">
        <w:t>7), number of meetings attended ranged from 1-50</w:t>
      </w:r>
      <w:r w:rsidR="00EF67BE" w:rsidRPr="00FB60E5">
        <w:t>0</w:t>
      </w:r>
      <w:r w:rsidRPr="00FB60E5">
        <w:t xml:space="preserve"> (median = 20, IQR = 6-65). A logistic regression analysis was performed to identify characteristics of </w:t>
      </w:r>
      <w:r w:rsidR="006D29AE" w:rsidRPr="00FB60E5">
        <w:t>participants</w:t>
      </w:r>
      <w:r w:rsidRPr="00FB60E5">
        <w:t xml:space="preserve"> who attend Mutual Aid Groups in the year prior to follow-up, with the following entered as predictors; transformed age, gender, PIT-type, SDS score at baseline &gt; 7, </w:t>
      </w:r>
      <w:r w:rsidR="00EE7A8F" w:rsidRPr="00FB60E5">
        <w:t>PDOC</w:t>
      </w:r>
      <w:r w:rsidRPr="00FB60E5">
        <w:t xml:space="preserve">, any mutual aid group attendance at baseline, total perceived social support (median split), and total number of complexities (homelessness, unemployment, </w:t>
      </w:r>
      <w:r w:rsidR="00D2234B" w:rsidRPr="00FB60E5">
        <w:t>poor psychological quality of life</w:t>
      </w:r>
      <w:r w:rsidRPr="00FB60E5">
        <w:t xml:space="preserve">, poor physical </w:t>
      </w:r>
      <w:r w:rsidR="00D2234B" w:rsidRPr="00FB60E5">
        <w:t xml:space="preserve">quality of life, </w:t>
      </w:r>
      <w:r w:rsidRPr="00FB60E5">
        <w:t>and</w:t>
      </w:r>
      <w:r w:rsidR="00D2234B" w:rsidRPr="00FB60E5">
        <w:t xml:space="preserve"> current</w:t>
      </w:r>
      <w:r w:rsidRPr="00FB60E5">
        <w:t xml:space="preserve"> involve</w:t>
      </w:r>
      <w:r w:rsidR="00D2234B" w:rsidRPr="00FB60E5">
        <w:t>ment</w:t>
      </w:r>
      <w:r w:rsidRPr="00FB60E5">
        <w:t xml:space="preserve"> in the </w:t>
      </w:r>
      <w:r w:rsidR="00D2234B" w:rsidRPr="00FB60E5">
        <w:t xml:space="preserve">criminal justice </w:t>
      </w:r>
      <w:r w:rsidRPr="00FB60E5">
        <w:t>system; range 0-5; this variable met criteria to be considered normally distributed and was therefore included in logistic regression models without transformation)</w:t>
      </w:r>
      <w:r w:rsidR="002C27A8">
        <w:t>.</w:t>
      </w:r>
    </w:p>
    <w:p w14:paraId="6A95F8A4" w14:textId="77777777" w:rsidR="002C27A8" w:rsidRDefault="00072449" w:rsidP="00FB60E5">
      <w:pPr>
        <w:ind w:left="0"/>
      </w:pPr>
      <w:r w:rsidRPr="00FB60E5">
        <w:t>Those attending Mutual Aid groups at baseline were</w:t>
      </w:r>
      <w:r w:rsidR="009261E9" w:rsidRPr="00FB60E5">
        <w:t xml:space="preserve"> more than</w:t>
      </w:r>
      <w:r w:rsidRPr="00FB60E5">
        <w:t xml:space="preserve"> four times as likely to attend post-PIT (OR = 4.</w:t>
      </w:r>
      <w:r w:rsidR="009261E9" w:rsidRPr="00FB60E5">
        <w:t>60</w:t>
      </w:r>
      <w:r w:rsidRPr="00FB60E5">
        <w:t>, CI = 2.</w:t>
      </w:r>
      <w:r w:rsidR="009261E9" w:rsidRPr="00FB60E5">
        <w:t>99</w:t>
      </w:r>
      <w:r w:rsidRPr="00FB60E5">
        <w:t>-</w:t>
      </w:r>
      <w:r w:rsidR="009261E9" w:rsidRPr="00FB60E5">
        <w:t>7.05</w:t>
      </w:r>
      <w:r w:rsidRPr="00FB60E5">
        <w:t>). Participants with acute withdrawal as their PIT were more than twice as likely to attend as outpatient participants (OR = 2.</w:t>
      </w:r>
      <w:r w:rsidR="009261E9" w:rsidRPr="00FB60E5">
        <w:t>7</w:t>
      </w:r>
      <w:r w:rsidRPr="00FB60E5">
        <w:t>5, CI = 1.</w:t>
      </w:r>
      <w:r w:rsidR="0027718C" w:rsidRPr="00FB60E5">
        <w:t>71</w:t>
      </w:r>
      <w:r w:rsidRPr="00FB60E5">
        <w:t>-4.</w:t>
      </w:r>
      <w:r w:rsidR="0027718C" w:rsidRPr="00FB60E5">
        <w:t>4</w:t>
      </w:r>
      <w:r w:rsidRPr="00FB60E5">
        <w:t>1)</w:t>
      </w:r>
      <w:r w:rsidR="00806DDE" w:rsidRPr="00FB60E5">
        <w:t>,</w:t>
      </w:r>
      <w:r w:rsidRPr="00FB60E5">
        <w:t xml:space="preserve"> and residential rehabilitation </w:t>
      </w:r>
      <w:r w:rsidR="006D29AE" w:rsidRPr="00FB60E5">
        <w:t>participants</w:t>
      </w:r>
      <w:r w:rsidRPr="00FB60E5">
        <w:t xml:space="preserve"> </w:t>
      </w:r>
      <w:r w:rsidR="00806DDE" w:rsidRPr="00FB60E5">
        <w:t xml:space="preserve">were </w:t>
      </w:r>
      <w:r w:rsidR="0027718C" w:rsidRPr="00FB60E5">
        <w:t>nearly five</w:t>
      </w:r>
      <w:r w:rsidRPr="00FB60E5">
        <w:t xml:space="preserve"> times as likely to attend</w:t>
      </w:r>
      <w:r w:rsidR="00806DDE" w:rsidRPr="00FB60E5">
        <w:t xml:space="preserve"> compared to</w:t>
      </w:r>
      <w:r w:rsidR="002C27A8">
        <w:t xml:space="preserve"> </w:t>
      </w:r>
      <w:r w:rsidRPr="00FB60E5">
        <w:t>outpatient participants (OR</w:t>
      </w:r>
      <w:r w:rsidR="0027718C" w:rsidRPr="00FB60E5">
        <w:t xml:space="preserve"> </w:t>
      </w:r>
      <w:r w:rsidRPr="00FB60E5">
        <w:t>=</w:t>
      </w:r>
      <w:r w:rsidR="0027718C" w:rsidRPr="00FB60E5">
        <w:t xml:space="preserve"> 4</w:t>
      </w:r>
      <w:r w:rsidRPr="00FB60E5">
        <w:t>.</w:t>
      </w:r>
      <w:r w:rsidR="0027718C" w:rsidRPr="00FB60E5">
        <w:t>9</w:t>
      </w:r>
      <w:r w:rsidRPr="00FB60E5">
        <w:t>5, CI = 2.</w:t>
      </w:r>
      <w:r w:rsidR="0027718C" w:rsidRPr="00FB60E5">
        <w:t>85</w:t>
      </w:r>
      <w:r w:rsidRPr="00FB60E5">
        <w:t>-</w:t>
      </w:r>
      <w:r w:rsidR="0027718C" w:rsidRPr="00FB60E5">
        <w:t>8.60</w:t>
      </w:r>
      <w:r w:rsidRPr="00FB60E5">
        <w:t>). The only other significant predictor was severe dependence, as indexed by an SDS score &gt; 7: participants with severe dependence were more likely than those with a lower level of dependence to attend (OR = 2.</w:t>
      </w:r>
      <w:r w:rsidR="0027718C" w:rsidRPr="00FB60E5">
        <w:t>15</w:t>
      </w:r>
      <w:r w:rsidRPr="00FB60E5">
        <w:t>, CI = 1.1</w:t>
      </w:r>
      <w:r w:rsidR="0027718C" w:rsidRPr="00FB60E5">
        <w:t>4</w:t>
      </w:r>
      <w:r w:rsidRPr="00FB60E5">
        <w:t>-4.</w:t>
      </w:r>
      <w:r w:rsidR="0027718C" w:rsidRPr="00FB60E5">
        <w:t>03</w:t>
      </w:r>
      <w:r w:rsidRPr="00FB60E5">
        <w:t>)</w:t>
      </w:r>
      <w:r w:rsidR="00801471" w:rsidRPr="00FB60E5">
        <w:t xml:space="preserve"> (Appendix 2.4)</w:t>
      </w:r>
      <w:r w:rsidR="002C27A8">
        <w:t>.</w:t>
      </w:r>
    </w:p>
    <w:p w14:paraId="38A463F2" w14:textId="555CF7A9" w:rsidR="00072449" w:rsidRPr="00FB60E5" w:rsidRDefault="00072449" w:rsidP="00B90486">
      <w:pPr>
        <w:pStyle w:val="Heading3"/>
      </w:pPr>
      <w:r w:rsidRPr="00FB60E5">
        <w:t>Predictors of acute service use</w:t>
      </w:r>
    </w:p>
    <w:p w14:paraId="38A463F3" w14:textId="77777777" w:rsidR="00072449" w:rsidRPr="00FB60E5" w:rsidRDefault="00072449" w:rsidP="00B90486">
      <w:pPr>
        <w:pStyle w:val="Heading4"/>
      </w:pPr>
      <w:r w:rsidRPr="00FB60E5">
        <w:t>Demographic Predictors</w:t>
      </w:r>
    </w:p>
    <w:p w14:paraId="38A463F4" w14:textId="77777777" w:rsidR="00072449" w:rsidRPr="00FB60E5" w:rsidRDefault="00072449" w:rsidP="00FB60E5">
      <w:pPr>
        <w:ind w:left="0"/>
      </w:pPr>
      <w:r w:rsidRPr="00FB60E5">
        <w:t xml:space="preserve">We examined whether demographic or </w:t>
      </w:r>
      <w:r w:rsidR="00EE7A8F" w:rsidRPr="00FB60E5">
        <w:t>PDOC</w:t>
      </w:r>
      <w:r w:rsidRPr="00FB60E5">
        <w:t xml:space="preserve"> variables (transformed age, sex, whether or not in stable marital/de facto relationship, born in Australia, </w:t>
      </w:r>
      <w:r w:rsidR="00EE7A8F" w:rsidRPr="00FB60E5">
        <w:t>PDOC</w:t>
      </w:r>
      <w:r w:rsidRPr="00FB60E5">
        <w:t xml:space="preserve">, SDS score for </w:t>
      </w:r>
      <w:r w:rsidR="00EE7A8F" w:rsidRPr="00FB60E5">
        <w:t>PDOC</w:t>
      </w:r>
      <w:r w:rsidR="00801471" w:rsidRPr="00FB60E5">
        <w:t xml:space="preserve"> </w:t>
      </w:r>
      <w:r w:rsidR="001934F3" w:rsidRPr="00FB60E5">
        <w:t>&gt;</w:t>
      </w:r>
      <w:r w:rsidR="00CD0137" w:rsidRPr="00FB60E5">
        <w:t xml:space="preserve"> </w:t>
      </w:r>
      <w:r w:rsidR="00801471" w:rsidRPr="00FB60E5">
        <w:t>7</w:t>
      </w:r>
      <w:r w:rsidRPr="00FB60E5">
        <w:t>) predicted follow-up acute health service use (ambulance, emergency department, and/or hospital inpatient admission) after controlling for whether or not participants had used acute health services in the 12 months prior to baseline. Baseline acute health service use significantly increased likelihood of follow-up acute health service use (OR = 2.7</w:t>
      </w:r>
      <w:r w:rsidR="00CD0137" w:rsidRPr="00FB60E5">
        <w:t>5</w:t>
      </w:r>
      <w:r w:rsidRPr="00FB60E5">
        <w:t>, CI = 1.9</w:t>
      </w:r>
      <w:r w:rsidR="00CD0137" w:rsidRPr="00FB60E5">
        <w:t>1</w:t>
      </w:r>
      <w:r w:rsidRPr="00FB60E5">
        <w:t>-3.9</w:t>
      </w:r>
      <w:r w:rsidR="00CD0137" w:rsidRPr="00FB60E5">
        <w:t>4</w:t>
      </w:r>
      <w:r w:rsidRPr="00FB60E5">
        <w:t xml:space="preserve">). While the overall effect of </w:t>
      </w:r>
      <w:r w:rsidR="00EE7A8F" w:rsidRPr="00FB60E5">
        <w:t>PDOC</w:t>
      </w:r>
      <w:r w:rsidRPr="00FB60E5">
        <w:t xml:space="preserve"> was non-significant (p = .15), pair-wise comparisons between specific </w:t>
      </w:r>
      <w:r w:rsidR="00EE7A8F" w:rsidRPr="00FB60E5">
        <w:t>PDOC</w:t>
      </w:r>
      <w:r w:rsidRPr="00FB60E5">
        <w:t xml:space="preserve"> groupings involving the reference group (alcohol) suggested that </w:t>
      </w:r>
      <w:r w:rsidRPr="00FB60E5">
        <w:lastRenderedPageBreak/>
        <w:t xml:space="preserve">participants with opioids as their </w:t>
      </w:r>
      <w:r w:rsidR="00EE7A8F" w:rsidRPr="00FB60E5">
        <w:t>PDOC</w:t>
      </w:r>
      <w:r w:rsidRPr="00FB60E5">
        <w:t xml:space="preserve"> were less likely to use these services (OR = 0.5</w:t>
      </w:r>
      <w:r w:rsidR="00CD0137" w:rsidRPr="00FB60E5">
        <w:t>6</w:t>
      </w:r>
      <w:r w:rsidRPr="00FB60E5">
        <w:t>, CI = 0.34-0.9</w:t>
      </w:r>
      <w:r w:rsidR="00CD0137" w:rsidRPr="00FB60E5">
        <w:t>5</w:t>
      </w:r>
      <w:r w:rsidRPr="00FB60E5">
        <w:t xml:space="preserve">). </w:t>
      </w:r>
      <w:r w:rsidR="00EE7A8F" w:rsidRPr="00FB60E5">
        <w:t>PDOC</w:t>
      </w:r>
      <w:r w:rsidRPr="00FB60E5">
        <w:t xml:space="preserve"> was therefore selected for in</w:t>
      </w:r>
      <w:r w:rsidR="00801471" w:rsidRPr="00FB60E5">
        <w:t>clusion in the subsequent model (Appendix 2.4).</w:t>
      </w:r>
    </w:p>
    <w:p w14:paraId="38A463F5" w14:textId="77777777" w:rsidR="00072449" w:rsidRPr="00FB60E5" w:rsidRDefault="00072449" w:rsidP="00B90486">
      <w:pPr>
        <w:pStyle w:val="Heading4"/>
      </w:pPr>
      <w:r w:rsidRPr="00FB60E5">
        <w:t xml:space="preserve">Baseline Predictors (complexity, PIT and </w:t>
      </w:r>
      <w:r w:rsidR="00EE7A8F" w:rsidRPr="00FB60E5">
        <w:t>PDOC</w:t>
      </w:r>
      <w:r w:rsidRPr="00FB60E5">
        <w:t>)</w:t>
      </w:r>
    </w:p>
    <w:p w14:paraId="38A463F6" w14:textId="77777777" w:rsidR="002D0D87" w:rsidRPr="00FB60E5" w:rsidRDefault="00072449" w:rsidP="00FB60E5">
      <w:pPr>
        <w:ind w:left="0"/>
      </w:pPr>
      <w:r w:rsidRPr="00FB60E5">
        <w:t xml:space="preserve">The subsequent model examined likelihood of follow-up acute service use with PIT type, PIT completion (completed or still engaged vs. prematurely ended), the presence of housing, criminal justice, and employment issues (at baseline), poor physical and poor psychological </w:t>
      </w:r>
      <w:r w:rsidR="00EE7A8F" w:rsidRPr="00FB60E5">
        <w:t>QOL</w:t>
      </w:r>
      <w:r w:rsidRPr="00FB60E5">
        <w:t xml:space="preserve"> score (at baseline), interval between baseline and follow-up (in days), </w:t>
      </w:r>
      <w:r w:rsidR="00EE7A8F" w:rsidRPr="00FB60E5">
        <w:t>PDOC</w:t>
      </w:r>
      <w:r w:rsidR="00F2647B" w:rsidRPr="00FB60E5">
        <w:t>,</w:t>
      </w:r>
      <w:r w:rsidRPr="00FB60E5">
        <w:t xml:space="preserve"> and baseline acute health service use as a control variable. Having cannabis as a </w:t>
      </w:r>
      <w:r w:rsidR="00EE7A8F" w:rsidRPr="00FB60E5">
        <w:t>PDOC</w:t>
      </w:r>
      <w:r w:rsidRPr="00FB60E5">
        <w:t xml:space="preserve"> relative to alcohol (OR = 0.5</w:t>
      </w:r>
      <w:r w:rsidR="00F2647B" w:rsidRPr="00FB60E5">
        <w:t>3</w:t>
      </w:r>
      <w:r w:rsidRPr="00FB60E5">
        <w:t>, CI = 0.3</w:t>
      </w:r>
      <w:r w:rsidR="00F2647B" w:rsidRPr="00FB60E5">
        <w:t>1</w:t>
      </w:r>
      <w:r w:rsidRPr="00FB60E5">
        <w:t>-0.91), or opioids relative to alcohol (OR = 0.45, CI = 0.26-0.7</w:t>
      </w:r>
      <w:r w:rsidR="00F2647B" w:rsidRPr="00FB60E5">
        <w:t>6</w:t>
      </w:r>
      <w:r w:rsidRPr="00FB60E5">
        <w:t>), acute service use at baseline (OR = 2.8</w:t>
      </w:r>
      <w:r w:rsidR="00F2647B" w:rsidRPr="00FB60E5">
        <w:t>6</w:t>
      </w:r>
      <w:r w:rsidRPr="00FB60E5">
        <w:t>, CI = 1.9</w:t>
      </w:r>
      <w:r w:rsidR="000339FC" w:rsidRPr="00FB60E5">
        <w:t>7</w:t>
      </w:r>
      <w:r w:rsidRPr="00FB60E5">
        <w:t>-4.1</w:t>
      </w:r>
      <w:r w:rsidR="000339FC" w:rsidRPr="00FB60E5">
        <w:t>6</w:t>
      </w:r>
      <w:r w:rsidRPr="00FB60E5">
        <w:t xml:space="preserve">) and having poor physical </w:t>
      </w:r>
      <w:r w:rsidR="00EE7A8F" w:rsidRPr="00FB60E5">
        <w:t>QOL</w:t>
      </w:r>
      <w:r w:rsidRPr="00FB60E5">
        <w:t xml:space="preserve"> (OR = 1.57, CI = 1.02-2.4</w:t>
      </w:r>
      <w:r w:rsidR="000339FC" w:rsidRPr="00FB60E5">
        <w:t>1</w:t>
      </w:r>
      <w:r w:rsidRPr="00FB60E5">
        <w:t xml:space="preserve">), and follow-up interval (OR = 1.004, CI = 1.001-1.007) at baseline were the only significant predictors of follow-up acute service use. When the model was re-run with alcohol vs. other drugs as </w:t>
      </w:r>
      <w:r w:rsidR="00EE7A8F" w:rsidRPr="00FB60E5">
        <w:t>PDOC</w:t>
      </w:r>
      <w:r w:rsidRPr="00FB60E5">
        <w:t xml:space="preserve">, </w:t>
      </w:r>
      <w:r w:rsidR="006D29AE" w:rsidRPr="00FB60E5">
        <w:t>participants</w:t>
      </w:r>
      <w:r w:rsidRPr="00FB60E5">
        <w:t xml:space="preserve"> with alcohol as their </w:t>
      </w:r>
      <w:r w:rsidR="00EE7A8F" w:rsidRPr="00FB60E5">
        <w:t>PDOC</w:t>
      </w:r>
      <w:r w:rsidRPr="00FB60E5">
        <w:t xml:space="preserve"> were almost twice as likely (OR = 1.8</w:t>
      </w:r>
      <w:r w:rsidR="000339FC" w:rsidRPr="00FB60E5">
        <w:t>5</w:t>
      </w:r>
      <w:r w:rsidRPr="00FB60E5">
        <w:t>, CI = 1.2</w:t>
      </w:r>
      <w:r w:rsidR="000339FC" w:rsidRPr="00FB60E5">
        <w:t>7</w:t>
      </w:r>
      <w:r w:rsidRPr="00FB60E5">
        <w:t>-2.6</w:t>
      </w:r>
      <w:r w:rsidR="000339FC" w:rsidRPr="00FB60E5">
        <w:t>9</w:t>
      </w:r>
      <w:r w:rsidRPr="00FB60E5">
        <w:t xml:space="preserve">) to have used acute services post-PIT than those with other drugs as their </w:t>
      </w:r>
      <w:r w:rsidR="00EE7A8F" w:rsidRPr="00FB60E5">
        <w:t>PDOC</w:t>
      </w:r>
      <w:r w:rsidRPr="00FB60E5">
        <w:t>, after controlling for other variables in the model</w:t>
      </w:r>
      <w:r w:rsidR="00801471" w:rsidRPr="00FB60E5">
        <w:t xml:space="preserve"> (Appendix 2.4).</w:t>
      </w:r>
    </w:p>
    <w:p w14:paraId="482A7473" w14:textId="77777777" w:rsidR="00BB0E5E" w:rsidRDefault="00072449" w:rsidP="00B90486">
      <w:pPr>
        <w:pStyle w:val="Heading3"/>
      </w:pPr>
      <w:r w:rsidRPr="00B90486">
        <w:t>Continuity in AOD specialist treatment</w:t>
      </w:r>
    </w:p>
    <w:p w14:paraId="38A463F8" w14:textId="328C3718" w:rsidR="00072449" w:rsidRPr="00FB60E5" w:rsidRDefault="00072449" w:rsidP="00FB60E5">
      <w:pPr>
        <w:ind w:left="0"/>
      </w:pPr>
      <w:r w:rsidRPr="00FB60E5">
        <w:t>Participants were recoded as having had continuity in AOD treatment or not</w:t>
      </w:r>
      <w:r w:rsidR="00806DDE" w:rsidRPr="00FB60E5">
        <w:t>,</w:t>
      </w:r>
      <w:r w:rsidRPr="00FB60E5">
        <w:t xml:space="preserve"> specific to their PIT. For participants whose PIT was acute withdrawal, 1 “treatment continuity” point was awarded for having outpatient counselling pre-PIT, and one further point awarded for either residential rehabilitation or counselling post-PIT. For outpatients, 1 point was awarded for any pre-PIT </w:t>
      </w:r>
      <w:proofErr w:type="spellStart"/>
      <w:r w:rsidRPr="00FB60E5">
        <w:t>AoD</w:t>
      </w:r>
      <w:proofErr w:type="spellEnd"/>
      <w:r w:rsidRPr="00FB60E5">
        <w:t xml:space="preserve"> service attendance and 1 point for any post-PIT </w:t>
      </w:r>
      <w:proofErr w:type="spellStart"/>
      <w:r w:rsidRPr="00FB60E5">
        <w:t>AoD</w:t>
      </w:r>
      <w:proofErr w:type="spellEnd"/>
      <w:r w:rsidRPr="00FB60E5">
        <w:t xml:space="preserve"> service</w:t>
      </w:r>
      <w:r w:rsidR="00C66843" w:rsidRPr="00FB60E5">
        <w:t xml:space="preserve"> (pharmacotherapy was not counted for this purpose)</w:t>
      </w:r>
      <w:r w:rsidRPr="00FB60E5">
        <w:t>. For participants whose PIT was long-term residential treatment, 1 point was awarded for counselling or acute withdrawal pre-PIT and 1 point for counselling post-PIT. Continuity scores were therefore 0 (PIT-only), 1 (PIT + relevant treatment before or after) and 2 (PIT + relevant treatment both before and after)</w:t>
      </w:r>
      <w:r w:rsidR="00103C93" w:rsidRPr="00FB60E5">
        <w:t>.</w:t>
      </w:r>
      <w:r w:rsidRPr="00FB60E5">
        <w:t xml:space="preserve"> A chi-square test found no significant association between this continuity score and treatment success (abstinent</w:t>
      </w:r>
      <w:r w:rsidR="00C66843" w:rsidRPr="00FB60E5">
        <w:t xml:space="preserve"> from PDOC</w:t>
      </w:r>
      <w:r w:rsidRPr="00FB60E5">
        <w:t xml:space="preserve"> or</w:t>
      </w:r>
      <w:r w:rsidR="00C66843" w:rsidRPr="00FB60E5">
        <w:t xml:space="preserve"> at least</w:t>
      </w:r>
      <w:r w:rsidRPr="00FB60E5">
        <w:t xml:space="preserve"> 50% reduction in </w:t>
      </w:r>
      <w:r w:rsidR="00C66843" w:rsidRPr="00FB60E5">
        <w:t>days used PDOC; p = .52</w:t>
      </w:r>
      <w:r w:rsidRPr="00FB60E5">
        <w:t>),</w:t>
      </w:r>
      <w:r w:rsidR="00C66843" w:rsidRPr="00FB60E5">
        <w:t xml:space="preserve"> PDOC abstinence (p = .17), or abstinence from all DOCs (p = .17)</w:t>
      </w:r>
      <w:r w:rsidR="00801471" w:rsidRPr="00FB60E5">
        <w:t>.</w:t>
      </w:r>
      <w:r w:rsidR="00D66329" w:rsidRPr="00FB60E5">
        <w:t xml:space="preserve"> </w:t>
      </w:r>
      <w:r w:rsidR="00C66843" w:rsidRPr="00FB60E5">
        <w:t>W</w:t>
      </w:r>
      <w:r w:rsidRPr="00FB60E5">
        <w:t xml:space="preserve">hen attendance at mutual aid was added to the pathway (i.e. earning an extra one point in the AOD continuity score), </w:t>
      </w:r>
      <w:r w:rsidR="00C66843" w:rsidRPr="00FB60E5">
        <w:t>PDOC success and abstinence again did not differ by score (</w:t>
      </w:r>
      <w:proofErr w:type="spellStart"/>
      <w:r w:rsidR="00C66843" w:rsidRPr="00FB60E5">
        <w:t>ps</w:t>
      </w:r>
      <w:proofErr w:type="spellEnd"/>
      <w:r w:rsidR="00C66843" w:rsidRPr="00FB60E5">
        <w:t xml:space="preserve"> = .82 and .07, respectively)</w:t>
      </w:r>
      <w:r w:rsidRPr="00FB60E5">
        <w:t>,</w:t>
      </w:r>
      <w:r w:rsidR="00C66843" w:rsidRPr="00FB60E5">
        <w:t xml:space="preserve"> but</w:t>
      </w:r>
      <w:r w:rsidRPr="00FB60E5">
        <w:t xml:space="preserve"> abstinence rates from all DOCs were significantly higher for those with more extended AOD </w:t>
      </w:r>
      <w:r w:rsidR="000608DA" w:rsidRPr="00FB60E5">
        <w:t xml:space="preserve">treatment </w:t>
      </w:r>
      <w:r w:rsidRPr="00FB60E5">
        <w:t>pathways (</w:t>
      </w:r>
      <w:r w:rsidR="000608DA" w:rsidRPr="00FB60E5">
        <w:t>18</w:t>
      </w:r>
      <w:r w:rsidRPr="00FB60E5">
        <w:t xml:space="preserve">%, 29%, 31%, and </w:t>
      </w:r>
      <w:r w:rsidR="000608DA" w:rsidRPr="00FB60E5">
        <w:t>37</w:t>
      </w:r>
      <w:r w:rsidRPr="00FB60E5">
        <w:t>%, respectively, for those scoring 0, 1, 2, and 3, p &lt; .05)</w:t>
      </w:r>
      <w:r w:rsidR="00801471" w:rsidRPr="00FB60E5">
        <w:t>.</w:t>
      </w:r>
    </w:p>
    <w:p w14:paraId="38A463F9" w14:textId="77777777" w:rsidR="00072449" w:rsidRPr="00FB60E5" w:rsidRDefault="00072449" w:rsidP="00B23FC2">
      <w:pPr>
        <w:pStyle w:val="Heading3"/>
      </w:pPr>
      <w:r w:rsidRPr="00FB60E5">
        <w:t>Optimal care pathways as predictor of outcome</w:t>
      </w:r>
    </w:p>
    <w:p w14:paraId="38A463FA" w14:textId="6EF8AEDE" w:rsidR="00072449" w:rsidRPr="00FB60E5" w:rsidRDefault="00072449" w:rsidP="00FB60E5">
      <w:pPr>
        <w:ind w:left="0"/>
      </w:pPr>
      <w:r w:rsidRPr="00FB60E5">
        <w:t>Participants were assigned an optimal care pathway score based on the following; having had relevant pre-PIT AOD specialist treatment (1 point), completing their PIT (1 point), having had relevant post-PIT AOD specialist treatment (1 point), engaging in other community services (except housing, employment and mental health services) (1 point), engaging in mutual aid in the year prior to follow-up (1 point) and with a point deducted for having any unmet needs (i.e. housing, legal or psychological problems for which they did not attend the relevant services). This gave an optimal care pathway score ranging from -1 (meaning they only had their PIT plus some unmet need) to 5 (optimal care pathway)</w:t>
      </w:r>
      <w:r w:rsidR="00801471" w:rsidRPr="00FB60E5">
        <w:t xml:space="preserve"> (see </w:t>
      </w:r>
      <w:r w:rsidR="00BD7BD8">
        <w:fldChar w:fldCharType="begin"/>
      </w:r>
      <w:r w:rsidR="00BD7BD8">
        <w:instrText xml:space="preserve"> REF _Ref531625740 \h </w:instrText>
      </w:r>
      <w:r w:rsidR="00BD7BD8">
        <w:fldChar w:fldCharType="separate"/>
      </w:r>
      <w:r w:rsidR="00BD7BD8">
        <w:t xml:space="preserve">Figure </w:t>
      </w:r>
      <w:r w:rsidR="00BD7BD8">
        <w:rPr>
          <w:noProof/>
        </w:rPr>
        <w:t>3</w:t>
      </w:r>
      <w:r w:rsidR="00BD7BD8">
        <w:t>.</w:t>
      </w:r>
      <w:r w:rsidR="00BD7BD8">
        <w:rPr>
          <w:noProof/>
        </w:rPr>
        <w:t>9</w:t>
      </w:r>
      <w:r w:rsidR="00BD7BD8">
        <w:fldChar w:fldCharType="end"/>
      </w:r>
      <w:r w:rsidR="00801471" w:rsidRPr="00FB60E5">
        <w:t>)</w:t>
      </w:r>
      <w:r w:rsidRPr="00FB60E5">
        <w:t>. This variable met our criteria to be considered normally-distributed and was therefore included in logistic regression models without transformation</w:t>
      </w:r>
      <w:r w:rsidR="00801471" w:rsidRPr="00FB60E5">
        <w:t>.</w:t>
      </w:r>
    </w:p>
    <w:p w14:paraId="38A463FB" w14:textId="77777777" w:rsidR="00072449" w:rsidRPr="00FB60E5" w:rsidRDefault="00072449" w:rsidP="00FB60E5">
      <w:pPr>
        <w:ind w:left="0"/>
      </w:pPr>
      <w:r w:rsidRPr="00FB60E5">
        <w:rPr>
          <w:noProof/>
          <w:lang w:eastAsia="en-AU"/>
        </w:rPr>
        <w:lastRenderedPageBreak/>
        <w:drawing>
          <wp:inline distT="0" distB="0" distL="0" distR="0" wp14:anchorId="38A475FD" wp14:editId="38A475FE">
            <wp:extent cx="3636335" cy="2317898"/>
            <wp:effectExtent l="0" t="0" r="2540" b="6350"/>
            <wp:docPr id="2" name="Chart 2" descr="Figure 3.9  Proportion of participants receiving the various levels of optimal care pathways" title="Figure 3.9  Proportion of participants receiving the various levels of optimal care pathways"/>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8A463FC" w14:textId="6825222E" w:rsidR="00072449" w:rsidRPr="00FB60E5" w:rsidRDefault="00BD7BD8" w:rsidP="00BD7BD8">
      <w:pPr>
        <w:pStyle w:val="Caption"/>
      </w:pPr>
      <w:bookmarkStart w:id="172" w:name="_Ref531625740"/>
      <w:bookmarkStart w:id="173" w:name="_Toc531625772"/>
      <w:proofErr w:type="gramStart"/>
      <w:r>
        <w:t xml:space="preserve">Figure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Figure \* ARABIC \s 1 </w:instrText>
      </w:r>
      <w:r>
        <w:fldChar w:fldCharType="separate"/>
      </w:r>
      <w:r>
        <w:rPr>
          <w:noProof/>
        </w:rPr>
        <w:t>9</w:t>
      </w:r>
      <w:r>
        <w:fldChar w:fldCharType="end"/>
      </w:r>
      <w:bookmarkEnd w:id="172"/>
      <w:r w:rsidR="00B90486">
        <w:t xml:space="preserve"> </w:t>
      </w:r>
      <w:r w:rsidR="00072449" w:rsidRPr="00FB60E5">
        <w:t xml:space="preserve">Proportion of </w:t>
      </w:r>
      <w:r w:rsidR="006D29AE" w:rsidRPr="00FB60E5">
        <w:t xml:space="preserve">participants </w:t>
      </w:r>
      <w:r w:rsidR="00072449" w:rsidRPr="00FB60E5">
        <w:t>receiving the various levels of optimal care pathways</w:t>
      </w:r>
      <w:bookmarkEnd w:id="173"/>
    </w:p>
    <w:p w14:paraId="38A463FE" w14:textId="77777777" w:rsidR="00072449" w:rsidRPr="00FB60E5" w:rsidRDefault="00072449" w:rsidP="00FB60E5">
      <w:pPr>
        <w:ind w:left="0"/>
      </w:pPr>
      <w:r w:rsidRPr="00FB60E5">
        <w:t>The optimal care pathway score was significantly higher (mean = 2.</w:t>
      </w:r>
      <w:r w:rsidR="00F80EF8" w:rsidRPr="00FB60E5">
        <w:t>5</w:t>
      </w:r>
      <w:r w:rsidRPr="00FB60E5">
        <w:t xml:space="preserve"> versus 2.</w:t>
      </w:r>
      <w:r w:rsidR="00F80EF8" w:rsidRPr="00FB60E5">
        <w:t>2</w:t>
      </w:r>
      <w:r w:rsidRPr="00FB60E5">
        <w:t xml:space="preserve">), among </w:t>
      </w:r>
      <w:r w:rsidR="006D29AE" w:rsidRPr="00FB60E5">
        <w:t>participants</w:t>
      </w:r>
      <w:r w:rsidRPr="00FB60E5">
        <w:t xml:space="preserve"> who were abstinent</w:t>
      </w:r>
      <w:r w:rsidR="00F80EF8" w:rsidRPr="00FB60E5">
        <w:t xml:space="preserve"> from their PDOC</w:t>
      </w:r>
      <w:r w:rsidRPr="00FB60E5">
        <w:t xml:space="preserve"> at follow-up than those who were still using their </w:t>
      </w:r>
      <w:r w:rsidR="00EE7A8F" w:rsidRPr="00FB60E5">
        <w:t>PDOC</w:t>
      </w:r>
      <w:r w:rsidRPr="00FB60E5">
        <w:t>, (p</w:t>
      </w:r>
      <w:r w:rsidR="00F80EF8" w:rsidRPr="00FB60E5">
        <w:t xml:space="preserve"> </w:t>
      </w:r>
      <w:r w:rsidRPr="00FB60E5">
        <w:t>&lt;</w:t>
      </w:r>
      <w:r w:rsidR="00F80EF8" w:rsidRPr="00FB60E5">
        <w:t xml:space="preserve"> </w:t>
      </w:r>
      <w:r w:rsidRPr="00FB60E5">
        <w:t xml:space="preserve">.01), </w:t>
      </w:r>
      <w:r w:rsidR="005E589A" w:rsidRPr="00FB60E5">
        <w:t>but did not differ</w:t>
      </w:r>
      <w:r w:rsidRPr="00FB60E5">
        <w:t xml:space="preserve"> significantly </w:t>
      </w:r>
      <w:r w:rsidR="005E589A" w:rsidRPr="00FB60E5">
        <w:t>between</w:t>
      </w:r>
      <w:r w:rsidRPr="00FB60E5">
        <w:t xml:space="preserve"> those who were a treatment success than those who were not (</w:t>
      </w:r>
      <w:r w:rsidR="005E589A" w:rsidRPr="00FB60E5">
        <w:t xml:space="preserve">mean = 2.4 versus 2.2; </w:t>
      </w:r>
      <w:r w:rsidRPr="00FB60E5">
        <w:t>p</w:t>
      </w:r>
      <w:r w:rsidR="00F80EF8" w:rsidRPr="00FB60E5">
        <w:t xml:space="preserve"> </w:t>
      </w:r>
      <w:r w:rsidR="005E589A" w:rsidRPr="00FB60E5">
        <w:t>=</w:t>
      </w:r>
      <w:r w:rsidR="00F80EF8" w:rsidRPr="00FB60E5">
        <w:t xml:space="preserve"> </w:t>
      </w:r>
      <w:r w:rsidRPr="00FB60E5">
        <w:t>.</w:t>
      </w:r>
      <w:r w:rsidR="005E589A" w:rsidRPr="00FB60E5">
        <w:t>1</w:t>
      </w:r>
      <w:r w:rsidRPr="00FB60E5">
        <w:t>5). This suggests that individuals who receive more components of this care pathway are more likely to achieve abstinence.</w:t>
      </w:r>
    </w:p>
    <w:p w14:paraId="38A463FF" w14:textId="77777777" w:rsidR="00072449" w:rsidRPr="00FB60E5" w:rsidRDefault="00072449" w:rsidP="00FB60E5">
      <w:pPr>
        <w:ind w:left="0"/>
      </w:pPr>
      <w:r w:rsidRPr="00FB60E5">
        <w:t xml:space="preserve">The final analysis examined predictors of abstinence from the </w:t>
      </w:r>
      <w:r w:rsidR="00EE7A8F" w:rsidRPr="00FB60E5">
        <w:t>PDOC</w:t>
      </w:r>
      <w:r w:rsidRPr="00FB60E5">
        <w:t xml:space="preserve"> based on previously identified significant predictors (PIT, </w:t>
      </w:r>
      <w:r w:rsidR="00EE7A8F" w:rsidRPr="00FB60E5">
        <w:t>PDOC</w:t>
      </w:r>
      <w:r w:rsidRPr="00FB60E5">
        <w:t>, follow-up interval</w:t>
      </w:r>
      <w:r w:rsidR="005E589A" w:rsidRPr="00FB60E5">
        <w:t>, and PIT duration</w:t>
      </w:r>
      <w:r w:rsidR="005E3DE5" w:rsidRPr="00FB60E5">
        <w:t xml:space="preserve"> (transformed)</w:t>
      </w:r>
      <w:r w:rsidRPr="00FB60E5">
        <w:t>) and optimal treatment pathway. The significant predictors were residential rehabilitation as the PIT relative to outpatients (OR = 2.</w:t>
      </w:r>
      <w:r w:rsidR="00A12BDF" w:rsidRPr="00FB60E5">
        <w:t>1</w:t>
      </w:r>
      <w:r w:rsidRPr="00FB60E5">
        <w:t>9, CI = 1.2</w:t>
      </w:r>
      <w:r w:rsidR="00A12BDF" w:rsidRPr="00FB60E5">
        <w:t>9</w:t>
      </w:r>
      <w:r w:rsidRPr="00FB60E5">
        <w:t>-3.</w:t>
      </w:r>
      <w:r w:rsidR="00A12BDF" w:rsidRPr="00FB60E5">
        <w:t>7</w:t>
      </w:r>
      <w:r w:rsidRPr="00FB60E5">
        <w:t>2), opioids (OR = 2.</w:t>
      </w:r>
      <w:r w:rsidR="00A12BDF" w:rsidRPr="00FB60E5">
        <w:t>07</w:t>
      </w:r>
      <w:r w:rsidRPr="00FB60E5">
        <w:t>, CI = 1.2</w:t>
      </w:r>
      <w:r w:rsidR="00A12BDF" w:rsidRPr="00FB60E5">
        <w:t>0</w:t>
      </w:r>
      <w:r w:rsidRPr="00FB60E5">
        <w:t>-3.</w:t>
      </w:r>
      <w:r w:rsidR="00A12BDF" w:rsidRPr="00FB60E5">
        <w:t>5</w:t>
      </w:r>
      <w:r w:rsidRPr="00FB60E5">
        <w:t>9) or meth</w:t>
      </w:r>
      <w:r w:rsidR="00E977AF" w:rsidRPr="00FB60E5">
        <w:t>/</w:t>
      </w:r>
      <w:r w:rsidRPr="00FB60E5">
        <w:t>amphetamine (OR = 3.72, CI = 2.1</w:t>
      </w:r>
      <w:r w:rsidR="00A12BDF" w:rsidRPr="00FB60E5">
        <w:t>4</w:t>
      </w:r>
      <w:r w:rsidRPr="00FB60E5">
        <w:t xml:space="preserve">-6.45) relative to alcohol as the </w:t>
      </w:r>
      <w:r w:rsidR="00EE7A8F" w:rsidRPr="00FB60E5">
        <w:t>PDOC</w:t>
      </w:r>
      <w:r w:rsidRPr="00FB60E5">
        <w:t>, and optimal care pathway score (OR = 1.2</w:t>
      </w:r>
      <w:r w:rsidR="00A12BDF" w:rsidRPr="00FB60E5">
        <w:t>0</w:t>
      </w:r>
      <w:r w:rsidRPr="00FB60E5">
        <w:t>, CI = 1.0</w:t>
      </w:r>
      <w:r w:rsidR="00A12BDF" w:rsidRPr="00FB60E5">
        <w:t>3</w:t>
      </w:r>
      <w:r w:rsidRPr="00FB60E5">
        <w:t>-1.</w:t>
      </w:r>
      <w:r w:rsidR="00A12BDF" w:rsidRPr="00FB60E5">
        <w:t>39</w:t>
      </w:r>
      <w:r w:rsidRPr="00FB60E5">
        <w:t xml:space="preserve">) indicating that for every additional </w:t>
      </w:r>
      <w:r w:rsidR="00A12BDF" w:rsidRPr="00FB60E5">
        <w:t>point (component) in the optimal care pathway score</w:t>
      </w:r>
      <w:r w:rsidRPr="00FB60E5">
        <w:t xml:space="preserve"> the odds of being abstinent increased by 2</w:t>
      </w:r>
      <w:r w:rsidR="00A12BDF" w:rsidRPr="00FB60E5">
        <w:t>0</w:t>
      </w:r>
      <w:r w:rsidRPr="00FB60E5">
        <w:t>%.</w:t>
      </w:r>
    </w:p>
    <w:p w14:paraId="38A46400" w14:textId="77777777" w:rsidR="00981D9D" w:rsidRPr="00FB60E5" w:rsidRDefault="00072449" w:rsidP="00FB60E5">
      <w:pPr>
        <w:ind w:left="0"/>
      </w:pPr>
      <w:r w:rsidRPr="00FB60E5">
        <w:t xml:space="preserve">The model predicting abstinence from the </w:t>
      </w:r>
      <w:r w:rsidR="00EE7A8F" w:rsidRPr="00FB60E5">
        <w:t>PDOC</w:t>
      </w:r>
      <w:r w:rsidRPr="00FB60E5">
        <w:t xml:space="preserve"> was run separately for alcohol and illicit drugs. For alcohol participants, residential rehabilitation as the PIT (OR = 2.9</w:t>
      </w:r>
      <w:r w:rsidR="00772169" w:rsidRPr="00FB60E5">
        <w:t>6</w:t>
      </w:r>
      <w:r w:rsidRPr="00FB60E5">
        <w:t>, CI = 1.2</w:t>
      </w:r>
      <w:r w:rsidR="00772169" w:rsidRPr="00FB60E5">
        <w:t>1</w:t>
      </w:r>
      <w:r w:rsidRPr="00FB60E5">
        <w:t>-7.</w:t>
      </w:r>
      <w:r w:rsidR="00772169" w:rsidRPr="00FB60E5">
        <w:t>28</w:t>
      </w:r>
      <w:r w:rsidRPr="00FB60E5">
        <w:t>) and optimal care pathway score (OR = 1.4</w:t>
      </w:r>
      <w:r w:rsidR="00772169" w:rsidRPr="00FB60E5">
        <w:t>3</w:t>
      </w:r>
      <w:r w:rsidRPr="00FB60E5">
        <w:t>, CI = 1.1</w:t>
      </w:r>
      <w:r w:rsidR="00772169" w:rsidRPr="00FB60E5">
        <w:t>4</w:t>
      </w:r>
      <w:r w:rsidRPr="00FB60E5">
        <w:t>-1.</w:t>
      </w:r>
      <w:r w:rsidR="00772169" w:rsidRPr="00FB60E5">
        <w:t>81</w:t>
      </w:r>
      <w:r w:rsidRPr="00FB60E5">
        <w:t xml:space="preserve">) were significant predictors. For participants whose </w:t>
      </w:r>
      <w:r w:rsidR="00EE7A8F" w:rsidRPr="00FB60E5">
        <w:t>PDOC</w:t>
      </w:r>
      <w:r w:rsidRPr="00FB60E5">
        <w:t xml:space="preserve"> was a drug other than alcohol</w:t>
      </w:r>
      <w:r w:rsidR="008E4F6A" w:rsidRPr="00FB60E5">
        <w:t xml:space="preserve"> or tobacco</w:t>
      </w:r>
      <w:r w:rsidRPr="00FB60E5">
        <w:t>, optimal care pathway score was not a significant predictor of abstinence (OR = 1.0</w:t>
      </w:r>
      <w:r w:rsidR="008E4F6A" w:rsidRPr="00FB60E5">
        <w:t>6</w:t>
      </w:r>
      <w:r w:rsidRPr="00FB60E5">
        <w:t>, CI = 0.8</w:t>
      </w:r>
      <w:r w:rsidR="008E4F6A" w:rsidRPr="00FB60E5">
        <w:t>6</w:t>
      </w:r>
      <w:r w:rsidRPr="00FB60E5">
        <w:t>-1.3</w:t>
      </w:r>
      <w:r w:rsidR="008E4F6A" w:rsidRPr="00FB60E5">
        <w:t>0</w:t>
      </w:r>
      <w:r w:rsidRPr="00FB60E5">
        <w:t xml:space="preserve">). </w:t>
      </w:r>
      <w:r w:rsidR="008E4F6A" w:rsidRPr="00FB60E5">
        <w:t>Long-term residential treatment was again superior to outpatient treatment (OR = 2.03, CI = 1.01-4.08)</w:t>
      </w:r>
      <w:r w:rsidRPr="00FB60E5">
        <w:t xml:space="preserve">. </w:t>
      </w:r>
      <w:r w:rsidR="008E4F6A" w:rsidRPr="00FB60E5">
        <w:t>Those with meth</w:t>
      </w:r>
      <w:r w:rsidR="00E977AF" w:rsidRPr="00FB60E5">
        <w:t>/a</w:t>
      </w:r>
      <w:r w:rsidR="008E4F6A" w:rsidRPr="00FB60E5">
        <w:t>mphetamine as their PDOC were more likely to achieve abstinence than those with cannabis as their PDOC</w:t>
      </w:r>
      <w:r w:rsidR="0080207E" w:rsidRPr="00FB60E5">
        <w:t xml:space="preserve"> (OR = 2.42, CI = 1.20-4.88)</w:t>
      </w:r>
      <w:r w:rsidRPr="00FB60E5">
        <w:t xml:space="preserve">. This suggests that optimal care pathways are only important if the </w:t>
      </w:r>
      <w:r w:rsidR="00EE7A8F" w:rsidRPr="00FB60E5">
        <w:t>PDOC</w:t>
      </w:r>
      <w:r w:rsidRPr="00FB60E5">
        <w:t xml:space="preserve"> is alcohol.</w:t>
      </w:r>
    </w:p>
    <w:p w14:paraId="38A46402" w14:textId="77777777" w:rsidR="00072449" w:rsidRPr="00FB60E5" w:rsidRDefault="00072449" w:rsidP="00B90486">
      <w:pPr>
        <w:pStyle w:val="Heading3"/>
      </w:pPr>
      <w:r w:rsidRPr="00FB60E5">
        <w:t xml:space="preserve">Predictors of outcomes among </w:t>
      </w:r>
      <w:r w:rsidR="006D29AE" w:rsidRPr="00FB60E5">
        <w:t>participants</w:t>
      </w:r>
      <w:r w:rsidRPr="00FB60E5">
        <w:t xml:space="preserve"> with complex needs</w:t>
      </w:r>
    </w:p>
    <w:p w14:paraId="38A46403" w14:textId="77777777" w:rsidR="00072449" w:rsidRPr="00FB60E5" w:rsidRDefault="00072449" w:rsidP="00FB60E5">
      <w:pPr>
        <w:ind w:left="0"/>
      </w:pPr>
      <w:r w:rsidRPr="00FB60E5">
        <w:t xml:space="preserve">The following analyses explored whether engaging in the appropriate service (housing, mental health or employment) for those with an identified need at baseline impacted on outcome (abstinence from </w:t>
      </w:r>
      <w:r w:rsidR="00EE7A8F" w:rsidRPr="00FB60E5">
        <w:t>PDOC</w:t>
      </w:r>
      <w:r w:rsidRPr="00FB60E5">
        <w:t>).</w:t>
      </w:r>
      <w:r w:rsidR="007046AE" w:rsidRPr="00FB60E5">
        <w:t xml:space="preserve"> </w:t>
      </w:r>
      <w:r w:rsidRPr="00FB60E5">
        <w:t xml:space="preserve">The first step involved identifying demographic and </w:t>
      </w:r>
      <w:r w:rsidR="00EE7A8F" w:rsidRPr="00FB60E5">
        <w:t>PDOC</w:t>
      </w:r>
      <w:r w:rsidRPr="00FB60E5">
        <w:t xml:space="preserve"> characteristics (transformed age, gender, marital status, born in Australia, </w:t>
      </w:r>
      <w:r w:rsidR="00EE7A8F" w:rsidRPr="00FB60E5">
        <w:t>PDOC</w:t>
      </w:r>
      <w:r w:rsidRPr="00FB60E5">
        <w:t xml:space="preserve">, and SDS &gt; 7) that predicted </w:t>
      </w:r>
      <w:r w:rsidR="00EE7A8F" w:rsidRPr="00FB60E5">
        <w:t>PDOC</w:t>
      </w:r>
      <w:r w:rsidRPr="00FB60E5">
        <w:t xml:space="preserve"> abstinence at follow-up. In the case of those with recent homelessness (n = 125) at baseline, both </w:t>
      </w:r>
      <w:r w:rsidR="00EE7A8F" w:rsidRPr="00FB60E5">
        <w:t>PDOC</w:t>
      </w:r>
      <w:r w:rsidRPr="00FB60E5">
        <w:t xml:space="preserve"> and SDS category were significant predictors, while for those with employment difficulties (n = 296) or with poor psychological </w:t>
      </w:r>
      <w:r w:rsidR="00EE7A8F" w:rsidRPr="00FB60E5">
        <w:t>QOL</w:t>
      </w:r>
      <w:r w:rsidRPr="00FB60E5">
        <w:t xml:space="preserve"> (n = 308) at baseline, only </w:t>
      </w:r>
      <w:r w:rsidR="00EE7A8F" w:rsidRPr="00FB60E5">
        <w:t>PDOC</w:t>
      </w:r>
      <w:r w:rsidRPr="00FB60E5">
        <w:t xml:space="preserve"> was a significant predictor. </w:t>
      </w:r>
      <w:r w:rsidR="00EE7A8F" w:rsidRPr="00FB60E5">
        <w:t>PDOC</w:t>
      </w:r>
      <w:r w:rsidRPr="00FB60E5">
        <w:t xml:space="preserve"> (and SDS for those with recent homelessness) were therefore added to a second regression model predicting </w:t>
      </w:r>
      <w:r w:rsidR="00EE7A8F" w:rsidRPr="00FB60E5">
        <w:lastRenderedPageBreak/>
        <w:t>PDOC</w:t>
      </w:r>
      <w:r w:rsidRPr="00FB60E5">
        <w:t xml:space="preserve"> abstinence at follow-up, which included engagement in the relevant service use (e.g. housing service use post-PIT when analyses were run on those with recent homelessness at baseline), optimal AOD treatment pathway (0, 1, or 2), any other community service use, any mutual aid attendance, PIT completed, PIT-type, follow-up interval</w:t>
      </w:r>
      <w:r w:rsidR="00EE0132" w:rsidRPr="00FB60E5">
        <w:t>, and PIT duration (transformed)</w:t>
      </w:r>
      <w:r w:rsidRPr="00FB60E5">
        <w:t>.</w:t>
      </w:r>
    </w:p>
    <w:p w14:paraId="38A46404" w14:textId="77777777" w:rsidR="00072449" w:rsidRPr="00FB60E5" w:rsidRDefault="00072449" w:rsidP="00FB60E5">
      <w:pPr>
        <w:ind w:left="0"/>
      </w:pPr>
      <w:r w:rsidRPr="00FB60E5">
        <w:t xml:space="preserve">For </w:t>
      </w:r>
      <w:r w:rsidR="006D29AE" w:rsidRPr="00FB60E5">
        <w:t>participants</w:t>
      </w:r>
      <w:r w:rsidRPr="00FB60E5">
        <w:t xml:space="preserve"> with </w:t>
      </w:r>
      <w:r w:rsidR="006747B5" w:rsidRPr="00FB60E5">
        <w:t>recent homelessness</w:t>
      </w:r>
      <w:r w:rsidRPr="00FB60E5">
        <w:t xml:space="preserve"> at baseline, having cannabis (OR = </w:t>
      </w:r>
      <w:r w:rsidR="006747B5" w:rsidRPr="00FB60E5">
        <w:t>6.55</w:t>
      </w:r>
      <w:r w:rsidRPr="00FB60E5">
        <w:t>, CI = 1.</w:t>
      </w:r>
      <w:r w:rsidR="006747B5" w:rsidRPr="00FB60E5">
        <w:t>33</w:t>
      </w:r>
      <w:r w:rsidRPr="00FB60E5">
        <w:t>-</w:t>
      </w:r>
      <w:r w:rsidR="006747B5" w:rsidRPr="00FB60E5">
        <w:t>3</w:t>
      </w:r>
      <w:r w:rsidRPr="00FB60E5">
        <w:t>2.</w:t>
      </w:r>
      <w:r w:rsidR="006747B5" w:rsidRPr="00FB60E5">
        <w:t>16</w:t>
      </w:r>
      <w:r w:rsidRPr="00FB60E5">
        <w:t>) or meth</w:t>
      </w:r>
      <w:r w:rsidR="00E977AF" w:rsidRPr="00FB60E5">
        <w:t>/</w:t>
      </w:r>
      <w:r w:rsidRPr="00FB60E5">
        <w:t>amphetamine (OR = 1</w:t>
      </w:r>
      <w:r w:rsidR="006747B5" w:rsidRPr="00FB60E5">
        <w:t>2</w:t>
      </w:r>
      <w:r w:rsidRPr="00FB60E5">
        <w:t>.</w:t>
      </w:r>
      <w:r w:rsidR="006747B5" w:rsidRPr="00FB60E5">
        <w:t>29</w:t>
      </w:r>
      <w:r w:rsidRPr="00FB60E5">
        <w:t>, CI = 2.</w:t>
      </w:r>
      <w:r w:rsidR="006747B5" w:rsidRPr="00FB60E5">
        <w:t>85</w:t>
      </w:r>
      <w:r w:rsidRPr="00FB60E5">
        <w:t>-</w:t>
      </w:r>
      <w:r w:rsidR="006747B5" w:rsidRPr="00FB60E5">
        <w:t>52</w:t>
      </w:r>
      <w:r w:rsidRPr="00FB60E5">
        <w:t>.</w:t>
      </w:r>
      <w:r w:rsidR="006747B5" w:rsidRPr="00FB60E5">
        <w:t>94</w:t>
      </w:r>
      <w:r w:rsidRPr="00FB60E5">
        <w:t xml:space="preserve">) compared to alcohol as the </w:t>
      </w:r>
      <w:r w:rsidR="00EE7A8F" w:rsidRPr="00FB60E5">
        <w:t>PDOC</w:t>
      </w:r>
      <w:r w:rsidRPr="00FB60E5">
        <w:t xml:space="preserve"> were significant predictors of </w:t>
      </w:r>
      <w:r w:rsidR="00EE7A8F" w:rsidRPr="00FB60E5">
        <w:t>PDOC</w:t>
      </w:r>
      <w:r w:rsidRPr="00FB60E5">
        <w:t xml:space="preserve"> abstinence, along with having an SDS score &gt; 7 (OR = </w:t>
      </w:r>
      <w:r w:rsidR="006747B5" w:rsidRPr="00FB60E5">
        <w:t>6.61</w:t>
      </w:r>
      <w:r w:rsidRPr="00FB60E5">
        <w:t>, CI = 1.</w:t>
      </w:r>
      <w:r w:rsidR="006747B5" w:rsidRPr="00FB60E5">
        <w:t>10</w:t>
      </w:r>
      <w:r w:rsidRPr="00FB60E5">
        <w:t>-</w:t>
      </w:r>
      <w:r w:rsidR="006747B5" w:rsidRPr="00FB60E5">
        <w:t>3</w:t>
      </w:r>
      <w:r w:rsidRPr="00FB60E5">
        <w:t>9.</w:t>
      </w:r>
      <w:r w:rsidR="006747B5" w:rsidRPr="00FB60E5">
        <w:t>63)</w:t>
      </w:r>
      <w:r w:rsidRPr="00FB60E5">
        <w:t xml:space="preserve">. </w:t>
      </w:r>
      <w:r w:rsidR="00993536" w:rsidRPr="00FB60E5">
        <w:t xml:space="preserve">There was an overall significant effect of AOD treatment pathway (p &lt; .05), though this is difficult to interpret because neither scoring 1 point (OR = 1.41, CI = 0.26-7.59), not scoring 2 points (OR = 0.28, CI = 0.04-1.76) predicted an outcome significantly different to scoring 0 points. </w:t>
      </w:r>
      <w:r w:rsidRPr="00FB60E5">
        <w:t>Engaging with a housing service between baseline and follow-up was not a significant predictor of abstinence.</w:t>
      </w:r>
    </w:p>
    <w:p w14:paraId="38A46405" w14:textId="77777777" w:rsidR="00072449" w:rsidRPr="00FB60E5" w:rsidRDefault="00072449" w:rsidP="00FB60E5">
      <w:pPr>
        <w:ind w:left="0"/>
      </w:pPr>
      <w:r w:rsidRPr="00FB60E5">
        <w:t xml:space="preserve">For </w:t>
      </w:r>
      <w:r w:rsidR="006D29AE" w:rsidRPr="00FB60E5">
        <w:t>participants</w:t>
      </w:r>
      <w:r w:rsidRPr="00FB60E5">
        <w:t xml:space="preserve"> with poor psychological </w:t>
      </w:r>
      <w:r w:rsidR="00EE7A8F" w:rsidRPr="00FB60E5">
        <w:t>QOL</w:t>
      </w:r>
      <w:r w:rsidRPr="00FB60E5">
        <w:t xml:space="preserve"> at baseline, having cannabis (OR = 2.</w:t>
      </w:r>
      <w:r w:rsidR="00EF0B0F" w:rsidRPr="00FB60E5">
        <w:t>78</w:t>
      </w:r>
      <w:r w:rsidRPr="00FB60E5">
        <w:t>, CI = 1.</w:t>
      </w:r>
      <w:r w:rsidR="00EF0B0F" w:rsidRPr="00FB60E5">
        <w:t>24</w:t>
      </w:r>
      <w:r w:rsidRPr="00FB60E5">
        <w:t>-</w:t>
      </w:r>
      <w:r w:rsidR="00EF0B0F" w:rsidRPr="00FB60E5">
        <w:t>6.26</w:t>
      </w:r>
      <w:r w:rsidRPr="00FB60E5">
        <w:t>), meth</w:t>
      </w:r>
      <w:r w:rsidR="00E977AF" w:rsidRPr="00FB60E5">
        <w:t>/</w:t>
      </w:r>
      <w:r w:rsidRPr="00FB60E5">
        <w:t xml:space="preserve">amphetamine (OR = </w:t>
      </w:r>
      <w:r w:rsidR="00EF0B0F" w:rsidRPr="00FB60E5">
        <w:t>5.1</w:t>
      </w:r>
      <w:r w:rsidRPr="00FB60E5">
        <w:t>3, CI = 2.</w:t>
      </w:r>
      <w:r w:rsidR="00EF0B0F" w:rsidRPr="00FB60E5">
        <w:t>19</w:t>
      </w:r>
      <w:r w:rsidRPr="00FB60E5">
        <w:t>-11.</w:t>
      </w:r>
      <w:r w:rsidR="00EF0B0F" w:rsidRPr="00FB60E5">
        <w:t>97</w:t>
      </w:r>
      <w:r w:rsidRPr="00FB60E5">
        <w:t xml:space="preserve">) or opioids (OR = </w:t>
      </w:r>
      <w:r w:rsidR="00EF0B0F" w:rsidRPr="00FB60E5">
        <w:t>3.18</w:t>
      </w:r>
      <w:r w:rsidRPr="00FB60E5">
        <w:t>, CI = 1.</w:t>
      </w:r>
      <w:r w:rsidR="00EF0B0F" w:rsidRPr="00FB60E5">
        <w:t>5</w:t>
      </w:r>
      <w:r w:rsidRPr="00FB60E5">
        <w:t>3-</w:t>
      </w:r>
      <w:r w:rsidR="00EF0B0F" w:rsidRPr="00FB60E5">
        <w:t>6.60</w:t>
      </w:r>
      <w:r w:rsidRPr="00FB60E5">
        <w:t xml:space="preserve">) as a </w:t>
      </w:r>
      <w:r w:rsidR="00EE7A8F" w:rsidRPr="00FB60E5">
        <w:t>PDOC</w:t>
      </w:r>
      <w:r w:rsidRPr="00FB60E5">
        <w:t xml:space="preserve"> compared to alcohol were significant predictors of </w:t>
      </w:r>
      <w:r w:rsidR="00EE7A8F" w:rsidRPr="00FB60E5">
        <w:t>PDOC</w:t>
      </w:r>
      <w:r w:rsidRPr="00FB60E5">
        <w:t xml:space="preserve"> abstinence, as were PIT completed (OR = 2.</w:t>
      </w:r>
      <w:r w:rsidR="00EF0B0F" w:rsidRPr="00FB60E5">
        <w:t>11</w:t>
      </w:r>
      <w:r w:rsidRPr="00FB60E5">
        <w:t>, CI = 1.</w:t>
      </w:r>
      <w:r w:rsidR="00EF0B0F" w:rsidRPr="00FB60E5">
        <w:t>07</w:t>
      </w:r>
      <w:r w:rsidRPr="00FB60E5">
        <w:t>-4.</w:t>
      </w:r>
      <w:r w:rsidR="00EF0B0F" w:rsidRPr="00FB60E5">
        <w:t>16</w:t>
      </w:r>
      <w:r w:rsidRPr="00FB60E5">
        <w:t xml:space="preserve">) and mutual aid attendance (OR = </w:t>
      </w:r>
      <w:r w:rsidR="00EF0B0F" w:rsidRPr="00FB60E5">
        <w:t>1.97</w:t>
      </w:r>
      <w:r w:rsidRPr="00FB60E5">
        <w:t>, CI = 1.</w:t>
      </w:r>
      <w:r w:rsidR="00EF0B0F" w:rsidRPr="00FB60E5">
        <w:t>07</w:t>
      </w:r>
      <w:r w:rsidRPr="00FB60E5">
        <w:t>-3.</w:t>
      </w:r>
      <w:r w:rsidR="00EF0B0F" w:rsidRPr="00FB60E5">
        <w:t>62</w:t>
      </w:r>
      <w:r w:rsidRPr="00FB60E5">
        <w:t>). Engaging a mental health service in the year after their PIT was not a predictor of abstinence, though engagement in these services is likely to be associated with greater morbidity, which in turn is likely to be associated with poorer outcomes, thus confounding our ability to detect any positive effect of engagement.</w:t>
      </w:r>
    </w:p>
    <w:p w14:paraId="38A46406" w14:textId="77777777" w:rsidR="00FA516F" w:rsidRPr="00FB60E5" w:rsidRDefault="00072449" w:rsidP="00FB60E5">
      <w:pPr>
        <w:ind w:left="0"/>
      </w:pPr>
      <w:r w:rsidRPr="00FB60E5">
        <w:t xml:space="preserve">Finally, for </w:t>
      </w:r>
      <w:r w:rsidR="006D29AE" w:rsidRPr="00FB60E5">
        <w:t>participants</w:t>
      </w:r>
      <w:r w:rsidRPr="00FB60E5">
        <w:t xml:space="preserve"> with employment problems at baseline, having meth</w:t>
      </w:r>
      <w:r w:rsidR="00E977AF" w:rsidRPr="00FB60E5">
        <w:t>/</w:t>
      </w:r>
      <w:r w:rsidRPr="00FB60E5">
        <w:t xml:space="preserve">amphetamine (OR = </w:t>
      </w:r>
      <w:r w:rsidR="00AA342F" w:rsidRPr="00FB60E5">
        <w:t>8</w:t>
      </w:r>
      <w:r w:rsidRPr="00FB60E5">
        <w:t>.</w:t>
      </w:r>
      <w:r w:rsidR="00AA342F" w:rsidRPr="00FB60E5">
        <w:t>6</w:t>
      </w:r>
      <w:r w:rsidRPr="00FB60E5">
        <w:t>0, CI = 3.</w:t>
      </w:r>
      <w:r w:rsidR="00AA342F" w:rsidRPr="00FB60E5">
        <w:t>76</w:t>
      </w:r>
      <w:r w:rsidRPr="00FB60E5">
        <w:t>-1</w:t>
      </w:r>
      <w:r w:rsidR="00AA342F" w:rsidRPr="00FB60E5">
        <w:t>9.63</w:t>
      </w:r>
      <w:r w:rsidRPr="00FB60E5">
        <w:t>)</w:t>
      </w:r>
      <w:r w:rsidR="00AA342F" w:rsidRPr="00FB60E5">
        <w:t xml:space="preserve"> or cannabis (OR = 2.51, CI = 1.06-5.95)</w:t>
      </w:r>
      <w:r w:rsidRPr="00FB60E5">
        <w:t xml:space="preserve"> as a </w:t>
      </w:r>
      <w:r w:rsidR="00EE7A8F" w:rsidRPr="00FB60E5">
        <w:t>PDOC</w:t>
      </w:r>
      <w:r w:rsidRPr="00FB60E5">
        <w:t xml:space="preserve"> compared to alcohol, having residential rehabilitation as their PIT (OR = </w:t>
      </w:r>
      <w:r w:rsidR="00AA342F" w:rsidRPr="00FB60E5">
        <w:t>3.28</w:t>
      </w:r>
      <w:r w:rsidRPr="00FB60E5">
        <w:t>, CI = 1.</w:t>
      </w:r>
      <w:r w:rsidR="00AA342F" w:rsidRPr="00FB60E5">
        <w:t>4</w:t>
      </w:r>
      <w:r w:rsidRPr="00FB60E5">
        <w:t>3-</w:t>
      </w:r>
      <w:r w:rsidR="00AA342F" w:rsidRPr="00FB60E5">
        <w:t>7.50</w:t>
      </w:r>
      <w:r w:rsidRPr="00FB60E5">
        <w:t>), PIT-completed (OR = 2.</w:t>
      </w:r>
      <w:r w:rsidR="00AA342F" w:rsidRPr="00FB60E5">
        <w:t>83</w:t>
      </w:r>
      <w:r w:rsidRPr="00FB60E5">
        <w:t>, CI = 1.</w:t>
      </w:r>
      <w:r w:rsidR="00AA342F" w:rsidRPr="00FB60E5">
        <w:t>39</w:t>
      </w:r>
      <w:r w:rsidRPr="00FB60E5">
        <w:t>-5.</w:t>
      </w:r>
      <w:r w:rsidR="00AA342F" w:rsidRPr="00FB60E5">
        <w:t>74</w:t>
      </w:r>
      <w:r w:rsidRPr="00FB60E5">
        <w:t>) and mutual aid attendance (OR = 1.9</w:t>
      </w:r>
      <w:r w:rsidR="00AA342F" w:rsidRPr="00FB60E5">
        <w:t>4</w:t>
      </w:r>
      <w:r w:rsidRPr="00FB60E5">
        <w:t>, CI = 1.0</w:t>
      </w:r>
      <w:r w:rsidR="00AA342F" w:rsidRPr="00FB60E5">
        <w:t>05</w:t>
      </w:r>
      <w:r w:rsidRPr="00FB60E5">
        <w:t>-3.</w:t>
      </w:r>
      <w:r w:rsidR="00AA342F" w:rsidRPr="00FB60E5">
        <w:t>7</w:t>
      </w:r>
      <w:r w:rsidRPr="00FB60E5">
        <w:t xml:space="preserve">3) were significant predictors of </w:t>
      </w:r>
      <w:r w:rsidR="00EE7A8F" w:rsidRPr="00FB60E5">
        <w:t>PDOC</w:t>
      </w:r>
      <w:r w:rsidRPr="00FB60E5">
        <w:t xml:space="preserve"> abstinence. Engaging with an employment service significantly predicted reduced likelihood of abstinence from the </w:t>
      </w:r>
      <w:r w:rsidR="00EE7A8F" w:rsidRPr="00FB60E5">
        <w:t>PDOC</w:t>
      </w:r>
      <w:r w:rsidRPr="00FB60E5">
        <w:t xml:space="preserve"> (OR = 0.</w:t>
      </w:r>
      <w:r w:rsidR="00AA342F" w:rsidRPr="00FB60E5">
        <w:t>44</w:t>
      </w:r>
      <w:r w:rsidRPr="00FB60E5">
        <w:t>, CI = 0.</w:t>
      </w:r>
      <w:r w:rsidR="00AA342F" w:rsidRPr="00FB60E5">
        <w:t>24</w:t>
      </w:r>
      <w:r w:rsidRPr="00FB60E5">
        <w:t>-0.</w:t>
      </w:r>
      <w:r w:rsidR="00AA342F" w:rsidRPr="00FB60E5">
        <w:t>78</w:t>
      </w:r>
      <w:r w:rsidRPr="00FB60E5">
        <w:t>).</w:t>
      </w:r>
      <w:r w:rsidR="00AA342F" w:rsidRPr="00FB60E5">
        <w:t xml:space="preserve"> There was an overall effect of </w:t>
      </w:r>
      <w:proofErr w:type="spellStart"/>
      <w:r w:rsidR="00AA342F" w:rsidRPr="00FB60E5">
        <w:t>AoD</w:t>
      </w:r>
      <w:proofErr w:type="spellEnd"/>
      <w:r w:rsidR="00AA342F" w:rsidRPr="00FB60E5">
        <w:t xml:space="preserve"> pathway score (p &lt; .01) but this was difficult to interpret as neither </w:t>
      </w:r>
      <w:r w:rsidR="00F30ADC" w:rsidRPr="00FB60E5">
        <w:t>having</w:t>
      </w:r>
      <w:r w:rsidR="00AA342F" w:rsidRPr="00FB60E5">
        <w:t xml:space="preserve"> 1 point (OR = 1.70, CI = 0.65-4.41) nor </w:t>
      </w:r>
      <w:r w:rsidR="00F30ADC" w:rsidRPr="00FB60E5">
        <w:t>having</w:t>
      </w:r>
      <w:r w:rsidR="00AA342F" w:rsidRPr="00FB60E5">
        <w:t xml:space="preserve"> 2 points (OR = 0.57, CI = 0.21-1.51</w:t>
      </w:r>
      <w:r w:rsidR="00F30ADC" w:rsidRPr="00FB60E5">
        <w:t>) significantly predicted a different outcome from those with 0 points.</w:t>
      </w:r>
      <w:bookmarkStart w:id="174" w:name="_Toc387426338"/>
    </w:p>
    <w:p w14:paraId="38A46407" w14:textId="77777777" w:rsidR="00FA516F" w:rsidRPr="00FB60E5" w:rsidRDefault="00FA516F" w:rsidP="00B90486">
      <w:pPr>
        <w:pStyle w:val="Heading3"/>
      </w:pPr>
      <w:r w:rsidRPr="00FB60E5">
        <w:t>Weighting of sample according to PIT type</w:t>
      </w:r>
    </w:p>
    <w:p w14:paraId="6E9F8E3E" w14:textId="77777777" w:rsidR="002C27A8" w:rsidRDefault="00FA516F" w:rsidP="00FB60E5">
      <w:pPr>
        <w:ind w:left="0"/>
      </w:pPr>
      <w:r w:rsidRPr="00FB60E5">
        <w:t>The proportion of our sample in each treatment type differed markedly from the proportion of total episodes of each type of treatment (for clients’ own substance use) in the specialist A</w:t>
      </w:r>
      <w:r w:rsidR="00A27AF7" w:rsidRPr="00FB60E5">
        <w:t>O</w:t>
      </w:r>
      <w:r w:rsidRPr="00FB60E5">
        <w:t xml:space="preserve">D treatment system </w:t>
      </w:r>
      <w:r w:rsidR="00410E52" w:rsidRPr="00FB60E5">
        <w:t>based on</w:t>
      </w:r>
      <w:r w:rsidRPr="00FB60E5">
        <w:t xml:space="preserve"> </w:t>
      </w:r>
      <w:r w:rsidR="000A2E35" w:rsidRPr="00FB60E5">
        <w:t xml:space="preserve">the </w:t>
      </w:r>
      <w:r w:rsidRPr="00FB60E5">
        <w:t>2011-12 AIHW dataset (combining data from WA and Victoria)</w:t>
      </w:r>
      <w:r w:rsidR="002C27A8">
        <w:t>.</w:t>
      </w:r>
    </w:p>
    <w:p w14:paraId="38A46409" w14:textId="078346A1" w:rsidR="00317CA2" w:rsidRPr="00FB60E5" w:rsidRDefault="00552239" w:rsidP="00552239">
      <w:pPr>
        <w:pStyle w:val="Caption"/>
      </w:pPr>
      <w:bookmarkStart w:id="175" w:name="_Toc531625793"/>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17</w:t>
      </w:r>
      <w:r>
        <w:fldChar w:fldCharType="end"/>
      </w:r>
      <w:r w:rsidR="00317CA2" w:rsidRPr="00FB60E5">
        <w:t xml:space="preserve"> Proportion of treatment episodes by treatment type and jurisdiction</w:t>
      </w:r>
      <w:bookmarkEnd w:id="175"/>
    </w:p>
    <w:tbl>
      <w:tblPr>
        <w:tblStyle w:val="LightList-Accent1"/>
        <w:tblW w:w="9277" w:type="dxa"/>
        <w:tblLook w:val="04A0" w:firstRow="1" w:lastRow="0" w:firstColumn="1" w:lastColumn="0" w:noHBand="0" w:noVBand="1"/>
        <w:tblDescription w:val="Table 3.17 Proportion of treatment episodes by treatment type and jurisdiction"/>
      </w:tblPr>
      <w:tblGrid>
        <w:gridCol w:w="2495"/>
        <w:gridCol w:w="862"/>
        <w:gridCol w:w="862"/>
        <w:gridCol w:w="843"/>
        <w:gridCol w:w="843"/>
        <w:gridCol w:w="843"/>
        <w:gridCol w:w="843"/>
        <w:gridCol w:w="843"/>
        <w:gridCol w:w="843"/>
      </w:tblGrid>
      <w:tr w:rsidR="00317CA2" w:rsidRPr="00FB60E5" w14:paraId="38A46413" w14:textId="77777777" w:rsidTr="00B90486">
        <w:trPr>
          <w:cnfStyle w:val="100000000000" w:firstRow="1" w:lastRow="0" w:firstColumn="0" w:lastColumn="0" w:oddVBand="0" w:evenVBand="0" w:oddHBand="0" w:evenHBand="0" w:firstRowFirstColumn="0" w:firstRowLastColumn="0" w:lastRowFirstColumn="0" w:lastRowLastColumn="0"/>
          <w:trHeight w:hRule="exact" w:val="340"/>
          <w:tblHeader/>
        </w:trPr>
        <w:tc>
          <w:tcPr>
            <w:cnfStyle w:val="001000000000" w:firstRow="0" w:lastRow="0" w:firstColumn="1" w:lastColumn="0" w:oddVBand="0" w:evenVBand="0" w:oddHBand="0" w:evenHBand="0" w:firstRowFirstColumn="0" w:firstRowLastColumn="0" w:lastRowFirstColumn="0" w:lastRowLastColumn="0"/>
            <w:tcW w:w="2495" w:type="dxa"/>
          </w:tcPr>
          <w:p w14:paraId="38A4640A" w14:textId="77777777" w:rsidR="00317CA2" w:rsidRPr="00FB60E5" w:rsidRDefault="00317CA2" w:rsidP="00B90486">
            <w:pPr>
              <w:pStyle w:val="tabletext"/>
            </w:pPr>
          </w:p>
        </w:tc>
        <w:tc>
          <w:tcPr>
            <w:tcW w:w="862" w:type="dxa"/>
          </w:tcPr>
          <w:p w14:paraId="38A4640B"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ACT</w:t>
            </w:r>
          </w:p>
        </w:tc>
        <w:tc>
          <w:tcPr>
            <w:tcW w:w="862" w:type="dxa"/>
            <w:hideMark/>
          </w:tcPr>
          <w:p w14:paraId="38A4640C"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NSW</w:t>
            </w:r>
          </w:p>
        </w:tc>
        <w:tc>
          <w:tcPr>
            <w:tcW w:w="843" w:type="dxa"/>
          </w:tcPr>
          <w:p w14:paraId="38A4640D"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NT</w:t>
            </w:r>
          </w:p>
        </w:tc>
        <w:tc>
          <w:tcPr>
            <w:tcW w:w="843" w:type="dxa"/>
          </w:tcPr>
          <w:p w14:paraId="38A4640E"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QLD</w:t>
            </w:r>
          </w:p>
        </w:tc>
        <w:tc>
          <w:tcPr>
            <w:tcW w:w="843" w:type="dxa"/>
          </w:tcPr>
          <w:p w14:paraId="38A4640F"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SA</w:t>
            </w:r>
          </w:p>
        </w:tc>
        <w:tc>
          <w:tcPr>
            <w:tcW w:w="843" w:type="dxa"/>
          </w:tcPr>
          <w:p w14:paraId="38A46410"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TAS</w:t>
            </w:r>
          </w:p>
        </w:tc>
        <w:tc>
          <w:tcPr>
            <w:tcW w:w="843" w:type="dxa"/>
            <w:hideMark/>
          </w:tcPr>
          <w:p w14:paraId="38A46411"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VIC</w:t>
            </w:r>
          </w:p>
        </w:tc>
        <w:tc>
          <w:tcPr>
            <w:tcW w:w="843" w:type="dxa"/>
            <w:hideMark/>
          </w:tcPr>
          <w:p w14:paraId="38A46412" w14:textId="77777777" w:rsidR="00317CA2" w:rsidRPr="00FB60E5" w:rsidRDefault="00317CA2" w:rsidP="00B90486">
            <w:pPr>
              <w:pStyle w:val="tabletext"/>
              <w:cnfStyle w:val="100000000000" w:firstRow="1" w:lastRow="0" w:firstColumn="0" w:lastColumn="0" w:oddVBand="0" w:evenVBand="0" w:oddHBand="0" w:evenHBand="0" w:firstRowFirstColumn="0" w:firstRowLastColumn="0" w:lastRowFirstColumn="0" w:lastRowLastColumn="0"/>
            </w:pPr>
            <w:r w:rsidRPr="00FB60E5">
              <w:t>WA</w:t>
            </w:r>
          </w:p>
        </w:tc>
      </w:tr>
      <w:tr w:rsidR="00317CA2" w:rsidRPr="00FB60E5" w14:paraId="38A4641D"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14" w14:textId="77777777" w:rsidR="00317CA2" w:rsidRPr="00FB60E5" w:rsidRDefault="00317CA2" w:rsidP="00500201">
            <w:pPr>
              <w:pStyle w:val="tabletext"/>
            </w:pPr>
            <w:r w:rsidRPr="00FB60E5">
              <w:t>Withdrawal</w:t>
            </w:r>
          </w:p>
        </w:tc>
        <w:tc>
          <w:tcPr>
            <w:tcW w:w="862" w:type="dxa"/>
          </w:tcPr>
          <w:p w14:paraId="38A46415"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24.0</w:t>
            </w:r>
          </w:p>
        </w:tc>
        <w:tc>
          <w:tcPr>
            <w:tcW w:w="862" w:type="dxa"/>
            <w:hideMark/>
          </w:tcPr>
          <w:p w14:paraId="38A46416"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17.3</w:t>
            </w:r>
          </w:p>
        </w:tc>
        <w:tc>
          <w:tcPr>
            <w:tcW w:w="843" w:type="dxa"/>
          </w:tcPr>
          <w:p w14:paraId="38A46417"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10.8</w:t>
            </w:r>
          </w:p>
        </w:tc>
        <w:tc>
          <w:tcPr>
            <w:tcW w:w="843" w:type="dxa"/>
          </w:tcPr>
          <w:p w14:paraId="38A46418"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11.2</w:t>
            </w:r>
          </w:p>
        </w:tc>
        <w:tc>
          <w:tcPr>
            <w:tcW w:w="843" w:type="dxa"/>
          </w:tcPr>
          <w:p w14:paraId="38A46419"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22.3</w:t>
            </w:r>
          </w:p>
        </w:tc>
        <w:tc>
          <w:tcPr>
            <w:tcW w:w="843" w:type="dxa"/>
          </w:tcPr>
          <w:p w14:paraId="38A4641A"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2.4</w:t>
            </w:r>
          </w:p>
        </w:tc>
        <w:tc>
          <w:tcPr>
            <w:tcW w:w="843" w:type="dxa"/>
            <w:hideMark/>
          </w:tcPr>
          <w:p w14:paraId="38A4641B"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22.3</w:t>
            </w:r>
          </w:p>
        </w:tc>
        <w:tc>
          <w:tcPr>
            <w:tcW w:w="843" w:type="dxa"/>
            <w:hideMark/>
          </w:tcPr>
          <w:p w14:paraId="38A4641C"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14.7</w:t>
            </w:r>
          </w:p>
        </w:tc>
      </w:tr>
      <w:tr w:rsidR="00317CA2" w:rsidRPr="00FB60E5" w14:paraId="38A46427"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1E" w14:textId="77777777" w:rsidR="00317CA2" w:rsidRPr="00FB60E5" w:rsidRDefault="00317CA2" w:rsidP="00500201">
            <w:pPr>
              <w:pStyle w:val="tabletext"/>
            </w:pPr>
            <w:r w:rsidRPr="00FB60E5">
              <w:t>Counselling</w:t>
            </w:r>
          </w:p>
        </w:tc>
        <w:tc>
          <w:tcPr>
            <w:tcW w:w="862" w:type="dxa"/>
          </w:tcPr>
          <w:p w14:paraId="38A4641F"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18.9</w:t>
            </w:r>
          </w:p>
        </w:tc>
        <w:tc>
          <w:tcPr>
            <w:tcW w:w="862" w:type="dxa"/>
            <w:hideMark/>
          </w:tcPr>
          <w:p w14:paraId="38A46420"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27.7</w:t>
            </w:r>
          </w:p>
        </w:tc>
        <w:tc>
          <w:tcPr>
            <w:tcW w:w="843" w:type="dxa"/>
          </w:tcPr>
          <w:p w14:paraId="38A46421"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21.6</w:t>
            </w:r>
          </w:p>
        </w:tc>
        <w:tc>
          <w:tcPr>
            <w:tcW w:w="843" w:type="dxa"/>
          </w:tcPr>
          <w:p w14:paraId="38A46422"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34.5</w:t>
            </w:r>
          </w:p>
        </w:tc>
        <w:tc>
          <w:tcPr>
            <w:tcW w:w="843" w:type="dxa"/>
          </w:tcPr>
          <w:p w14:paraId="38A46423"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27.7</w:t>
            </w:r>
          </w:p>
        </w:tc>
        <w:tc>
          <w:tcPr>
            <w:tcW w:w="843" w:type="dxa"/>
          </w:tcPr>
          <w:p w14:paraId="38A46424"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59.3</w:t>
            </w:r>
          </w:p>
        </w:tc>
        <w:tc>
          <w:tcPr>
            <w:tcW w:w="843" w:type="dxa"/>
            <w:hideMark/>
          </w:tcPr>
          <w:p w14:paraId="38A46425"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52.1</w:t>
            </w:r>
          </w:p>
        </w:tc>
        <w:tc>
          <w:tcPr>
            <w:tcW w:w="843" w:type="dxa"/>
            <w:hideMark/>
          </w:tcPr>
          <w:p w14:paraId="38A46426"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58.3</w:t>
            </w:r>
          </w:p>
        </w:tc>
      </w:tr>
      <w:tr w:rsidR="00317CA2" w:rsidRPr="00FB60E5" w14:paraId="38A46431"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28" w14:textId="77777777" w:rsidR="00317CA2" w:rsidRPr="00FB60E5" w:rsidRDefault="00317CA2" w:rsidP="00500201">
            <w:pPr>
              <w:pStyle w:val="tabletext"/>
            </w:pPr>
            <w:r w:rsidRPr="00FB60E5">
              <w:t>Rehabilitation</w:t>
            </w:r>
          </w:p>
        </w:tc>
        <w:tc>
          <w:tcPr>
            <w:tcW w:w="862" w:type="dxa"/>
          </w:tcPr>
          <w:p w14:paraId="38A46429"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6.1</w:t>
            </w:r>
          </w:p>
        </w:tc>
        <w:tc>
          <w:tcPr>
            <w:tcW w:w="862" w:type="dxa"/>
            <w:hideMark/>
          </w:tcPr>
          <w:p w14:paraId="38A4642A"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13.0</w:t>
            </w:r>
          </w:p>
        </w:tc>
        <w:tc>
          <w:tcPr>
            <w:tcW w:w="843" w:type="dxa"/>
          </w:tcPr>
          <w:p w14:paraId="38A4642B"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15.3</w:t>
            </w:r>
          </w:p>
        </w:tc>
        <w:tc>
          <w:tcPr>
            <w:tcW w:w="843" w:type="dxa"/>
          </w:tcPr>
          <w:p w14:paraId="38A4642C"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5.5</w:t>
            </w:r>
          </w:p>
        </w:tc>
        <w:tc>
          <w:tcPr>
            <w:tcW w:w="843" w:type="dxa"/>
          </w:tcPr>
          <w:p w14:paraId="38A4642D"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11.7</w:t>
            </w:r>
          </w:p>
        </w:tc>
        <w:tc>
          <w:tcPr>
            <w:tcW w:w="843" w:type="dxa"/>
          </w:tcPr>
          <w:p w14:paraId="38A4642E"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8.9</w:t>
            </w:r>
          </w:p>
        </w:tc>
        <w:tc>
          <w:tcPr>
            <w:tcW w:w="843" w:type="dxa"/>
            <w:hideMark/>
          </w:tcPr>
          <w:p w14:paraId="38A4642F"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3.7</w:t>
            </w:r>
          </w:p>
        </w:tc>
        <w:tc>
          <w:tcPr>
            <w:tcW w:w="843" w:type="dxa"/>
            <w:hideMark/>
          </w:tcPr>
          <w:p w14:paraId="38A46430"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6.3</w:t>
            </w:r>
          </w:p>
        </w:tc>
      </w:tr>
      <w:tr w:rsidR="00317CA2" w:rsidRPr="00FB60E5" w14:paraId="38A4643B"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32" w14:textId="77777777" w:rsidR="00317CA2" w:rsidRPr="00FB60E5" w:rsidRDefault="00317CA2" w:rsidP="00500201">
            <w:pPr>
              <w:pStyle w:val="tabletext"/>
            </w:pPr>
            <w:r w:rsidRPr="00FB60E5">
              <w:t>Case management only</w:t>
            </w:r>
          </w:p>
        </w:tc>
        <w:tc>
          <w:tcPr>
            <w:tcW w:w="862" w:type="dxa"/>
          </w:tcPr>
          <w:p w14:paraId="38A46433"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16.1</w:t>
            </w:r>
          </w:p>
        </w:tc>
        <w:tc>
          <w:tcPr>
            <w:tcW w:w="862" w:type="dxa"/>
            <w:hideMark/>
          </w:tcPr>
          <w:p w14:paraId="38A46434"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9.9</w:t>
            </w:r>
          </w:p>
        </w:tc>
        <w:tc>
          <w:tcPr>
            <w:tcW w:w="843" w:type="dxa"/>
          </w:tcPr>
          <w:p w14:paraId="38A46435"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2.0</w:t>
            </w:r>
          </w:p>
        </w:tc>
        <w:tc>
          <w:tcPr>
            <w:tcW w:w="843" w:type="dxa"/>
          </w:tcPr>
          <w:p w14:paraId="38A46436"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4.3</w:t>
            </w:r>
          </w:p>
        </w:tc>
        <w:tc>
          <w:tcPr>
            <w:tcW w:w="843" w:type="dxa"/>
          </w:tcPr>
          <w:p w14:paraId="38A46437"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2.2</w:t>
            </w:r>
          </w:p>
        </w:tc>
        <w:tc>
          <w:tcPr>
            <w:tcW w:w="843" w:type="dxa"/>
          </w:tcPr>
          <w:p w14:paraId="38A46438"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5.8</w:t>
            </w:r>
          </w:p>
        </w:tc>
        <w:tc>
          <w:tcPr>
            <w:tcW w:w="843" w:type="dxa"/>
            <w:hideMark/>
          </w:tcPr>
          <w:p w14:paraId="38A46439"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11.7</w:t>
            </w:r>
          </w:p>
        </w:tc>
        <w:tc>
          <w:tcPr>
            <w:tcW w:w="843" w:type="dxa"/>
            <w:hideMark/>
          </w:tcPr>
          <w:p w14:paraId="38A4643A"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5.6</w:t>
            </w:r>
          </w:p>
        </w:tc>
      </w:tr>
      <w:tr w:rsidR="00317CA2" w:rsidRPr="00FB60E5" w14:paraId="38A46445"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3C" w14:textId="77777777" w:rsidR="00317CA2" w:rsidRPr="00FB60E5" w:rsidRDefault="00317CA2" w:rsidP="00500201">
            <w:pPr>
              <w:pStyle w:val="tabletext"/>
            </w:pPr>
            <w:r w:rsidRPr="00FB60E5">
              <w:t xml:space="preserve">Information/education </w:t>
            </w:r>
          </w:p>
        </w:tc>
        <w:tc>
          <w:tcPr>
            <w:tcW w:w="862" w:type="dxa"/>
          </w:tcPr>
          <w:p w14:paraId="38A4643D"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12.9</w:t>
            </w:r>
          </w:p>
        </w:tc>
        <w:tc>
          <w:tcPr>
            <w:tcW w:w="862" w:type="dxa"/>
            <w:hideMark/>
          </w:tcPr>
          <w:p w14:paraId="38A4643E"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0.9</w:t>
            </w:r>
          </w:p>
        </w:tc>
        <w:tc>
          <w:tcPr>
            <w:tcW w:w="843" w:type="dxa"/>
          </w:tcPr>
          <w:p w14:paraId="38A4643F"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22.2</w:t>
            </w:r>
          </w:p>
        </w:tc>
        <w:tc>
          <w:tcPr>
            <w:tcW w:w="843" w:type="dxa"/>
          </w:tcPr>
          <w:p w14:paraId="38A46440"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19.5</w:t>
            </w:r>
          </w:p>
        </w:tc>
        <w:tc>
          <w:tcPr>
            <w:tcW w:w="843" w:type="dxa"/>
          </w:tcPr>
          <w:p w14:paraId="38A46441"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6.2</w:t>
            </w:r>
          </w:p>
        </w:tc>
        <w:tc>
          <w:tcPr>
            <w:tcW w:w="843" w:type="dxa"/>
          </w:tcPr>
          <w:p w14:paraId="38A46442"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12.5</w:t>
            </w:r>
          </w:p>
        </w:tc>
        <w:tc>
          <w:tcPr>
            <w:tcW w:w="843" w:type="dxa"/>
            <w:hideMark/>
          </w:tcPr>
          <w:p w14:paraId="38A46443"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0.4</w:t>
            </w:r>
          </w:p>
        </w:tc>
        <w:tc>
          <w:tcPr>
            <w:tcW w:w="843" w:type="dxa"/>
            <w:hideMark/>
          </w:tcPr>
          <w:p w14:paraId="38A46444"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5.6</w:t>
            </w:r>
          </w:p>
        </w:tc>
      </w:tr>
      <w:tr w:rsidR="00317CA2" w:rsidRPr="00FB60E5" w14:paraId="38A4644F"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46" w14:textId="77777777" w:rsidR="00317CA2" w:rsidRPr="00FB60E5" w:rsidRDefault="00317CA2" w:rsidP="00500201">
            <w:pPr>
              <w:pStyle w:val="tabletext"/>
            </w:pPr>
            <w:r w:rsidRPr="00FB60E5">
              <w:t>Assessment only</w:t>
            </w:r>
          </w:p>
        </w:tc>
        <w:tc>
          <w:tcPr>
            <w:tcW w:w="862" w:type="dxa"/>
          </w:tcPr>
          <w:p w14:paraId="38A46447"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18.1</w:t>
            </w:r>
          </w:p>
        </w:tc>
        <w:tc>
          <w:tcPr>
            <w:tcW w:w="862" w:type="dxa"/>
            <w:hideMark/>
          </w:tcPr>
          <w:p w14:paraId="38A46448"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15.3</w:t>
            </w:r>
          </w:p>
        </w:tc>
        <w:tc>
          <w:tcPr>
            <w:tcW w:w="843" w:type="dxa"/>
          </w:tcPr>
          <w:p w14:paraId="38A46449"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41.0</w:t>
            </w:r>
          </w:p>
        </w:tc>
        <w:tc>
          <w:tcPr>
            <w:tcW w:w="843" w:type="dxa"/>
          </w:tcPr>
          <w:p w14:paraId="38A4644A"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22.1</w:t>
            </w:r>
          </w:p>
        </w:tc>
        <w:tc>
          <w:tcPr>
            <w:tcW w:w="843" w:type="dxa"/>
          </w:tcPr>
          <w:p w14:paraId="38A4644B"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22.9</w:t>
            </w:r>
          </w:p>
        </w:tc>
        <w:tc>
          <w:tcPr>
            <w:tcW w:w="843" w:type="dxa"/>
          </w:tcPr>
          <w:p w14:paraId="38A4644C"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10.2</w:t>
            </w:r>
          </w:p>
        </w:tc>
        <w:tc>
          <w:tcPr>
            <w:tcW w:w="843" w:type="dxa"/>
            <w:hideMark/>
          </w:tcPr>
          <w:p w14:paraId="38A4644D"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8.6</w:t>
            </w:r>
          </w:p>
        </w:tc>
        <w:tc>
          <w:tcPr>
            <w:tcW w:w="843" w:type="dxa"/>
            <w:hideMark/>
          </w:tcPr>
          <w:p w14:paraId="38A4644E"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7.4</w:t>
            </w:r>
          </w:p>
        </w:tc>
      </w:tr>
      <w:tr w:rsidR="00317CA2" w:rsidRPr="00FB60E5" w14:paraId="38A46459"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495" w:type="dxa"/>
            <w:hideMark/>
          </w:tcPr>
          <w:p w14:paraId="38A46450" w14:textId="77777777" w:rsidR="00317CA2" w:rsidRPr="00FB60E5" w:rsidRDefault="00317CA2" w:rsidP="00500201">
            <w:pPr>
              <w:pStyle w:val="tabletext"/>
            </w:pPr>
            <w:r w:rsidRPr="00FB60E5">
              <w:t>Other/pharmacotherapy</w:t>
            </w:r>
          </w:p>
        </w:tc>
        <w:tc>
          <w:tcPr>
            <w:tcW w:w="862" w:type="dxa"/>
          </w:tcPr>
          <w:p w14:paraId="38A46451"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3.8</w:t>
            </w:r>
          </w:p>
        </w:tc>
        <w:tc>
          <w:tcPr>
            <w:tcW w:w="862" w:type="dxa"/>
            <w:hideMark/>
          </w:tcPr>
          <w:p w14:paraId="38A46452"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15.9</w:t>
            </w:r>
          </w:p>
        </w:tc>
        <w:tc>
          <w:tcPr>
            <w:tcW w:w="843" w:type="dxa"/>
          </w:tcPr>
          <w:p w14:paraId="38A46453"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7.1</w:t>
            </w:r>
          </w:p>
        </w:tc>
        <w:tc>
          <w:tcPr>
            <w:tcW w:w="843" w:type="dxa"/>
          </w:tcPr>
          <w:p w14:paraId="38A46454"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2.9</w:t>
            </w:r>
          </w:p>
        </w:tc>
        <w:tc>
          <w:tcPr>
            <w:tcW w:w="843" w:type="dxa"/>
          </w:tcPr>
          <w:p w14:paraId="38A46455"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7.0</w:t>
            </w:r>
          </w:p>
        </w:tc>
        <w:tc>
          <w:tcPr>
            <w:tcW w:w="843" w:type="dxa"/>
          </w:tcPr>
          <w:p w14:paraId="38A46456"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0.8</w:t>
            </w:r>
          </w:p>
        </w:tc>
        <w:tc>
          <w:tcPr>
            <w:tcW w:w="843" w:type="dxa"/>
            <w:hideMark/>
          </w:tcPr>
          <w:p w14:paraId="38A46457"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1.1</w:t>
            </w:r>
          </w:p>
        </w:tc>
        <w:tc>
          <w:tcPr>
            <w:tcW w:w="843" w:type="dxa"/>
            <w:hideMark/>
          </w:tcPr>
          <w:p w14:paraId="38A46458" w14:textId="77777777" w:rsidR="00317CA2" w:rsidRPr="00FB60E5" w:rsidRDefault="00317CA2" w:rsidP="00500201">
            <w:pPr>
              <w:pStyle w:val="tabletext"/>
              <w:cnfStyle w:val="000000100000" w:firstRow="0" w:lastRow="0" w:firstColumn="0" w:lastColumn="0" w:oddVBand="0" w:evenVBand="0" w:oddHBand="1" w:evenHBand="0" w:firstRowFirstColumn="0" w:firstRowLastColumn="0" w:lastRowFirstColumn="0" w:lastRowLastColumn="0"/>
            </w:pPr>
            <w:r w:rsidRPr="00FB60E5">
              <w:t>2.2</w:t>
            </w:r>
          </w:p>
        </w:tc>
      </w:tr>
      <w:tr w:rsidR="00317CA2" w:rsidRPr="00FB60E5" w14:paraId="38A46463" w14:textId="77777777" w:rsidTr="00B90486">
        <w:trPr>
          <w:trHeight w:hRule="exact" w:val="624"/>
        </w:trPr>
        <w:tc>
          <w:tcPr>
            <w:cnfStyle w:val="001000000000" w:firstRow="0" w:lastRow="0" w:firstColumn="1" w:lastColumn="0" w:oddVBand="0" w:evenVBand="0" w:oddHBand="0" w:evenHBand="0" w:firstRowFirstColumn="0" w:firstRowLastColumn="0" w:lastRowFirstColumn="0" w:lastRowLastColumn="0"/>
            <w:tcW w:w="2495" w:type="dxa"/>
            <w:hideMark/>
          </w:tcPr>
          <w:p w14:paraId="38A4645A" w14:textId="77777777" w:rsidR="00317CA2" w:rsidRPr="00FB60E5" w:rsidRDefault="00317CA2" w:rsidP="00500201">
            <w:pPr>
              <w:pStyle w:val="tabletext"/>
            </w:pPr>
            <w:r w:rsidRPr="00FB60E5">
              <w:lastRenderedPageBreak/>
              <w:t xml:space="preserve">Total number of treatment episodes </w:t>
            </w:r>
          </w:p>
        </w:tc>
        <w:tc>
          <w:tcPr>
            <w:tcW w:w="862" w:type="dxa"/>
          </w:tcPr>
          <w:p w14:paraId="38A4645B"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4,010</w:t>
            </w:r>
          </w:p>
        </w:tc>
        <w:tc>
          <w:tcPr>
            <w:tcW w:w="862" w:type="dxa"/>
            <w:hideMark/>
          </w:tcPr>
          <w:p w14:paraId="38A4645C"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40,014</w:t>
            </w:r>
          </w:p>
        </w:tc>
        <w:tc>
          <w:tcPr>
            <w:tcW w:w="843" w:type="dxa"/>
          </w:tcPr>
          <w:p w14:paraId="38A4645D"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3,175</w:t>
            </w:r>
          </w:p>
        </w:tc>
        <w:tc>
          <w:tcPr>
            <w:tcW w:w="843" w:type="dxa"/>
          </w:tcPr>
          <w:p w14:paraId="38A4645E"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24,705</w:t>
            </w:r>
          </w:p>
        </w:tc>
        <w:tc>
          <w:tcPr>
            <w:tcW w:w="843" w:type="dxa"/>
          </w:tcPr>
          <w:p w14:paraId="38A4645F"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8,613</w:t>
            </w:r>
          </w:p>
        </w:tc>
        <w:tc>
          <w:tcPr>
            <w:tcW w:w="843" w:type="dxa"/>
          </w:tcPr>
          <w:p w14:paraId="38A46460"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1,554</w:t>
            </w:r>
          </w:p>
        </w:tc>
        <w:tc>
          <w:tcPr>
            <w:tcW w:w="843" w:type="dxa"/>
            <w:hideMark/>
          </w:tcPr>
          <w:p w14:paraId="38A46461"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50,004</w:t>
            </w:r>
          </w:p>
        </w:tc>
        <w:tc>
          <w:tcPr>
            <w:tcW w:w="843" w:type="dxa"/>
            <w:hideMark/>
          </w:tcPr>
          <w:p w14:paraId="38A46462" w14:textId="77777777" w:rsidR="00317CA2" w:rsidRPr="00FB60E5" w:rsidRDefault="00317CA2" w:rsidP="00500201">
            <w:pPr>
              <w:pStyle w:val="tabletext"/>
              <w:cnfStyle w:val="000000000000" w:firstRow="0" w:lastRow="0" w:firstColumn="0" w:lastColumn="0" w:oddVBand="0" w:evenVBand="0" w:oddHBand="0" w:evenHBand="0" w:firstRowFirstColumn="0" w:firstRowLastColumn="0" w:lastRowFirstColumn="0" w:lastRowLastColumn="0"/>
            </w:pPr>
            <w:r w:rsidRPr="00FB60E5">
              <w:t>17,403</w:t>
            </w:r>
          </w:p>
        </w:tc>
      </w:tr>
    </w:tbl>
    <w:p w14:paraId="38A46464" w14:textId="77777777" w:rsidR="00317CA2" w:rsidRPr="00FB60E5" w:rsidRDefault="00317CA2" w:rsidP="00B90486">
      <w:pPr>
        <w:pStyle w:val="FootnoteText"/>
      </w:pPr>
      <w:r w:rsidRPr="00FB60E5">
        <w:t>Source: AIHW AODTS NMDS, AOD treatment services in ACT 20</w:t>
      </w:r>
      <w:r w:rsidR="008E0FD3" w:rsidRPr="00FB60E5">
        <w:t>11-12</w:t>
      </w:r>
    </w:p>
    <w:p w14:paraId="38A46466" w14:textId="765C177B" w:rsidR="00D13083" w:rsidRPr="00FB60E5" w:rsidRDefault="00FA516F" w:rsidP="00FB60E5">
      <w:pPr>
        <w:ind w:left="0"/>
      </w:pPr>
      <w:r w:rsidRPr="00FB60E5">
        <w:t>We therefore repeated selected analyses with our data weighted according to PIT type to make our baseline sample representative of the whole population of closed treatment episodes. The AIHW reports numbers of closed episodes for counselling, withdrawal management, assessment only, support and case management only, rehabilitation, information and education only, pharmacotherapy, and “other”. Our sample did not include participants whose PIT types were support and case management only or information and education only, and the types of treatments defined as “other” in the AIHW data are unclear. Thus, numbers of episodes where these were the main treatment types were not counted in the total “population” of treatment episodes in WA and Victoria that we used to calculate weightings. Moreover, no data is presented in the AIHW report for Victoria or WA regarding number of treatment episodes where pharmacotherapy or referral to peer support was the main treatment type, and our participants who reported these as their PIT types were therefore excluded from weighted analyses.</w:t>
      </w:r>
      <w:r w:rsidR="00143847" w:rsidRPr="00FB60E5">
        <w:t xml:space="preserve"> </w:t>
      </w:r>
      <w:r w:rsidRPr="00FB60E5">
        <w:t>First we repeated bivariate chi-square analyses examining differences in outcome rates by PIT type</w:t>
      </w:r>
      <w:r w:rsidR="00D13083" w:rsidRPr="00FB60E5">
        <w:t xml:space="preserve"> (see </w:t>
      </w:r>
      <w:r w:rsidR="00552239">
        <w:fldChar w:fldCharType="begin"/>
      </w:r>
      <w:r w:rsidR="00552239">
        <w:instrText xml:space="preserve"> REF _Ref531624510 \h </w:instrText>
      </w:r>
      <w:r w:rsidR="00552239">
        <w:fldChar w:fldCharType="separate"/>
      </w:r>
      <w:r w:rsidR="00552239">
        <w:t xml:space="preserve">Table </w:t>
      </w:r>
      <w:r w:rsidR="00552239">
        <w:rPr>
          <w:noProof/>
        </w:rPr>
        <w:t>3</w:t>
      </w:r>
      <w:r w:rsidR="00552239">
        <w:t>.</w:t>
      </w:r>
      <w:r w:rsidR="00552239">
        <w:rPr>
          <w:noProof/>
        </w:rPr>
        <w:t>18</w:t>
      </w:r>
      <w:r w:rsidR="00552239">
        <w:fldChar w:fldCharType="end"/>
      </w:r>
      <w:r w:rsidR="00D13083" w:rsidRPr="00FB60E5">
        <w:t>)</w:t>
      </w:r>
      <w:r w:rsidRPr="00FB60E5">
        <w:t>.</w:t>
      </w:r>
    </w:p>
    <w:p w14:paraId="38A46468" w14:textId="083F1DF3" w:rsidR="00D13083" w:rsidRPr="00FB60E5" w:rsidRDefault="00552239" w:rsidP="00552239">
      <w:pPr>
        <w:pStyle w:val="Caption"/>
      </w:pPr>
      <w:bookmarkStart w:id="176" w:name="_Ref531624510"/>
      <w:bookmarkStart w:id="177" w:name="_Toc531625794"/>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18</w:t>
      </w:r>
      <w:r>
        <w:fldChar w:fldCharType="end"/>
      </w:r>
      <w:bookmarkEnd w:id="176"/>
      <w:r w:rsidR="006244F5" w:rsidRPr="00FB60E5">
        <w:t xml:space="preserve"> </w:t>
      </w:r>
      <w:r w:rsidR="00D13083" w:rsidRPr="00FB60E5">
        <w:t>Abstinence and Success rates by PIT using weighted and unweighted data</w:t>
      </w:r>
      <w:bookmarkEnd w:id="177"/>
    </w:p>
    <w:tbl>
      <w:tblPr>
        <w:tblStyle w:val="LightList-Accent1"/>
        <w:tblW w:w="5000" w:type="pct"/>
        <w:tblLook w:val="04A0" w:firstRow="1" w:lastRow="0" w:firstColumn="1" w:lastColumn="0" w:noHBand="0" w:noVBand="1"/>
        <w:tblCaption w:val="Table 3.18  Abstinence and Success rates by PIT using weighted and unweighted data "/>
        <w:tblDescription w:val="Table 3.18  Abstinence and Success rates by PIT using weighted and unweighted data "/>
      </w:tblPr>
      <w:tblGrid>
        <w:gridCol w:w="2802"/>
        <w:gridCol w:w="1701"/>
        <w:gridCol w:w="1702"/>
        <w:gridCol w:w="1558"/>
        <w:gridCol w:w="1479"/>
      </w:tblGrid>
      <w:tr w:rsidR="00D13083" w:rsidRPr="00FB60E5" w14:paraId="38A4646E" w14:textId="77777777" w:rsidTr="00B904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6" w:type="pct"/>
          </w:tcPr>
          <w:p w14:paraId="38A46469" w14:textId="77777777" w:rsidR="00D13083" w:rsidRPr="00FB60E5" w:rsidRDefault="00D13083" w:rsidP="00B90486">
            <w:pPr>
              <w:pStyle w:val="tabletext"/>
            </w:pPr>
            <w:r w:rsidRPr="00FB60E5">
              <w:t>PIT type</w:t>
            </w:r>
          </w:p>
        </w:tc>
        <w:tc>
          <w:tcPr>
            <w:tcW w:w="920" w:type="pct"/>
          </w:tcPr>
          <w:p w14:paraId="38A4646A"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Abstinence</w:t>
            </w:r>
          </w:p>
        </w:tc>
        <w:tc>
          <w:tcPr>
            <w:tcW w:w="921" w:type="pct"/>
          </w:tcPr>
          <w:p w14:paraId="38A4646B"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Abstinence (weighted)</w:t>
            </w:r>
          </w:p>
        </w:tc>
        <w:tc>
          <w:tcPr>
            <w:tcW w:w="843" w:type="pct"/>
          </w:tcPr>
          <w:p w14:paraId="38A4646C"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Success</w:t>
            </w:r>
          </w:p>
        </w:tc>
        <w:tc>
          <w:tcPr>
            <w:tcW w:w="800" w:type="pct"/>
          </w:tcPr>
          <w:p w14:paraId="38A4646D"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Success (weighted)</w:t>
            </w:r>
          </w:p>
        </w:tc>
      </w:tr>
      <w:tr w:rsidR="00D13083" w:rsidRPr="00FB60E5" w14:paraId="38A46474"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516" w:type="pct"/>
          </w:tcPr>
          <w:p w14:paraId="38A4646F" w14:textId="77777777" w:rsidR="00D13083" w:rsidRPr="00500201" w:rsidRDefault="00D13083" w:rsidP="00500201">
            <w:pPr>
              <w:pStyle w:val="tabletext"/>
            </w:pPr>
            <w:r w:rsidRPr="00500201">
              <w:t>Outpatient</w:t>
            </w:r>
          </w:p>
        </w:tc>
        <w:tc>
          <w:tcPr>
            <w:tcW w:w="920" w:type="pct"/>
          </w:tcPr>
          <w:p w14:paraId="38A46470"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27.6</w:t>
            </w:r>
          </w:p>
        </w:tc>
        <w:tc>
          <w:tcPr>
            <w:tcW w:w="921" w:type="pct"/>
          </w:tcPr>
          <w:p w14:paraId="38A46471"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27.4</w:t>
            </w:r>
          </w:p>
        </w:tc>
        <w:tc>
          <w:tcPr>
            <w:tcW w:w="843" w:type="pct"/>
          </w:tcPr>
          <w:p w14:paraId="38A46472"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41.8</w:t>
            </w:r>
          </w:p>
        </w:tc>
        <w:tc>
          <w:tcPr>
            <w:tcW w:w="800" w:type="pct"/>
          </w:tcPr>
          <w:p w14:paraId="38A46473"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41.3</w:t>
            </w:r>
          </w:p>
        </w:tc>
      </w:tr>
      <w:tr w:rsidR="00D13083" w:rsidRPr="00FB60E5" w14:paraId="38A4647A"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516" w:type="pct"/>
          </w:tcPr>
          <w:p w14:paraId="38A46475" w14:textId="77777777" w:rsidR="00D13083" w:rsidRPr="00500201" w:rsidRDefault="008E0FD3" w:rsidP="00500201">
            <w:pPr>
              <w:pStyle w:val="tabletext"/>
            </w:pPr>
            <w:r w:rsidRPr="00500201">
              <w:t>Acute withdrawal</w:t>
            </w:r>
          </w:p>
        </w:tc>
        <w:tc>
          <w:tcPr>
            <w:tcW w:w="920" w:type="pct"/>
          </w:tcPr>
          <w:p w14:paraId="38A46476"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21.3</w:t>
            </w:r>
          </w:p>
        </w:tc>
        <w:tc>
          <w:tcPr>
            <w:tcW w:w="921" w:type="pct"/>
          </w:tcPr>
          <w:p w14:paraId="38A46477"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21.3</w:t>
            </w:r>
          </w:p>
        </w:tc>
        <w:tc>
          <w:tcPr>
            <w:tcW w:w="843" w:type="pct"/>
          </w:tcPr>
          <w:p w14:paraId="38A46478"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35.1</w:t>
            </w:r>
          </w:p>
        </w:tc>
        <w:tc>
          <w:tcPr>
            <w:tcW w:w="800" w:type="pct"/>
          </w:tcPr>
          <w:p w14:paraId="38A46479"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35.2</w:t>
            </w:r>
          </w:p>
        </w:tc>
      </w:tr>
      <w:tr w:rsidR="00D13083" w:rsidRPr="00FB60E5" w14:paraId="38A46480"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516" w:type="pct"/>
          </w:tcPr>
          <w:p w14:paraId="38A4647B" w14:textId="77777777" w:rsidR="00D13083" w:rsidRPr="00500201" w:rsidRDefault="008E0FD3" w:rsidP="00500201">
            <w:pPr>
              <w:pStyle w:val="tabletext"/>
            </w:pPr>
            <w:r w:rsidRPr="00500201">
              <w:t xml:space="preserve">Residential </w:t>
            </w:r>
            <w:r w:rsidR="00D13083" w:rsidRPr="00500201">
              <w:t>rehabilitation</w:t>
            </w:r>
          </w:p>
        </w:tc>
        <w:tc>
          <w:tcPr>
            <w:tcW w:w="920" w:type="pct"/>
          </w:tcPr>
          <w:p w14:paraId="38A4647C"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36.2</w:t>
            </w:r>
          </w:p>
        </w:tc>
        <w:tc>
          <w:tcPr>
            <w:tcW w:w="921" w:type="pct"/>
          </w:tcPr>
          <w:p w14:paraId="38A4647D"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36.1</w:t>
            </w:r>
          </w:p>
        </w:tc>
        <w:tc>
          <w:tcPr>
            <w:tcW w:w="843" w:type="pct"/>
          </w:tcPr>
          <w:p w14:paraId="38A4647E"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40.1</w:t>
            </w:r>
          </w:p>
        </w:tc>
        <w:tc>
          <w:tcPr>
            <w:tcW w:w="800" w:type="pct"/>
          </w:tcPr>
          <w:p w14:paraId="38A4647F"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40.0</w:t>
            </w:r>
          </w:p>
        </w:tc>
      </w:tr>
      <w:tr w:rsidR="00D13083" w:rsidRPr="00FB60E5" w14:paraId="38A46486"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516" w:type="pct"/>
          </w:tcPr>
          <w:p w14:paraId="38A46481" w14:textId="77777777" w:rsidR="00D13083" w:rsidRPr="00500201" w:rsidRDefault="00D13083" w:rsidP="00500201">
            <w:pPr>
              <w:pStyle w:val="tabletext"/>
            </w:pPr>
            <w:r w:rsidRPr="00500201">
              <w:t>Total</w:t>
            </w:r>
          </w:p>
        </w:tc>
        <w:tc>
          <w:tcPr>
            <w:tcW w:w="920" w:type="pct"/>
          </w:tcPr>
          <w:p w14:paraId="38A46482"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27.2</w:t>
            </w:r>
          </w:p>
        </w:tc>
        <w:tc>
          <w:tcPr>
            <w:tcW w:w="921" w:type="pct"/>
          </w:tcPr>
          <w:p w14:paraId="38A46483"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26.4</w:t>
            </w:r>
          </w:p>
        </w:tc>
        <w:tc>
          <w:tcPr>
            <w:tcW w:w="843" w:type="pct"/>
          </w:tcPr>
          <w:p w14:paraId="38A46484"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38.3</w:t>
            </w:r>
          </w:p>
        </w:tc>
        <w:tc>
          <w:tcPr>
            <w:tcW w:w="800" w:type="pct"/>
          </w:tcPr>
          <w:p w14:paraId="38A46485"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39.9</w:t>
            </w:r>
          </w:p>
        </w:tc>
      </w:tr>
      <w:tr w:rsidR="00D13083" w:rsidRPr="00FB60E5" w14:paraId="38A4648C" w14:textId="77777777" w:rsidTr="00B90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tcPr>
          <w:p w14:paraId="38A46487" w14:textId="77777777" w:rsidR="00D13083" w:rsidRPr="00500201" w:rsidRDefault="00143847" w:rsidP="00500201">
            <w:pPr>
              <w:pStyle w:val="tabletext"/>
            </w:pPr>
            <w:r w:rsidRPr="00500201">
              <w:sym w:font="Symbol" w:char="F063"/>
            </w:r>
            <w:r w:rsidRPr="00500201">
              <w:t>2</w:t>
            </w:r>
            <w:r w:rsidR="00D13083" w:rsidRPr="00500201">
              <w:t xml:space="preserve"> and (p value)</w:t>
            </w:r>
          </w:p>
        </w:tc>
        <w:tc>
          <w:tcPr>
            <w:tcW w:w="920" w:type="pct"/>
          </w:tcPr>
          <w:p w14:paraId="38A46488"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14.6 (p &lt;.01)</w:t>
            </w:r>
          </w:p>
        </w:tc>
        <w:tc>
          <w:tcPr>
            <w:tcW w:w="921" w:type="pct"/>
          </w:tcPr>
          <w:p w14:paraId="38A46489"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4.3 (p = 0.11)</w:t>
            </w:r>
          </w:p>
        </w:tc>
        <w:tc>
          <w:tcPr>
            <w:tcW w:w="843" w:type="pct"/>
          </w:tcPr>
          <w:p w14:paraId="38A4648A"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2.7 (p = 0.25)</w:t>
            </w:r>
          </w:p>
        </w:tc>
        <w:tc>
          <w:tcPr>
            <w:tcW w:w="800" w:type="pct"/>
          </w:tcPr>
          <w:p w14:paraId="38A4648B"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2.0 (p = 0.36)</w:t>
            </w:r>
          </w:p>
        </w:tc>
      </w:tr>
    </w:tbl>
    <w:p w14:paraId="38A4648E" w14:textId="0CB47197" w:rsidR="00FA516F" w:rsidRPr="00FB60E5" w:rsidRDefault="00FA516F" w:rsidP="00FB60E5">
      <w:pPr>
        <w:ind w:left="0"/>
      </w:pPr>
      <w:r w:rsidRPr="00FB60E5">
        <w:t xml:space="preserve">The overall weighted rate of abstinence from the baseline PDOC at follow-up was 33% (down slightly from the 38% observed in unweighted </w:t>
      </w:r>
      <w:r w:rsidR="000A2E35" w:rsidRPr="00FB60E5">
        <w:t>analysis</w:t>
      </w:r>
      <w:r w:rsidRPr="00FB60E5">
        <w:t>). The rate of this outcome differed significantly by PIT type</w:t>
      </w:r>
      <w:r w:rsidR="000A2E35" w:rsidRPr="00FB60E5">
        <w:t>.</w:t>
      </w:r>
      <w:r w:rsidRPr="00FB60E5">
        <w:t xml:space="preserve"> Those with long-term residential treatment as their PIT showed superior rates of abstinence to outpatients and those in acute withdrawal (57% vs. 33% and 30% respectively, p &lt; .05). The weighted rate for </w:t>
      </w:r>
      <w:r w:rsidR="006E2012" w:rsidRPr="00FB60E5">
        <w:t xml:space="preserve">treatment </w:t>
      </w:r>
      <w:r w:rsidRPr="00FB60E5">
        <w:t xml:space="preserve">success </w:t>
      </w:r>
      <w:r w:rsidR="006E2012" w:rsidRPr="00FB60E5">
        <w:t>(abstinence or at least a 50% reduction in frequency of use of PDOC</w:t>
      </w:r>
      <w:r w:rsidR="00D27010" w:rsidRPr="00FB60E5">
        <w:t xml:space="preserve">) </w:t>
      </w:r>
      <w:r w:rsidRPr="00FB60E5">
        <w:t xml:space="preserve">was 50% and for abstinence from all DOCs was 28%. Differences between PIT types did not reach significance for these outcomes in weighted analyses. Assuming that all participants who withdrew or were lost to follow-up were treatment failures, weighted outcome rates would be 26% for PDOC abstinence and 40% for </w:t>
      </w:r>
      <w:r w:rsidR="00D27010" w:rsidRPr="00FB60E5">
        <w:t xml:space="preserve">treatment </w:t>
      </w:r>
      <w:r w:rsidRPr="00FB60E5">
        <w:t>success, and these rates did not differ significantly by PIT type. Chi square analyses comparing these outcomes by PDOC suggested that participants with opioids or meth</w:t>
      </w:r>
      <w:r w:rsidR="00E977AF" w:rsidRPr="00FB60E5">
        <w:t>/</w:t>
      </w:r>
      <w:r w:rsidRPr="00FB60E5">
        <w:t xml:space="preserve">amphetamine as their PDOCs had consistently better outcomes than those with alcohol, cannabis, or other substances as their PDOC (see </w:t>
      </w:r>
      <w:r w:rsidR="00552239">
        <w:fldChar w:fldCharType="begin"/>
      </w:r>
      <w:r w:rsidR="00552239">
        <w:instrText xml:space="preserve"> REF _Ref531624531 \h </w:instrText>
      </w:r>
      <w:r w:rsidR="00552239">
        <w:fldChar w:fldCharType="separate"/>
      </w:r>
      <w:r w:rsidR="00552239">
        <w:t xml:space="preserve">Table </w:t>
      </w:r>
      <w:r w:rsidR="00552239">
        <w:rPr>
          <w:noProof/>
        </w:rPr>
        <w:t>3</w:t>
      </w:r>
      <w:r w:rsidR="00552239">
        <w:t>.</w:t>
      </w:r>
      <w:r w:rsidR="00552239">
        <w:rPr>
          <w:noProof/>
        </w:rPr>
        <w:t>19</w:t>
      </w:r>
      <w:r w:rsidR="00552239">
        <w:fldChar w:fldCharType="end"/>
      </w:r>
      <w:r w:rsidR="00D13083" w:rsidRPr="00FB60E5">
        <w:t xml:space="preserve"> </w:t>
      </w:r>
      <w:r w:rsidR="00D260C2" w:rsidRPr="00FB60E5">
        <w:t>to</w:t>
      </w:r>
      <w:r w:rsidR="00D13083" w:rsidRPr="00FB60E5">
        <w:t xml:space="preserve"> </w:t>
      </w:r>
      <w:r w:rsidR="00552239">
        <w:fldChar w:fldCharType="begin"/>
      </w:r>
      <w:r w:rsidR="00552239">
        <w:instrText xml:space="preserve"> REF _Ref531624579 \h </w:instrText>
      </w:r>
      <w:r w:rsidR="00552239">
        <w:fldChar w:fldCharType="separate"/>
      </w:r>
      <w:r w:rsidR="00552239">
        <w:t xml:space="preserve">Table </w:t>
      </w:r>
      <w:r w:rsidR="00552239">
        <w:rPr>
          <w:noProof/>
        </w:rPr>
        <w:t>3</w:t>
      </w:r>
      <w:r w:rsidR="00552239">
        <w:t>.</w:t>
      </w:r>
      <w:r w:rsidR="00552239">
        <w:rPr>
          <w:noProof/>
        </w:rPr>
        <w:t>21</w:t>
      </w:r>
      <w:r w:rsidR="00552239">
        <w:fldChar w:fldCharType="end"/>
      </w:r>
      <w:r w:rsidRPr="00FB60E5">
        <w:t>).</w:t>
      </w:r>
    </w:p>
    <w:p w14:paraId="38A4648F" w14:textId="6F4B7EE0" w:rsidR="00D13083" w:rsidRPr="00FB60E5" w:rsidRDefault="00552239" w:rsidP="00552239">
      <w:pPr>
        <w:pStyle w:val="Caption"/>
      </w:pPr>
      <w:bookmarkStart w:id="178" w:name="_Ref531624531"/>
      <w:bookmarkStart w:id="179" w:name="_Toc531625795"/>
      <w:proofErr w:type="gramStart"/>
      <w:r>
        <w:t xml:space="preserve">Table </w:t>
      </w:r>
      <w:r>
        <w:fldChar w:fldCharType="begin"/>
      </w:r>
      <w:r>
        <w:instrText xml:space="preserve"> STYLEREF 1 \s </w:instrText>
      </w:r>
      <w:r>
        <w:fldChar w:fldCharType="separate"/>
      </w:r>
      <w:r>
        <w:rPr>
          <w:noProof/>
        </w:rPr>
        <w:t>3</w:t>
      </w:r>
      <w:r>
        <w:fldChar w:fldCharType="end"/>
      </w:r>
      <w:r>
        <w:t>.</w:t>
      </w:r>
      <w:proofErr w:type="gramEnd"/>
      <w:r>
        <w:fldChar w:fldCharType="begin"/>
      </w:r>
      <w:r>
        <w:instrText xml:space="preserve"> SEQ Table \* ARABIC \s 1 </w:instrText>
      </w:r>
      <w:r>
        <w:fldChar w:fldCharType="separate"/>
      </w:r>
      <w:r>
        <w:rPr>
          <w:noProof/>
        </w:rPr>
        <w:t>19</w:t>
      </w:r>
      <w:r>
        <w:fldChar w:fldCharType="end"/>
      </w:r>
      <w:bookmarkEnd w:id="178"/>
      <w:r w:rsidR="00A27AF7" w:rsidRPr="00FB60E5">
        <w:t xml:space="preserve"> </w:t>
      </w:r>
      <w:r w:rsidR="00D13083" w:rsidRPr="00FB60E5">
        <w:t>Abstinence and Success rates by PDOC using weighted and unweighted data</w:t>
      </w:r>
      <w:bookmarkEnd w:id="179"/>
    </w:p>
    <w:tbl>
      <w:tblPr>
        <w:tblStyle w:val="LightList-Accent1"/>
        <w:tblW w:w="0" w:type="auto"/>
        <w:tblLook w:val="04A0" w:firstRow="1" w:lastRow="0" w:firstColumn="1" w:lastColumn="0" w:noHBand="0" w:noVBand="1"/>
        <w:tblCaption w:val="Table 3.19  Abstinence and Success rates by PDOC using weighted and unweighted data "/>
        <w:tblDescription w:val="Table 3.19  Abstinence and Success rates by PDOC using weighted and unweighted data "/>
      </w:tblPr>
      <w:tblGrid>
        <w:gridCol w:w="2090"/>
        <w:gridCol w:w="1795"/>
        <w:gridCol w:w="1795"/>
        <w:gridCol w:w="1768"/>
        <w:gridCol w:w="1794"/>
      </w:tblGrid>
      <w:tr w:rsidR="00D13083" w:rsidRPr="00FB60E5" w14:paraId="38A46495" w14:textId="77777777" w:rsidTr="00B90486">
        <w:trPr>
          <w:cnfStyle w:val="100000000000" w:firstRow="1" w:lastRow="0" w:firstColumn="0" w:lastColumn="0" w:oddVBand="0" w:evenVBand="0" w:oddHBand="0" w:evenHBand="0" w:firstRowFirstColumn="0" w:firstRowLastColumn="0" w:lastRowFirstColumn="0" w:lastRowLastColumn="0"/>
          <w:trHeight w:hRule="exact" w:val="567"/>
          <w:tblHeader/>
        </w:trPr>
        <w:tc>
          <w:tcPr>
            <w:cnfStyle w:val="001000000000" w:firstRow="0" w:lastRow="0" w:firstColumn="1" w:lastColumn="0" w:oddVBand="0" w:evenVBand="0" w:oddHBand="0" w:evenHBand="0" w:firstRowFirstColumn="0" w:firstRowLastColumn="0" w:lastRowFirstColumn="0" w:lastRowLastColumn="0"/>
            <w:tcW w:w="1848" w:type="dxa"/>
          </w:tcPr>
          <w:p w14:paraId="38A46490" w14:textId="77777777" w:rsidR="00D13083" w:rsidRPr="00FB60E5" w:rsidRDefault="00D13083" w:rsidP="00B90486">
            <w:pPr>
              <w:pStyle w:val="tabletext"/>
            </w:pPr>
            <w:r w:rsidRPr="00FB60E5">
              <w:t>PDOC</w:t>
            </w:r>
          </w:p>
        </w:tc>
        <w:tc>
          <w:tcPr>
            <w:tcW w:w="1848" w:type="dxa"/>
          </w:tcPr>
          <w:p w14:paraId="38A46491"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Abstinence</w:t>
            </w:r>
          </w:p>
        </w:tc>
        <w:tc>
          <w:tcPr>
            <w:tcW w:w="1848" w:type="dxa"/>
          </w:tcPr>
          <w:p w14:paraId="38A46492"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Abstinence (weighted)</w:t>
            </w:r>
          </w:p>
        </w:tc>
        <w:tc>
          <w:tcPr>
            <w:tcW w:w="1849" w:type="dxa"/>
          </w:tcPr>
          <w:p w14:paraId="38A46493"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Success</w:t>
            </w:r>
          </w:p>
        </w:tc>
        <w:tc>
          <w:tcPr>
            <w:tcW w:w="1849" w:type="dxa"/>
          </w:tcPr>
          <w:p w14:paraId="38A46494"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Success (weighted)</w:t>
            </w:r>
          </w:p>
        </w:tc>
      </w:tr>
      <w:tr w:rsidR="00D13083" w:rsidRPr="00FB60E5" w14:paraId="38A4649B"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96" w14:textId="77777777" w:rsidR="00D13083" w:rsidRPr="00500201" w:rsidRDefault="00D13083" w:rsidP="00500201">
            <w:pPr>
              <w:pStyle w:val="tabletext"/>
            </w:pPr>
            <w:r w:rsidRPr="00500201">
              <w:t>Alcohol</w:t>
            </w:r>
          </w:p>
        </w:tc>
        <w:tc>
          <w:tcPr>
            <w:tcW w:w="1848" w:type="dxa"/>
          </w:tcPr>
          <w:p w14:paraId="38A46497"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21.3</w:t>
            </w:r>
          </w:p>
        </w:tc>
        <w:tc>
          <w:tcPr>
            <w:tcW w:w="1848" w:type="dxa"/>
          </w:tcPr>
          <w:p w14:paraId="38A46498"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19.7</w:t>
            </w:r>
          </w:p>
        </w:tc>
        <w:tc>
          <w:tcPr>
            <w:tcW w:w="1849" w:type="dxa"/>
          </w:tcPr>
          <w:p w14:paraId="38A46499"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34.9</w:t>
            </w:r>
          </w:p>
        </w:tc>
        <w:tc>
          <w:tcPr>
            <w:tcW w:w="1849" w:type="dxa"/>
          </w:tcPr>
          <w:p w14:paraId="38A4649A"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34.3</w:t>
            </w:r>
          </w:p>
        </w:tc>
      </w:tr>
      <w:tr w:rsidR="00D13083" w:rsidRPr="00FB60E5" w14:paraId="38A464A1"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9C" w14:textId="77777777" w:rsidR="00D13083" w:rsidRPr="00500201" w:rsidRDefault="00D13083" w:rsidP="00500201">
            <w:pPr>
              <w:pStyle w:val="tabletext"/>
            </w:pPr>
            <w:r w:rsidRPr="00500201">
              <w:t>Cannabis</w:t>
            </w:r>
          </w:p>
        </w:tc>
        <w:tc>
          <w:tcPr>
            <w:tcW w:w="1848" w:type="dxa"/>
          </w:tcPr>
          <w:p w14:paraId="38A4649D"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23.4</w:t>
            </w:r>
          </w:p>
        </w:tc>
        <w:tc>
          <w:tcPr>
            <w:tcW w:w="1848" w:type="dxa"/>
          </w:tcPr>
          <w:p w14:paraId="38A4649E"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24.6</w:t>
            </w:r>
          </w:p>
        </w:tc>
        <w:tc>
          <w:tcPr>
            <w:tcW w:w="1849" w:type="dxa"/>
          </w:tcPr>
          <w:p w14:paraId="38A4649F"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38.1</w:t>
            </w:r>
          </w:p>
        </w:tc>
        <w:tc>
          <w:tcPr>
            <w:tcW w:w="1849" w:type="dxa"/>
          </w:tcPr>
          <w:p w14:paraId="38A464A0"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39.9</w:t>
            </w:r>
          </w:p>
        </w:tc>
      </w:tr>
      <w:tr w:rsidR="00D13083" w:rsidRPr="00FB60E5" w14:paraId="38A464A7"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A2" w14:textId="77777777" w:rsidR="00D13083" w:rsidRPr="00500201" w:rsidRDefault="007B2AEE" w:rsidP="00500201">
            <w:pPr>
              <w:pStyle w:val="tabletext"/>
            </w:pPr>
            <w:r w:rsidRPr="00500201">
              <w:t>Opioids</w:t>
            </w:r>
          </w:p>
        </w:tc>
        <w:tc>
          <w:tcPr>
            <w:tcW w:w="1848" w:type="dxa"/>
          </w:tcPr>
          <w:p w14:paraId="38A464A3"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34.5</w:t>
            </w:r>
          </w:p>
        </w:tc>
        <w:tc>
          <w:tcPr>
            <w:tcW w:w="1848" w:type="dxa"/>
          </w:tcPr>
          <w:p w14:paraId="38A464A4"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37.0</w:t>
            </w:r>
          </w:p>
        </w:tc>
        <w:tc>
          <w:tcPr>
            <w:tcW w:w="1849" w:type="dxa"/>
          </w:tcPr>
          <w:p w14:paraId="38A464A5"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43.2</w:t>
            </w:r>
          </w:p>
        </w:tc>
        <w:tc>
          <w:tcPr>
            <w:tcW w:w="1849" w:type="dxa"/>
          </w:tcPr>
          <w:p w14:paraId="38A464A6"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47.5</w:t>
            </w:r>
          </w:p>
        </w:tc>
      </w:tr>
      <w:tr w:rsidR="00D13083" w:rsidRPr="00FB60E5" w14:paraId="38A464AD"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A8" w14:textId="77777777" w:rsidR="00D13083" w:rsidRPr="00500201" w:rsidRDefault="00E977AF" w:rsidP="00500201">
            <w:pPr>
              <w:pStyle w:val="tabletext"/>
            </w:pPr>
            <w:r w:rsidRPr="00500201">
              <w:t>Meth/a</w:t>
            </w:r>
            <w:r w:rsidR="00D13083" w:rsidRPr="00500201">
              <w:t>mphetamine</w:t>
            </w:r>
          </w:p>
        </w:tc>
        <w:tc>
          <w:tcPr>
            <w:tcW w:w="1848" w:type="dxa"/>
          </w:tcPr>
          <w:p w14:paraId="38A464A9"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37.8</w:t>
            </w:r>
          </w:p>
        </w:tc>
        <w:tc>
          <w:tcPr>
            <w:tcW w:w="1848" w:type="dxa"/>
          </w:tcPr>
          <w:p w14:paraId="38A464AA"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38.4</w:t>
            </w:r>
          </w:p>
        </w:tc>
        <w:tc>
          <w:tcPr>
            <w:tcW w:w="1849" w:type="dxa"/>
          </w:tcPr>
          <w:p w14:paraId="38A464AB"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45.2</w:t>
            </w:r>
          </w:p>
        </w:tc>
        <w:tc>
          <w:tcPr>
            <w:tcW w:w="1849" w:type="dxa"/>
          </w:tcPr>
          <w:p w14:paraId="38A464AC"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51.3</w:t>
            </w:r>
          </w:p>
        </w:tc>
      </w:tr>
      <w:tr w:rsidR="00D13083" w:rsidRPr="00FB60E5" w14:paraId="38A464B3"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AE" w14:textId="77777777" w:rsidR="00D13083" w:rsidRPr="00500201" w:rsidRDefault="00D13083" w:rsidP="00500201">
            <w:pPr>
              <w:pStyle w:val="tabletext"/>
            </w:pPr>
            <w:r w:rsidRPr="00500201">
              <w:lastRenderedPageBreak/>
              <w:t>Other</w:t>
            </w:r>
          </w:p>
        </w:tc>
        <w:tc>
          <w:tcPr>
            <w:tcW w:w="1848" w:type="dxa"/>
          </w:tcPr>
          <w:p w14:paraId="38A464AF"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25.0</w:t>
            </w:r>
          </w:p>
        </w:tc>
        <w:tc>
          <w:tcPr>
            <w:tcW w:w="1848" w:type="dxa"/>
          </w:tcPr>
          <w:p w14:paraId="38A464B0"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21.7</w:t>
            </w:r>
          </w:p>
        </w:tc>
        <w:tc>
          <w:tcPr>
            <w:tcW w:w="1849" w:type="dxa"/>
          </w:tcPr>
          <w:p w14:paraId="38A464B1"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27.3</w:t>
            </w:r>
          </w:p>
        </w:tc>
        <w:tc>
          <w:tcPr>
            <w:tcW w:w="1849" w:type="dxa"/>
          </w:tcPr>
          <w:p w14:paraId="38A464B2"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22.7</w:t>
            </w:r>
          </w:p>
        </w:tc>
      </w:tr>
      <w:tr w:rsidR="00D13083" w:rsidRPr="00FB60E5" w14:paraId="38A464B9"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B4" w14:textId="77777777" w:rsidR="00D13083" w:rsidRPr="00500201" w:rsidRDefault="00D13083" w:rsidP="00500201">
            <w:pPr>
              <w:pStyle w:val="tabletext"/>
            </w:pPr>
            <w:r w:rsidRPr="00500201">
              <w:t>Total</w:t>
            </w:r>
          </w:p>
        </w:tc>
        <w:tc>
          <w:tcPr>
            <w:tcW w:w="1848" w:type="dxa"/>
          </w:tcPr>
          <w:p w14:paraId="38A464B5"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27.3</w:t>
            </w:r>
          </w:p>
        </w:tc>
        <w:tc>
          <w:tcPr>
            <w:tcW w:w="1848" w:type="dxa"/>
          </w:tcPr>
          <w:p w14:paraId="38A464B6"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26.6</w:t>
            </w:r>
          </w:p>
        </w:tc>
        <w:tc>
          <w:tcPr>
            <w:tcW w:w="1849" w:type="dxa"/>
          </w:tcPr>
          <w:p w14:paraId="38A464B7"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38.4</w:t>
            </w:r>
          </w:p>
        </w:tc>
        <w:tc>
          <w:tcPr>
            <w:tcW w:w="1849" w:type="dxa"/>
          </w:tcPr>
          <w:p w14:paraId="38A464B8"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40.0</w:t>
            </w:r>
          </w:p>
        </w:tc>
      </w:tr>
      <w:tr w:rsidR="00D13083" w:rsidRPr="00FB60E5" w14:paraId="38A464BF"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848" w:type="dxa"/>
          </w:tcPr>
          <w:p w14:paraId="38A464BA" w14:textId="77777777" w:rsidR="00D13083" w:rsidRPr="00500201" w:rsidRDefault="006244F5" w:rsidP="00500201">
            <w:pPr>
              <w:pStyle w:val="tabletext"/>
            </w:pPr>
            <w:r w:rsidRPr="00500201">
              <w:sym w:font="Symbol" w:char="F063"/>
            </w:r>
            <w:r w:rsidRPr="00500201">
              <w:t>2 a</w:t>
            </w:r>
            <w:r w:rsidR="00D13083" w:rsidRPr="00500201">
              <w:t>nd (p value)</w:t>
            </w:r>
          </w:p>
        </w:tc>
        <w:tc>
          <w:tcPr>
            <w:tcW w:w="1848" w:type="dxa"/>
          </w:tcPr>
          <w:p w14:paraId="38A464BB"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18.0 (p &lt;.001)</w:t>
            </w:r>
          </w:p>
        </w:tc>
        <w:tc>
          <w:tcPr>
            <w:tcW w:w="1848" w:type="dxa"/>
          </w:tcPr>
          <w:p w14:paraId="38A464BC"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25.1 (p &lt;.001)</w:t>
            </w:r>
          </w:p>
        </w:tc>
        <w:tc>
          <w:tcPr>
            <w:tcW w:w="1849" w:type="dxa"/>
          </w:tcPr>
          <w:p w14:paraId="38A464BD"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6.9 (p = 0.14)</w:t>
            </w:r>
          </w:p>
        </w:tc>
        <w:tc>
          <w:tcPr>
            <w:tcW w:w="1849" w:type="dxa"/>
          </w:tcPr>
          <w:p w14:paraId="38A464BE"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16.0 (p &lt;.01)</w:t>
            </w:r>
          </w:p>
        </w:tc>
      </w:tr>
    </w:tbl>
    <w:p w14:paraId="38A464C2" w14:textId="59BAA976" w:rsidR="00D13083" w:rsidRPr="00FB60E5" w:rsidRDefault="00B90486" w:rsidP="00B90486">
      <w:pPr>
        <w:pStyle w:val="Caption"/>
      </w:pPr>
      <w:bookmarkStart w:id="180" w:name="_Toc531625796"/>
      <w:proofErr w:type="gramStart"/>
      <w:r>
        <w:t xml:space="preserve">Table </w:t>
      </w:r>
      <w:r w:rsidR="00552239">
        <w:fldChar w:fldCharType="begin"/>
      </w:r>
      <w:r w:rsidR="00552239">
        <w:instrText xml:space="preserve"> STYLEREF 1 \s </w:instrText>
      </w:r>
      <w:r w:rsidR="00552239">
        <w:fldChar w:fldCharType="separate"/>
      </w:r>
      <w:r w:rsidR="00552239">
        <w:rPr>
          <w:noProof/>
        </w:rPr>
        <w:t>3</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20</w:t>
      </w:r>
      <w:r w:rsidR="00552239">
        <w:fldChar w:fldCharType="end"/>
      </w:r>
      <w:r w:rsidR="006244F5" w:rsidRPr="00FB60E5">
        <w:t xml:space="preserve"> </w:t>
      </w:r>
      <w:r w:rsidR="00D13083" w:rsidRPr="00FB60E5">
        <w:t>Key outcome by PIT using weighted data</w:t>
      </w:r>
      <w:bookmarkEnd w:id="180"/>
    </w:p>
    <w:tbl>
      <w:tblPr>
        <w:tblStyle w:val="LightList-Accent1"/>
        <w:tblW w:w="5000" w:type="pct"/>
        <w:tblLook w:val="04A0" w:firstRow="1" w:lastRow="0" w:firstColumn="1" w:lastColumn="0" w:noHBand="0" w:noVBand="1"/>
        <w:tblCaption w:val="Table 3.20  Key outcome by PIT using weighted data "/>
        <w:tblDescription w:val="Table 3.20  Key outcome by PIT using weighted data "/>
      </w:tblPr>
      <w:tblGrid>
        <w:gridCol w:w="3219"/>
        <w:gridCol w:w="1408"/>
        <w:gridCol w:w="1555"/>
        <w:gridCol w:w="1464"/>
        <w:gridCol w:w="1596"/>
      </w:tblGrid>
      <w:tr w:rsidR="00D13083" w:rsidRPr="00FB60E5" w14:paraId="38A464CB" w14:textId="77777777" w:rsidTr="00B90486">
        <w:trPr>
          <w:cnfStyle w:val="100000000000" w:firstRow="1" w:lastRow="0" w:firstColumn="0" w:lastColumn="0" w:oddVBand="0" w:evenVBand="0" w:oddHBand="0" w:evenHBand="0" w:firstRowFirstColumn="0" w:firstRowLastColumn="0" w:lastRowFirstColumn="0" w:lastRowLastColumn="0"/>
          <w:trHeight w:hRule="exact" w:val="916"/>
          <w:tblHeader/>
        </w:trPr>
        <w:tc>
          <w:tcPr>
            <w:cnfStyle w:val="001000000000" w:firstRow="0" w:lastRow="0" w:firstColumn="1" w:lastColumn="0" w:oddVBand="0" w:evenVBand="0" w:oddHBand="0" w:evenHBand="0" w:firstRowFirstColumn="0" w:firstRowLastColumn="0" w:lastRowFirstColumn="0" w:lastRowLastColumn="0"/>
            <w:tcW w:w="1746" w:type="pct"/>
          </w:tcPr>
          <w:p w14:paraId="38A464C3" w14:textId="77777777" w:rsidR="00D13083" w:rsidRPr="00FB60E5" w:rsidRDefault="00D13083" w:rsidP="00B90486">
            <w:pPr>
              <w:pStyle w:val="tabletext"/>
            </w:pPr>
            <w:r w:rsidRPr="00FB60E5">
              <w:t>Key Outcomes</w:t>
            </w:r>
          </w:p>
        </w:tc>
        <w:tc>
          <w:tcPr>
            <w:tcW w:w="766" w:type="pct"/>
          </w:tcPr>
          <w:p w14:paraId="38A464C4"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Outpatient</w:t>
            </w:r>
          </w:p>
          <w:p w14:paraId="38A464C5"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845" w:type="pct"/>
          </w:tcPr>
          <w:p w14:paraId="38A464C6"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Detoxification</w:t>
            </w:r>
          </w:p>
          <w:p w14:paraId="38A464C7"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776" w:type="pct"/>
          </w:tcPr>
          <w:p w14:paraId="38A464C8"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Residential rehabilitation</w:t>
            </w:r>
          </w:p>
          <w:p w14:paraId="38A464C9"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w:t>
            </w:r>
          </w:p>
        </w:tc>
        <w:tc>
          <w:tcPr>
            <w:tcW w:w="867" w:type="pct"/>
          </w:tcPr>
          <w:p w14:paraId="38A464CA" w14:textId="77777777" w:rsidR="00D13083" w:rsidRPr="00FB60E5" w:rsidRDefault="00D13083" w:rsidP="00B90486">
            <w:pPr>
              <w:pStyle w:val="tabletext"/>
              <w:cnfStyle w:val="100000000000" w:firstRow="1" w:lastRow="0" w:firstColumn="0" w:lastColumn="0" w:oddVBand="0" w:evenVBand="0" w:oddHBand="0" w:evenHBand="0" w:firstRowFirstColumn="0" w:firstRowLastColumn="0" w:lastRowFirstColumn="0" w:lastRowLastColumn="0"/>
            </w:pPr>
            <w:r w:rsidRPr="00FB60E5">
              <w:t>Total</w:t>
            </w:r>
          </w:p>
        </w:tc>
      </w:tr>
      <w:tr w:rsidR="00D13083" w:rsidRPr="00FB60E5" w14:paraId="38A464D1"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746" w:type="pct"/>
          </w:tcPr>
          <w:p w14:paraId="38A464CC" w14:textId="77777777" w:rsidR="00D13083" w:rsidRPr="00500201" w:rsidRDefault="00D13083" w:rsidP="00500201">
            <w:pPr>
              <w:pStyle w:val="tabletext"/>
            </w:pPr>
            <w:r w:rsidRPr="00500201">
              <w:t>Abstinence from PDOC</w:t>
            </w:r>
          </w:p>
        </w:tc>
        <w:tc>
          <w:tcPr>
            <w:tcW w:w="766" w:type="pct"/>
          </w:tcPr>
          <w:p w14:paraId="38A464CD"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32.6</w:t>
            </w:r>
          </w:p>
        </w:tc>
        <w:tc>
          <w:tcPr>
            <w:tcW w:w="845" w:type="pct"/>
          </w:tcPr>
          <w:p w14:paraId="38A464CE"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30.4</w:t>
            </w:r>
          </w:p>
        </w:tc>
        <w:tc>
          <w:tcPr>
            <w:tcW w:w="776" w:type="pct"/>
          </w:tcPr>
          <w:p w14:paraId="38A464CF"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56.5</w:t>
            </w:r>
          </w:p>
        </w:tc>
        <w:tc>
          <w:tcPr>
            <w:tcW w:w="867" w:type="pct"/>
          </w:tcPr>
          <w:p w14:paraId="38A464D0"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33.1 (p &lt; .05)</w:t>
            </w:r>
          </w:p>
        </w:tc>
      </w:tr>
      <w:tr w:rsidR="00D13083" w:rsidRPr="00FB60E5" w14:paraId="38A464D7"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746" w:type="pct"/>
          </w:tcPr>
          <w:p w14:paraId="38A464D2" w14:textId="77777777" w:rsidR="00D13083" w:rsidRPr="00500201" w:rsidRDefault="00D13083" w:rsidP="00500201">
            <w:pPr>
              <w:pStyle w:val="tabletext"/>
            </w:pPr>
            <w:r w:rsidRPr="00500201">
              <w:t>Success (PDOC)</w:t>
            </w:r>
          </w:p>
        </w:tc>
        <w:tc>
          <w:tcPr>
            <w:tcW w:w="766" w:type="pct"/>
          </w:tcPr>
          <w:p w14:paraId="38A464D3"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49.5</w:t>
            </w:r>
          </w:p>
        </w:tc>
        <w:tc>
          <w:tcPr>
            <w:tcW w:w="845" w:type="pct"/>
          </w:tcPr>
          <w:p w14:paraId="38A464D4"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50.4</w:t>
            </w:r>
          </w:p>
        </w:tc>
        <w:tc>
          <w:tcPr>
            <w:tcW w:w="776" w:type="pct"/>
          </w:tcPr>
          <w:p w14:paraId="38A464D5"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60.9</w:t>
            </w:r>
          </w:p>
        </w:tc>
        <w:tc>
          <w:tcPr>
            <w:tcW w:w="867" w:type="pct"/>
          </w:tcPr>
          <w:p w14:paraId="38A464D6"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50.2 (p = .57)</w:t>
            </w:r>
          </w:p>
        </w:tc>
      </w:tr>
      <w:tr w:rsidR="00D13083" w:rsidRPr="00FB60E5" w14:paraId="38A464DD"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746" w:type="pct"/>
          </w:tcPr>
          <w:p w14:paraId="38A464D8" w14:textId="77777777" w:rsidR="00D13083" w:rsidRPr="00500201" w:rsidRDefault="00D13083" w:rsidP="00500201">
            <w:pPr>
              <w:pStyle w:val="tabletext"/>
            </w:pPr>
            <w:r w:rsidRPr="00500201">
              <w:t>Abstinent from all baseline DOCs</w:t>
            </w:r>
          </w:p>
        </w:tc>
        <w:tc>
          <w:tcPr>
            <w:tcW w:w="766" w:type="pct"/>
          </w:tcPr>
          <w:p w14:paraId="38A464D9"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27.8</w:t>
            </w:r>
          </w:p>
        </w:tc>
        <w:tc>
          <w:tcPr>
            <w:tcW w:w="845" w:type="pct"/>
          </w:tcPr>
          <w:p w14:paraId="38A464DA"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25.4</w:t>
            </w:r>
          </w:p>
        </w:tc>
        <w:tc>
          <w:tcPr>
            <w:tcW w:w="776" w:type="pct"/>
          </w:tcPr>
          <w:p w14:paraId="38A464DB"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43.5</w:t>
            </w:r>
          </w:p>
        </w:tc>
        <w:tc>
          <w:tcPr>
            <w:tcW w:w="867" w:type="pct"/>
          </w:tcPr>
          <w:p w14:paraId="38A464DC"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27.9 (p = .20)</w:t>
            </w:r>
          </w:p>
        </w:tc>
      </w:tr>
      <w:tr w:rsidR="00D13083" w:rsidRPr="00FB60E5" w14:paraId="38A464E3"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1746" w:type="pct"/>
          </w:tcPr>
          <w:p w14:paraId="38A464DE" w14:textId="77777777" w:rsidR="00D13083" w:rsidRPr="00500201" w:rsidRDefault="00D13083" w:rsidP="00500201">
            <w:pPr>
              <w:pStyle w:val="tabletext"/>
            </w:pPr>
            <w:r w:rsidRPr="00500201">
              <w:t>Abstinent from PDOC *</w:t>
            </w:r>
          </w:p>
        </w:tc>
        <w:tc>
          <w:tcPr>
            <w:tcW w:w="766" w:type="pct"/>
          </w:tcPr>
          <w:p w14:paraId="38A464DF"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27.4</w:t>
            </w:r>
          </w:p>
        </w:tc>
        <w:tc>
          <w:tcPr>
            <w:tcW w:w="845" w:type="pct"/>
          </w:tcPr>
          <w:p w14:paraId="38A464E0"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21.3</w:t>
            </w:r>
          </w:p>
        </w:tc>
        <w:tc>
          <w:tcPr>
            <w:tcW w:w="776" w:type="pct"/>
          </w:tcPr>
          <w:p w14:paraId="38A464E1"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36.1</w:t>
            </w:r>
          </w:p>
        </w:tc>
        <w:tc>
          <w:tcPr>
            <w:tcW w:w="867" w:type="pct"/>
          </w:tcPr>
          <w:p w14:paraId="38A464E2" w14:textId="77777777" w:rsidR="00D13083" w:rsidRPr="00500201" w:rsidRDefault="00D13083" w:rsidP="00500201">
            <w:pPr>
              <w:pStyle w:val="tabletext"/>
              <w:cnfStyle w:val="000000000000" w:firstRow="0" w:lastRow="0" w:firstColumn="0" w:lastColumn="0" w:oddVBand="0" w:evenVBand="0" w:oddHBand="0" w:evenHBand="0" w:firstRowFirstColumn="0" w:firstRowLastColumn="0" w:lastRowFirstColumn="0" w:lastRowLastColumn="0"/>
            </w:pPr>
            <w:r w:rsidRPr="00500201">
              <w:t>26.4 (p = .11)</w:t>
            </w:r>
          </w:p>
        </w:tc>
      </w:tr>
      <w:tr w:rsidR="00D13083" w:rsidRPr="00FB60E5" w14:paraId="38A464E9"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1746" w:type="pct"/>
          </w:tcPr>
          <w:p w14:paraId="38A464E4" w14:textId="77777777" w:rsidR="00D13083" w:rsidRPr="00500201" w:rsidRDefault="00D13083" w:rsidP="00500201">
            <w:pPr>
              <w:pStyle w:val="tabletext"/>
            </w:pPr>
            <w:r w:rsidRPr="00500201">
              <w:t>Success (PDOC) *</w:t>
            </w:r>
          </w:p>
        </w:tc>
        <w:tc>
          <w:tcPr>
            <w:tcW w:w="766" w:type="pct"/>
          </w:tcPr>
          <w:p w14:paraId="38A464E5"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41.3</w:t>
            </w:r>
          </w:p>
        </w:tc>
        <w:tc>
          <w:tcPr>
            <w:tcW w:w="845" w:type="pct"/>
          </w:tcPr>
          <w:p w14:paraId="38A464E6"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35.2</w:t>
            </w:r>
          </w:p>
        </w:tc>
        <w:tc>
          <w:tcPr>
            <w:tcW w:w="776" w:type="pct"/>
          </w:tcPr>
          <w:p w14:paraId="38A464E7"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40.0</w:t>
            </w:r>
          </w:p>
        </w:tc>
        <w:tc>
          <w:tcPr>
            <w:tcW w:w="867" w:type="pct"/>
          </w:tcPr>
          <w:p w14:paraId="38A464E8" w14:textId="77777777" w:rsidR="00D13083" w:rsidRPr="00500201" w:rsidRDefault="00D13083" w:rsidP="00500201">
            <w:pPr>
              <w:pStyle w:val="tabletext"/>
              <w:cnfStyle w:val="000000100000" w:firstRow="0" w:lastRow="0" w:firstColumn="0" w:lastColumn="0" w:oddVBand="0" w:evenVBand="0" w:oddHBand="1" w:evenHBand="0" w:firstRowFirstColumn="0" w:firstRowLastColumn="0" w:lastRowFirstColumn="0" w:lastRowLastColumn="0"/>
            </w:pPr>
            <w:r w:rsidRPr="00500201">
              <w:t>39.8 (p = .63)</w:t>
            </w:r>
          </w:p>
        </w:tc>
      </w:tr>
    </w:tbl>
    <w:p w14:paraId="38A464EA" w14:textId="77777777" w:rsidR="00D13083" w:rsidRPr="00FB60E5" w:rsidRDefault="00D13083" w:rsidP="00B90486">
      <w:pPr>
        <w:pStyle w:val="FootnoteText"/>
      </w:pPr>
      <w:r w:rsidRPr="00FB60E5">
        <w:t>*assuming non-abstinence in participants who had withdrawn or were and lost to follow-up</w:t>
      </w:r>
    </w:p>
    <w:p w14:paraId="38A464EB" w14:textId="77777777" w:rsidR="00143847" w:rsidRPr="00FB60E5" w:rsidRDefault="00143847" w:rsidP="00FB60E5">
      <w:pPr>
        <w:ind w:left="0"/>
      </w:pPr>
      <w:r w:rsidRPr="00FB60E5">
        <w:t>We then repeated chi square analyses comparing participants with any residential rehabilitation either pre-PIT, as their PIT, or post PIT to participants with no residential rehabilitation during this two-year period. Engagement in rehabilitation improved rates of abstinence from the PDOC (47% in those with any rehabilitation vs. 29% in those with no rehabilitation, p &lt; .001) and from all DOCs (42% vs. 24%, p &lt; .001). The effect of having any rehabilitation on PDOC treatment success only approached statistical significance (57% vs. 48%, p = .07).</w:t>
      </w:r>
    </w:p>
    <w:p w14:paraId="38A464EC" w14:textId="3E3AC2AF" w:rsidR="00286749" w:rsidRPr="00FB60E5" w:rsidRDefault="00B90486" w:rsidP="00B90486">
      <w:pPr>
        <w:pStyle w:val="Caption"/>
      </w:pPr>
      <w:bookmarkStart w:id="181" w:name="_Ref531624579"/>
      <w:bookmarkStart w:id="182" w:name="_Toc531625797"/>
      <w:proofErr w:type="gramStart"/>
      <w:r>
        <w:t xml:space="preserve">Table </w:t>
      </w:r>
      <w:r w:rsidR="00552239">
        <w:fldChar w:fldCharType="begin"/>
      </w:r>
      <w:r w:rsidR="00552239">
        <w:instrText xml:space="preserve"> STYLEREF 1 \s </w:instrText>
      </w:r>
      <w:r w:rsidR="00552239">
        <w:fldChar w:fldCharType="separate"/>
      </w:r>
      <w:r w:rsidR="00552239">
        <w:rPr>
          <w:noProof/>
        </w:rPr>
        <w:t>3</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21</w:t>
      </w:r>
      <w:r w:rsidR="00552239">
        <w:fldChar w:fldCharType="end"/>
      </w:r>
      <w:bookmarkEnd w:id="181"/>
      <w:r w:rsidR="006244F5" w:rsidRPr="00FB60E5">
        <w:t xml:space="preserve"> </w:t>
      </w:r>
      <w:r w:rsidR="00286749" w:rsidRPr="00FB60E5">
        <w:t>Key outcome by PDOC using weighted data</w:t>
      </w:r>
      <w:bookmarkEnd w:id="182"/>
    </w:p>
    <w:tbl>
      <w:tblPr>
        <w:tblStyle w:val="LightList-Accent1"/>
        <w:tblW w:w="5043" w:type="pct"/>
        <w:tblLook w:val="04A0" w:firstRow="1" w:lastRow="0" w:firstColumn="1" w:lastColumn="0" w:noHBand="0" w:noVBand="1"/>
        <w:tblCaption w:val="Table 3.21  Key outcome by PDOC using weighted data "/>
        <w:tblDescription w:val="Table 3.21  Key outcome by PDOC using weighted data "/>
      </w:tblPr>
      <w:tblGrid>
        <w:gridCol w:w="1790"/>
        <w:gridCol w:w="905"/>
        <w:gridCol w:w="1046"/>
        <w:gridCol w:w="973"/>
        <w:gridCol w:w="2110"/>
        <w:gridCol w:w="831"/>
        <w:gridCol w:w="831"/>
        <w:gridCol w:w="835"/>
      </w:tblGrid>
      <w:tr w:rsidR="000E5D11" w:rsidRPr="00FB60E5" w14:paraId="38A464F5" w14:textId="77777777" w:rsidTr="00B90486">
        <w:trPr>
          <w:cnfStyle w:val="100000000000" w:firstRow="1" w:lastRow="0" w:firstColumn="0" w:lastColumn="0" w:oddVBand="0" w:evenVBand="0" w:oddHBand="0" w:evenHBand="0" w:firstRowFirstColumn="0" w:firstRowLastColumn="0" w:lastRowFirstColumn="0" w:lastRowLastColumn="0"/>
          <w:trHeight w:hRule="exact" w:val="567"/>
          <w:tblHeader/>
        </w:trPr>
        <w:tc>
          <w:tcPr>
            <w:cnfStyle w:val="001000000000" w:firstRow="0" w:lastRow="0" w:firstColumn="1" w:lastColumn="0" w:oddVBand="0" w:evenVBand="0" w:oddHBand="0" w:evenHBand="0" w:firstRowFirstColumn="0" w:firstRowLastColumn="0" w:lastRowFirstColumn="0" w:lastRowLastColumn="0"/>
            <w:tcW w:w="964" w:type="pct"/>
          </w:tcPr>
          <w:p w14:paraId="38A464ED" w14:textId="77777777" w:rsidR="00286749" w:rsidRPr="00FB60E5" w:rsidRDefault="00286749" w:rsidP="00B90486">
            <w:pPr>
              <w:pStyle w:val="tabletext"/>
            </w:pPr>
          </w:p>
        </w:tc>
        <w:tc>
          <w:tcPr>
            <w:tcW w:w="475" w:type="pct"/>
          </w:tcPr>
          <w:p w14:paraId="38A464EE"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Alcohol</w:t>
            </w:r>
            <w:r w:rsidR="000E5D11" w:rsidRPr="00FB60E5">
              <w:t xml:space="preserve"> (%)</w:t>
            </w:r>
          </w:p>
        </w:tc>
        <w:tc>
          <w:tcPr>
            <w:tcW w:w="551" w:type="pct"/>
          </w:tcPr>
          <w:p w14:paraId="38A464EF"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Cannabis</w:t>
            </w:r>
            <w:r w:rsidR="000E5D11" w:rsidRPr="00FB60E5">
              <w:t xml:space="preserve"> (%)</w:t>
            </w:r>
          </w:p>
        </w:tc>
        <w:tc>
          <w:tcPr>
            <w:tcW w:w="525" w:type="pct"/>
          </w:tcPr>
          <w:p w14:paraId="38A464F0"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Opioids</w:t>
            </w:r>
            <w:r w:rsidR="000E5D11" w:rsidRPr="00FB60E5">
              <w:t xml:space="preserve"> (%)</w:t>
            </w:r>
          </w:p>
        </w:tc>
        <w:tc>
          <w:tcPr>
            <w:tcW w:w="1135" w:type="pct"/>
          </w:tcPr>
          <w:p w14:paraId="38A464F1"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Meth</w:t>
            </w:r>
            <w:r w:rsidR="000E5D11" w:rsidRPr="00FB60E5">
              <w:t>/</w:t>
            </w:r>
            <w:r w:rsidRPr="00FB60E5">
              <w:t>amphetamine</w:t>
            </w:r>
            <w:r w:rsidR="000E5D11" w:rsidRPr="00FB60E5">
              <w:t xml:space="preserve"> (%)</w:t>
            </w:r>
          </w:p>
        </w:tc>
        <w:tc>
          <w:tcPr>
            <w:tcW w:w="449" w:type="pct"/>
          </w:tcPr>
          <w:p w14:paraId="38A464F2"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Other</w:t>
            </w:r>
            <w:r w:rsidR="000E5D11" w:rsidRPr="00FB60E5">
              <w:t xml:space="preserve"> (%)</w:t>
            </w:r>
          </w:p>
        </w:tc>
        <w:tc>
          <w:tcPr>
            <w:tcW w:w="449" w:type="pct"/>
          </w:tcPr>
          <w:p w14:paraId="38A464F3"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Total</w:t>
            </w:r>
            <w:r w:rsidR="000E5D11" w:rsidRPr="00FB60E5">
              <w:t xml:space="preserve"> (%)</w:t>
            </w:r>
          </w:p>
        </w:tc>
        <w:tc>
          <w:tcPr>
            <w:tcW w:w="451" w:type="pct"/>
          </w:tcPr>
          <w:p w14:paraId="38A464F4" w14:textId="77777777" w:rsidR="00286749" w:rsidRPr="00FB60E5" w:rsidRDefault="00286749" w:rsidP="00B90486">
            <w:pPr>
              <w:pStyle w:val="tabletext"/>
              <w:cnfStyle w:val="100000000000" w:firstRow="1" w:lastRow="0" w:firstColumn="0" w:lastColumn="0" w:oddVBand="0" w:evenVBand="0" w:oddHBand="0" w:evenHBand="0" w:firstRowFirstColumn="0" w:firstRowLastColumn="0" w:lastRowFirstColumn="0" w:lastRowLastColumn="0"/>
            </w:pPr>
            <w:r w:rsidRPr="00FB60E5">
              <w:t>p</w:t>
            </w:r>
          </w:p>
        </w:tc>
      </w:tr>
      <w:tr w:rsidR="000E5D11" w:rsidRPr="00FB60E5" w14:paraId="38A464FE" w14:textId="77777777" w:rsidTr="00B9048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64" w:type="pct"/>
          </w:tcPr>
          <w:p w14:paraId="38A464F6" w14:textId="77777777" w:rsidR="00286749" w:rsidRPr="00FB60E5" w:rsidRDefault="00286749" w:rsidP="00B90486">
            <w:pPr>
              <w:pStyle w:val="tabletext"/>
            </w:pPr>
            <w:r w:rsidRPr="00FB60E5">
              <w:t>Abstinence from PDOC</w:t>
            </w:r>
          </w:p>
        </w:tc>
        <w:tc>
          <w:tcPr>
            <w:tcW w:w="475" w:type="pct"/>
          </w:tcPr>
          <w:p w14:paraId="38A464F7"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24.3</w:t>
            </w:r>
          </w:p>
        </w:tc>
        <w:tc>
          <w:tcPr>
            <w:tcW w:w="551" w:type="pct"/>
          </w:tcPr>
          <w:p w14:paraId="38A464F8"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29.3</w:t>
            </w:r>
          </w:p>
        </w:tc>
        <w:tc>
          <w:tcPr>
            <w:tcW w:w="525" w:type="pct"/>
          </w:tcPr>
          <w:p w14:paraId="38A464F9"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47.47</w:t>
            </w:r>
          </w:p>
        </w:tc>
        <w:tc>
          <w:tcPr>
            <w:tcW w:w="1135" w:type="pct"/>
          </w:tcPr>
          <w:p w14:paraId="38A464FA"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49.48</w:t>
            </w:r>
          </w:p>
        </w:tc>
        <w:tc>
          <w:tcPr>
            <w:tcW w:w="449" w:type="pct"/>
          </w:tcPr>
          <w:p w14:paraId="38A464FB"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31.3</w:t>
            </w:r>
          </w:p>
        </w:tc>
        <w:tc>
          <w:tcPr>
            <w:tcW w:w="449" w:type="pct"/>
          </w:tcPr>
          <w:p w14:paraId="38A464FC"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 xml:space="preserve">33.2 </w:t>
            </w:r>
          </w:p>
        </w:tc>
        <w:tc>
          <w:tcPr>
            <w:tcW w:w="451" w:type="pct"/>
          </w:tcPr>
          <w:p w14:paraId="38A464FD"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&lt; .001</w:t>
            </w:r>
          </w:p>
        </w:tc>
      </w:tr>
      <w:tr w:rsidR="000E5D11" w:rsidRPr="00FB60E5" w14:paraId="38A46507" w14:textId="77777777" w:rsidTr="00B90486">
        <w:trPr>
          <w:trHeight w:hRule="exact" w:val="340"/>
        </w:trPr>
        <w:tc>
          <w:tcPr>
            <w:cnfStyle w:val="001000000000" w:firstRow="0" w:lastRow="0" w:firstColumn="1" w:lastColumn="0" w:oddVBand="0" w:evenVBand="0" w:oddHBand="0" w:evenHBand="0" w:firstRowFirstColumn="0" w:firstRowLastColumn="0" w:lastRowFirstColumn="0" w:lastRowLastColumn="0"/>
            <w:tcW w:w="964" w:type="pct"/>
          </w:tcPr>
          <w:p w14:paraId="38A464FF" w14:textId="77777777" w:rsidR="00286749" w:rsidRPr="00FB60E5" w:rsidRDefault="00286749" w:rsidP="00B90486">
            <w:pPr>
              <w:pStyle w:val="tabletext"/>
            </w:pPr>
            <w:r w:rsidRPr="00FB60E5">
              <w:t>PDOC success</w:t>
            </w:r>
          </w:p>
        </w:tc>
        <w:tc>
          <w:tcPr>
            <w:tcW w:w="475" w:type="pct"/>
          </w:tcPr>
          <w:p w14:paraId="38A46500"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43.0</w:t>
            </w:r>
          </w:p>
        </w:tc>
        <w:tc>
          <w:tcPr>
            <w:tcW w:w="551" w:type="pct"/>
          </w:tcPr>
          <w:p w14:paraId="38A46501"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47.4</w:t>
            </w:r>
          </w:p>
        </w:tc>
        <w:tc>
          <w:tcPr>
            <w:tcW w:w="525" w:type="pct"/>
          </w:tcPr>
          <w:p w14:paraId="38A46502"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62.0</w:t>
            </w:r>
          </w:p>
        </w:tc>
        <w:tc>
          <w:tcPr>
            <w:tcW w:w="1135" w:type="pct"/>
          </w:tcPr>
          <w:p w14:paraId="38A46503"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67.0</w:t>
            </w:r>
          </w:p>
        </w:tc>
        <w:tc>
          <w:tcPr>
            <w:tcW w:w="449" w:type="pct"/>
          </w:tcPr>
          <w:p w14:paraId="38A46504"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33.3</w:t>
            </w:r>
          </w:p>
        </w:tc>
        <w:tc>
          <w:tcPr>
            <w:tcW w:w="449" w:type="pct"/>
          </w:tcPr>
          <w:p w14:paraId="38A46505"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 xml:space="preserve">50.3 </w:t>
            </w:r>
          </w:p>
        </w:tc>
        <w:tc>
          <w:tcPr>
            <w:tcW w:w="451" w:type="pct"/>
          </w:tcPr>
          <w:p w14:paraId="38A46506"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0E5D11" w:rsidRPr="00FB60E5" w14:paraId="38A46510" w14:textId="77777777" w:rsidTr="00B90486">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64" w:type="pct"/>
          </w:tcPr>
          <w:p w14:paraId="38A46508" w14:textId="77777777" w:rsidR="00286749" w:rsidRPr="00FB60E5" w:rsidRDefault="00286749" w:rsidP="00B90486">
            <w:pPr>
              <w:pStyle w:val="tabletext"/>
            </w:pPr>
            <w:r w:rsidRPr="00FB60E5">
              <w:t>Abstinent all baseline DOCs</w:t>
            </w:r>
          </w:p>
        </w:tc>
        <w:tc>
          <w:tcPr>
            <w:tcW w:w="475" w:type="pct"/>
          </w:tcPr>
          <w:p w14:paraId="38A46509"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22.9</w:t>
            </w:r>
          </w:p>
        </w:tc>
        <w:tc>
          <w:tcPr>
            <w:tcW w:w="551" w:type="pct"/>
          </w:tcPr>
          <w:p w14:paraId="38A4650A"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23.1</w:t>
            </w:r>
          </w:p>
        </w:tc>
        <w:tc>
          <w:tcPr>
            <w:tcW w:w="525" w:type="pct"/>
          </w:tcPr>
          <w:p w14:paraId="38A4650B"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37.0</w:t>
            </w:r>
          </w:p>
        </w:tc>
        <w:tc>
          <w:tcPr>
            <w:tcW w:w="1135" w:type="pct"/>
          </w:tcPr>
          <w:p w14:paraId="38A4650C"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39.2</w:t>
            </w:r>
          </w:p>
        </w:tc>
        <w:tc>
          <w:tcPr>
            <w:tcW w:w="449" w:type="pct"/>
          </w:tcPr>
          <w:p w14:paraId="38A4650D"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25.0</w:t>
            </w:r>
          </w:p>
        </w:tc>
        <w:tc>
          <w:tcPr>
            <w:tcW w:w="449" w:type="pct"/>
          </w:tcPr>
          <w:p w14:paraId="38A4650E"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 xml:space="preserve">27.9 </w:t>
            </w:r>
          </w:p>
        </w:tc>
        <w:tc>
          <w:tcPr>
            <w:tcW w:w="451" w:type="pct"/>
          </w:tcPr>
          <w:p w14:paraId="38A4650F"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&lt; .01</w:t>
            </w:r>
          </w:p>
        </w:tc>
      </w:tr>
      <w:tr w:rsidR="000E5D11" w:rsidRPr="00FB60E5" w14:paraId="38A46519" w14:textId="77777777" w:rsidTr="00B90486">
        <w:trPr>
          <w:trHeight w:hRule="exact" w:val="567"/>
        </w:trPr>
        <w:tc>
          <w:tcPr>
            <w:cnfStyle w:val="001000000000" w:firstRow="0" w:lastRow="0" w:firstColumn="1" w:lastColumn="0" w:oddVBand="0" w:evenVBand="0" w:oddHBand="0" w:evenHBand="0" w:firstRowFirstColumn="0" w:firstRowLastColumn="0" w:lastRowFirstColumn="0" w:lastRowLastColumn="0"/>
            <w:tcW w:w="964" w:type="pct"/>
          </w:tcPr>
          <w:p w14:paraId="38A46511" w14:textId="77777777" w:rsidR="00286749" w:rsidRPr="00FB60E5" w:rsidRDefault="00286749" w:rsidP="00B90486">
            <w:pPr>
              <w:pStyle w:val="tabletext"/>
            </w:pPr>
            <w:r w:rsidRPr="00FB60E5">
              <w:t>Abstinent from PDOC*</w:t>
            </w:r>
          </w:p>
        </w:tc>
        <w:tc>
          <w:tcPr>
            <w:tcW w:w="475" w:type="pct"/>
          </w:tcPr>
          <w:p w14:paraId="38A46512"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19.7</w:t>
            </w:r>
          </w:p>
        </w:tc>
        <w:tc>
          <w:tcPr>
            <w:tcW w:w="551" w:type="pct"/>
          </w:tcPr>
          <w:p w14:paraId="38A46513"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24.6</w:t>
            </w:r>
          </w:p>
        </w:tc>
        <w:tc>
          <w:tcPr>
            <w:tcW w:w="525" w:type="pct"/>
          </w:tcPr>
          <w:p w14:paraId="38A46514"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37.0</w:t>
            </w:r>
          </w:p>
        </w:tc>
        <w:tc>
          <w:tcPr>
            <w:tcW w:w="1135" w:type="pct"/>
          </w:tcPr>
          <w:p w14:paraId="38A46515"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38.4</w:t>
            </w:r>
          </w:p>
        </w:tc>
        <w:tc>
          <w:tcPr>
            <w:tcW w:w="449" w:type="pct"/>
          </w:tcPr>
          <w:p w14:paraId="38A46516"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21.7</w:t>
            </w:r>
          </w:p>
        </w:tc>
        <w:tc>
          <w:tcPr>
            <w:tcW w:w="449" w:type="pct"/>
          </w:tcPr>
          <w:p w14:paraId="38A46517"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 xml:space="preserve">26.6 </w:t>
            </w:r>
          </w:p>
        </w:tc>
        <w:tc>
          <w:tcPr>
            <w:tcW w:w="451" w:type="pct"/>
          </w:tcPr>
          <w:p w14:paraId="38A46518" w14:textId="77777777" w:rsidR="00286749" w:rsidRPr="00FB60E5" w:rsidRDefault="00286749" w:rsidP="00B90486">
            <w:pPr>
              <w:pStyle w:val="tabletext"/>
              <w:cnfStyle w:val="000000000000" w:firstRow="0" w:lastRow="0" w:firstColumn="0" w:lastColumn="0" w:oddVBand="0" w:evenVBand="0" w:oddHBand="0" w:evenHBand="0" w:firstRowFirstColumn="0" w:firstRowLastColumn="0" w:lastRowFirstColumn="0" w:lastRowLastColumn="0"/>
            </w:pPr>
            <w:r w:rsidRPr="00FB60E5">
              <w:t>&lt; .001</w:t>
            </w:r>
          </w:p>
        </w:tc>
      </w:tr>
      <w:tr w:rsidR="000E5D11" w:rsidRPr="00FB60E5" w14:paraId="38A46522" w14:textId="77777777" w:rsidTr="00B90486">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64" w:type="pct"/>
          </w:tcPr>
          <w:p w14:paraId="38A4651A" w14:textId="77777777" w:rsidR="00286749" w:rsidRPr="00FB60E5" w:rsidRDefault="00286749" w:rsidP="00B90486">
            <w:pPr>
              <w:pStyle w:val="tabletext"/>
            </w:pPr>
            <w:r w:rsidRPr="00FB60E5">
              <w:t>PDOC success*</w:t>
            </w:r>
          </w:p>
        </w:tc>
        <w:tc>
          <w:tcPr>
            <w:tcW w:w="475" w:type="pct"/>
          </w:tcPr>
          <w:p w14:paraId="38A4651B"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34.5</w:t>
            </w:r>
          </w:p>
        </w:tc>
        <w:tc>
          <w:tcPr>
            <w:tcW w:w="551" w:type="pct"/>
          </w:tcPr>
          <w:p w14:paraId="38A4651C"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39.9</w:t>
            </w:r>
          </w:p>
        </w:tc>
        <w:tc>
          <w:tcPr>
            <w:tcW w:w="525" w:type="pct"/>
          </w:tcPr>
          <w:p w14:paraId="38A4651D"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47.5</w:t>
            </w:r>
          </w:p>
        </w:tc>
        <w:tc>
          <w:tcPr>
            <w:tcW w:w="1135" w:type="pct"/>
          </w:tcPr>
          <w:p w14:paraId="38A4651E"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51.3</w:t>
            </w:r>
          </w:p>
        </w:tc>
        <w:tc>
          <w:tcPr>
            <w:tcW w:w="449" w:type="pct"/>
          </w:tcPr>
          <w:p w14:paraId="38A4651F"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22.7</w:t>
            </w:r>
          </w:p>
        </w:tc>
        <w:tc>
          <w:tcPr>
            <w:tcW w:w="449" w:type="pct"/>
          </w:tcPr>
          <w:p w14:paraId="38A46520"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 xml:space="preserve">40.0 </w:t>
            </w:r>
          </w:p>
        </w:tc>
        <w:tc>
          <w:tcPr>
            <w:tcW w:w="451" w:type="pct"/>
          </w:tcPr>
          <w:p w14:paraId="38A46521" w14:textId="77777777" w:rsidR="00286749" w:rsidRPr="00FB60E5" w:rsidRDefault="00286749" w:rsidP="00B90486">
            <w:pPr>
              <w:pStyle w:val="tabletext"/>
              <w:cnfStyle w:val="000000100000" w:firstRow="0" w:lastRow="0" w:firstColumn="0" w:lastColumn="0" w:oddVBand="0" w:evenVBand="0" w:oddHBand="1" w:evenHBand="0" w:firstRowFirstColumn="0" w:firstRowLastColumn="0" w:lastRowFirstColumn="0" w:lastRowLastColumn="0"/>
            </w:pPr>
            <w:r w:rsidRPr="00FB60E5">
              <w:t>&lt; .01</w:t>
            </w:r>
          </w:p>
        </w:tc>
      </w:tr>
    </w:tbl>
    <w:p w14:paraId="38A46523" w14:textId="77777777" w:rsidR="00286749" w:rsidRPr="00B90486" w:rsidRDefault="00286749" w:rsidP="00B90486">
      <w:pPr>
        <w:pStyle w:val="FootnoteText"/>
        <w:rPr>
          <w:rStyle w:val="FootnoteReference"/>
          <w:vertAlign w:val="baseline"/>
        </w:rPr>
      </w:pPr>
      <w:r w:rsidRPr="00B90486">
        <w:rPr>
          <w:rStyle w:val="FootnoteReference"/>
          <w:vertAlign w:val="baseline"/>
        </w:rPr>
        <w:t>*</w:t>
      </w:r>
      <w:r w:rsidR="008E0FD3" w:rsidRPr="00B90486">
        <w:rPr>
          <w:rStyle w:val="FootnoteReference"/>
          <w:vertAlign w:val="baseline"/>
        </w:rPr>
        <w:t>A</w:t>
      </w:r>
      <w:r w:rsidRPr="00B90486">
        <w:rPr>
          <w:rStyle w:val="FootnoteReference"/>
          <w:vertAlign w:val="baseline"/>
        </w:rPr>
        <w:t>ssuming non-abstinence in participants who had withdrawn or were and lost to follow-up</w:t>
      </w:r>
    </w:p>
    <w:p w14:paraId="38A46524" w14:textId="77777777" w:rsidR="00FA516F" w:rsidRPr="00FB60E5" w:rsidRDefault="00FA516F" w:rsidP="00FB60E5">
      <w:pPr>
        <w:ind w:left="0"/>
      </w:pPr>
      <w:r w:rsidRPr="00FB60E5">
        <w:t>We also repeated selected binary logistic regression analyses of predictors of treatment success and abstinence, including the same predictors as previously included in the final models for these outcomes. For treatment success, as in the unweighted analyses, PIT completion, mutual aid attendance, being foreign-born, and having opioids or meth</w:t>
      </w:r>
      <w:r w:rsidR="00E977AF" w:rsidRPr="00FB60E5">
        <w:t>/</w:t>
      </w:r>
      <w:r w:rsidRPr="00FB60E5">
        <w:t>amphetamine as the PDOC (relative to alcohol as PDOC) were significant predictors of success and a longer follow-up interval and longer PIT duration predicted reduced likelihood of success. In addition, use of community services (other than mental health, employment, or housing services), and having outpatient treatment (relative to detox) as the PIT predicted increased likelihood of success in the weighted model.</w:t>
      </w:r>
    </w:p>
    <w:p w14:paraId="38A46525" w14:textId="77777777" w:rsidR="00FA516F" w:rsidRPr="00FB60E5" w:rsidRDefault="00FA516F" w:rsidP="00FB60E5">
      <w:pPr>
        <w:ind w:left="0"/>
      </w:pPr>
      <w:r w:rsidRPr="00FB60E5">
        <w:t>For PDOC abstinence, as in the unweighted analyses, having opioids or meth</w:t>
      </w:r>
      <w:r w:rsidR="00E977AF" w:rsidRPr="00FB60E5">
        <w:t>/</w:t>
      </w:r>
      <w:r w:rsidRPr="00FB60E5">
        <w:t xml:space="preserve">amphetamine as the PDOC (relative to alcohol), PIT completion, mutual aid attendance, and unmet employment service need all predicted increased likelihood of abstinence, though use of </w:t>
      </w:r>
      <w:r w:rsidRPr="00FB60E5">
        <w:lastRenderedPageBreak/>
        <w:t>other community services was no longer a significant predictor. PIT type remained a significant predictor, though in this analysis, acute withdrawal was inferior to outpatient treatment, but long-term residential treatment was no longer superior to outpatient treatment. Re-analysis with long-term residential treatment as the reference PIT did, however, show that long-term residential treatment as PIT was superior to acute withdrawal as PIT. When the optimal care pathway score was entered as a predictor, rather than individual components of the pathway, this pathway score and having opioids or meth</w:t>
      </w:r>
      <w:r w:rsidR="00E977AF" w:rsidRPr="00FB60E5">
        <w:t>/</w:t>
      </w:r>
      <w:r w:rsidRPr="00FB60E5">
        <w:t>amphetamine as the PDOC (relative to alcohol) were the only significant predictors of abstinence.</w:t>
      </w:r>
    </w:p>
    <w:p w14:paraId="38A46526" w14:textId="77777777" w:rsidR="00FA516F" w:rsidRPr="00FB60E5" w:rsidRDefault="00FA516F" w:rsidP="00FB60E5">
      <w:pPr>
        <w:ind w:left="0"/>
      </w:pPr>
      <w:r w:rsidRPr="00FB60E5">
        <w:t xml:space="preserve">Repeating the above weighted analyses only for participants with alcohol as their PDOC showed that mutual aid attendance and “other” community service use predicted both treatment success and PDOC abstinence. For PDOC abstinence, PIT completion and (in contrast to previous findings) </w:t>
      </w:r>
      <w:proofErr w:type="gramStart"/>
      <w:r w:rsidRPr="00FB60E5">
        <w:t>a longer follow-up interval were</w:t>
      </w:r>
      <w:proofErr w:type="gramEnd"/>
      <w:r w:rsidRPr="00FB60E5">
        <w:t xml:space="preserve"> also positive predictors. When the overall pathway score was entered, rather than its individual components, this pathway score and follow-up interval were significant predictors of abstinence.</w:t>
      </w:r>
    </w:p>
    <w:p w14:paraId="38A46527" w14:textId="77777777" w:rsidR="00FA516F" w:rsidRPr="00FB60E5" w:rsidRDefault="00FA516F" w:rsidP="00FB60E5">
      <w:pPr>
        <w:ind w:left="0"/>
      </w:pPr>
      <w:r w:rsidRPr="00FB60E5">
        <w:t>Repeating the weighted analyses only including participants with drugs other than alcohol or tobacco as their PDOC showed that PIT completion, being foreign-born, and having opioids or meth</w:t>
      </w:r>
      <w:r w:rsidR="00E977AF" w:rsidRPr="00FB60E5">
        <w:t>/</w:t>
      </w:r>
      <w:r w:rsidRPr="00FB60E5">
        <w:t>amphetamine (relative to cannabis) as the PDOC were significant predictors of treatment success. Longer follow-up interval, longer PIT duration, and further post-PIT AOD service use predicted reduced likelihood of success. PDOC, PIT completion, follow-up interval, and PIT duration were also significant predictors of PDOC abstinence (all effects in the same direction as for prediction of treatment success). While the overall effect of PIT type was not a significant predictor of PDOC abstinence, when long-term residential treatment was entered as the reference PIT, it predicted significantly better likelihood of abstinence than having acute withdrawal as the PIT. When the overall optimal care pathway score was entered as a predictor, rather than its individual components, only PDOC, follow-up interval, and PIT duration were significant predictors, while the optimal pathway score was not.</w:t>
      </w:r>
    </w:p>
    <w:p w14:paraId="38A46528" w14:textId="77777777" w:rsidR="00143847" w:rsidRPr="00FB60E5" w:rsidRDefault="00FA516F" w:rsidP="00FB60E5">
      <w:pPr>
        <w:ind w:left="0"/>
      </w:pPr>
      <w:r w:rsidRPr="00FB60E5">
        <w:t xml:space="preserve">In summary, overall the weighted analyses generated few changes in terms of </w:t>
      </w:r>
      <w:r w:rsidR="006D29AE" w:rsidRPr="00FB60E5">
        <w:t>participant</w:t>
      </w:r>
      <w:r w:rsidRPr="00FB60E5">
        <w:t xml:space="preserve"> outcomes. After weighting the data, abstinence and success rates were only slightly reduced relative to the unweighted analyses and remained highest among with long-term residential rehabilitation PIT and having attended this treatment at any point in the past two-years remained significantly associated with higher abstinence rates. When examining predictors of success, using weighted data confirmed PIT completion and mutual aid and meth</w:t>
      </w:r>
      <w:r w:rsidR="00E977AF" w:rsidRPr="00FB60E5">
        <w:t>/</w:t>
      </w:r>
      <w:r w:rsidRPr="00FB60E5">
        <w:t xml:space="preserve">amphetamines and </w:t>
      </w:r>
      <w:r w:rsidR="007B2AEE" w:rsidRPr="00FB60E5">
        <w:t>opioid</w:t>
      </w:r>
      <w:r w:rsidRPr="00FB60E5">
        <w:t xml:space="preserve">s relative to alcohol as the PDOC as significant predictors, but residential rehabilitation was no longer superior to </w:t>
      </w:r>
      <w:r w:rsidR="000A2E35" w:rsidRPr="00FB60E5">
        <w:t xml:space="preserve">the </w:t>
      </w:r>
      <w:r w:rsidRPr="00FB60E5">
        <w:t>other PIT types. A further finding to note concerns the impact of engagement in community services on outcomes. This was a significant predictor of abstinence in the unweighted (but not weighted) data, and a significant predictor of success in the weighted (but not unweighted) data.</w:t>
      </w:r>
    </w:p>
    <w:p w14:paraId="7C063317" w14:textId="77777777" w:rsidR="00BB0E5E" w:rsidRDefault="001758DB" w:rsidP="00882917">
      <w:pPr>
        <w:pStyle w:val="Heading2"/>
        <w:numPr>
          <w:ilvl w:val="1"/>
          <w:numId w:val="9"/>
        </w:numPr>
      </w:pPr>
      <w:bookmarkStart w:id="183" w:name="_Toc398105047"/>
      <w:bookmarkStart w:id="184" w:name="_Toc531696249"/>
      <w:r w:rsidRPr="00FB60E5">
        <w:t>Qualitative findings</w:t>
      </w:r>
      <w:bookmarkEnd w:id="174"/>
      <w:bookmarkEnd w:id="183"/>
      <w:bookmarkEnd w:id="184"/>
    </w:p>
    <w:p w14:paraId="38A4652B" w14:textId="1FC24CBA" w:rsidR="004212FD" w:rsidRPr="00FB60E5" w:rsidRDefault="00B05932" w:rsidP="00FB60E5">
      <w:pPr>
        <w:ind w:left="0"/>
      </w:pPr>
      <w:r w:rsidRPr="00FB60E5">
        <w:t>This section summarises the qualitative findings about participants’ experience of AOD treatment and contact with non-AOD services such as mental health, housing and homelessness services, medical and social services.</w:t>
      </w:r>
    </w:p>
    <w:p w14:paraId="6DDF93CC" w14:textId="77777777" w:rsidR="002C27A8" w:rsidRDefault="00B05932" w:rsidP="00FB60E5">
      <w:pPr>
        <w:ind w:left="0"/>
      </w:pPr>
      <w:r w:rsidRPr="00FB60E5">
        <w:t xml:space="preserve">The qualitative component provides an in-depth perspective of participants’ experience of treatment, including pathways into and out of AOD treatment. In addition, this component sought to explore participants’ experience of formal and informal supports (e.g., family, friends, </w:t>
      </w:r>
      <w:proofErr w:type="gramStart"/>
      <w:r w:rsidRPr="00FB60E5">
        <w:t>self</w:t>
      </w:r>
      <w:proofErr w:type="gramEnd"/>
      <w:r w:rsidRPr="00FB60E5">
        <w:t xml:space="preserve">-help groups) and service responses, the level of integration between the AOD </w:t>
      </w:r>
      <w:r w:rsidRPr="00FB60E5">
        <w:lastRenderedPageBreak/>
        <w:t>and non-AOD systems, and the perceived effectiveness of services and areas for improvement</w:t>
      </w:r>
      <w:r w:rsidR="002C27A8">
        <w:t>.</w:t>
      </w:r>
    </w:p>
    <w:p w14:paraId="38A4652D" w14:textId="18902B73" w:rsidR="003C21FE" w:rsidRPr="00FB60E5" w:rsidRDefault="003C21FE" w:rsidP="00B90486">
      <w:pPr>
        <w:pStyle w:val="Heading3"/>
      </w:pPr>
      <w:bookmarkStart w:id="185" w:name="_Toc382501365"/>
      <w:r w:rsidRPr="00FB60E5">
        <w:t>Method</w:t>
      </w:r>
      <w:bookmarkEnd w:id="185"/>
      <w:r w:rsidRPr="00FB60E5">
        <w:t>s</w:t>
      </w:r>
    </w:p>
    <w:p w14:paraId="6039AF64" w14:textId="77777777" w:rsidR="00BB0E5E" w:rsidRDefault="003C21FE" w:rsidP="00B90486">
      <w:pPr>
        <w:pStyle w:val="Heading4"/>
      </w:pPr>
      <w:r w:rsidRPr="00B90486">
        <w:t>Sampling process</w:t>
      </w:r>
    </w:p>
    <w:p w14:paraId="4BBBF96C" w14:textId="77777777" w:rsidR="00BB0E5E" w:rsidRDefault="00695555" w:rsidP="00FB60E5">
      <w:pPr>
        <w:ind w:left="0"/>
      </w:pPr>
      <w:r w:rsidRPr="00FB60E5">
        <w:t>Qualitative interviews were conducted with 41 participants between February and April 2014. A two-stage purposive sampling approach was used to identify potential participants from the sample of 550 participants who had completed a baseline and follow-up interview and agreed to be re-contacted for future research interviews. As the main purpose of the qualitative interviews was to explore experiences of the AOD treatment system and non-AOD systems, the first stage of the sampling approach was designed to ensure a diversity of experiences in terms of:</w:t>
      </w:r>
    </w:p>
    <w:p w14:paraId="38A46530" w14:textId="200A71C9" w:rsidR="00695555" w:rsidRPr="00FB60E5" w:rsidRDefault="00695555" w:rsidP="00882917">
      <w:pPr>
        <w:pStyle w:val="ListParagraph"/>
        <w:numPr>
          <w:ilvl w:val="0"/>
          <w:numId w:val="17"/>
        </w:numPr>
      </w:pPr>
      <w:r w:rsidRPr="00FB60E5">
        <w:t>Perceived effectiveness of PIT</w:t>
      </w:r>
    </w:p>
    <w:p w14:paraId="38A46531" w14:textId="50159B8C" w:rsidR="00695555" w:rsidRPr="00FB60E5" w:rsidRDefault="00B90486" w:rsidP="00882917">
      <w:pPr>
        <w:pStyle w:val="ListParagraph"/>
        <w:numPr>
          <w:ilvl w:val="0"/>
          <w:numId w:val="17"/>
        </w:numPr>
      </w:pPr>
      <w:r>
        <w:t>PDOC reported at baseline</w:t>
      </w:r>
    </w:p>
    <w:p w14:paraId="38A46532" w14:textId="407B4706" w:rsidR="00695555" w:rsidRPr="00FB60E5" w:rsidRDefault="00695555" w:rsidP="00882917">
      <w:pPr>
        <w:pStyle w:val="ListParagraph"/>
        <w:numPr>
          <w:ilvl w:val="0"/>
          <w:numId w:val="17"/>
        </w:numPr>
      </w:pPr>
      <w:r w:rsidRPr="00FB60E5">
        <w:t>PIT type (i.e., outpatient, acute withdrawal, residential rehabilitatio</w:t>
      </w:r>
      <w:r w:rsidR="00B90486">
        <w:t>n)</w:t>
      </w:r>
    </w:p>
    <w:p w14:paraId="38A46533" w14:textId="7D500061" w:rsidR="00695555" w:rsidRPr="00FB60E5" w:rsidRDefault="00695555" w:rsidP="00882917">
      <w:pPr>
        <w:pStyle w:val="ListParagraph"/>
        <w:numPr>
          <w:ilvl w:val="0"/>
          <w:numId w:val="17"/>
        </w:numPr>
      </w:pPr>
      <w:r w:rsidRPr="00FB60E5">
        <w:t>Engagement with AOD treatment post PIT (high =3 or more contacts; medium use = 2 con</w:t>
      </w:r>
      <w:r w:rsidR="00B90486">
        <w:t>tacts;</w:t>
      </w:r>
      <w:r w:rsidR="002C27A8">
        <w:t xml:space="preserve"> </w:t>
      </w:r>
      <w:r w:rsidR="00B90486">
        <w:t>low = 1 or no contact)</w:t>
      </w:r>
    </w:p>
    <w:p w14:paraId="38A46534" w14:textId="48AD170B" w:rsidR="00695555" w:rsidRPr="00FB60E5" w:rsidRDefault="00695555" w:rsidP="00882917">
      <w:pPr>
        <w:pStyle w:val="ListParagraph"/>
        <w:numPr>
          <w:ilvl w:val="0"/>
          <w:numId w:val="17"/>
        </w:numPr>
      </w:pPr>
      <w:r w:rsidRPr="00FB60E5">
        <w:t>Engagement with acute and/or community services post PIT (high = 5 or more; medi</w:t>
      </w:r>
      <w:r w:rsidR="00B90486">
        <w:t>um = 3 to 4; low = 2 or fewer)</w:t>
      </w:r>
    </w:p>
    <w:p w14:paraId="38A46535" w14:textId="418B2F5F" w:rsidR="00695555" w:rsidRPr="00FB60E5" w:rsidRDefault="00695555" w:rsidP="00FB60E5">
      <w:pPr>
        <w:ind w:left="0"/>
      </w:pPr>
      <w:r w:rsidRPr="00FB60E5">
        <w:t xml:space="preserve">Two members of the research team assessed participants’ eligibility based on the above variables and identified 120 potential participants, 60 of </w:t>
      </w:r>
      <w:proofErr w:type="gramStart"/>
      <w:r w:rsidRPr="00FB60E5">
        <w:t>whom</w:t>
      </w:r>
      <w:proofErr w:type="gramEnd"/>
      <w:r w:rsidRPr="00FB60E5">
        <w:t xml:space="preserve"> were recruited from Western Australia and 60 from Victoria. The second stage of the sampling approach involved assigning each of the 120 potential participants a priority score based on the date of the follow-up interview. Interviews completed most recently were marked as ‘high’ priority to increase the lik</w:t>
      </w:r>
      <w:r w:rsidR="00B90486">
        <w:t>elihood of successful contact.</w:t>
      </w:r>
    </w:p>
    <w:p w14:paraId="4643E8C2" w14:textId="77777777" w:rsidR="00BB0E5E" w:rsidRDefault="00695555" w:rsidP="00B90486">
      <w:pPr>
        <w:pStyle w:val="Heading4"/>
      </w:pPr>
      <w:r w:rsidRPr="00FB60E5">
        <w:t>Data collection</w:t>
      </w:r>
    </w:p>
    <w:p w14:paraId="3131DA12" w14:textId="055C7011" w:rsidR="002C27A8" w:rsidRDefault="00695555" w:rsidP="00FB60E5">
      <w:pPr>
        <w:ind w:left="0"/>
      </w:pPr>
      <w:r w:rsidRPr="00FB60E5">
        <w:t xml:space="preserve">A semi-structured interview schedule was used to explore six broad topics: experience of seeking AOD treatment; experience of PIT; follow-up AOD care post-PIT; accessing non-AOD services; experience of AOD and non-AOD services working together; experience of informal support (e.g., family, friends, </w:t>
      </w:r>
      <w:proofErr w:type="gramStart"/>
      <w:r w:rsidRPr="00FB60E5">
        <w:t>self</w:t>
      </w:r>
      <w:proofErr w:type="gramEnd"/>
      <w:r w:rsidRPr="00FB60E5">
        <w:t>-help groups) as well as issues important to the participant’s unique experience. The interviews were contacted by two interviewers. Participants were contacted via telephone, reminded of their involvement in the follow-up interview, and offered the opportunity to engage in an in-depth telephone interview at a mutually agreeable date and time</w:t>
      </w:r>
      <w:r w:rsidR="002C27A8">
        <w:t>.</w:t>
      </w:r>
    </w:p>
    <w:p w14:paraId="061D8059" w14:textId="77777777" w:rsidR="002C27A8" w:rsidRDefault="00695555" w:rsidP="00FB60E5">
      <w:pPr>
        <w:ind w:left="0"/>
      </w:pPr>
      <w:r w:rsidRPr="00FB60E5">
        <w:t>Consent for the interview to be audio-recorded was sought from the participant as part of the interview overview. All participants consented for the interview to be audio-recorded. Participants were reimbursed $30 for their time</w:t>
      </w:r>
      <w:r w:rsidR="002C27A8">
        <w:t>.</w:t>
      </w:r>
    </w:p>
    <w:p w14:paraId="38A46539" w14:textId="1634E40D" w:rsidR="00695555" w:rsidRPr="00FB60E5" w:rsidRDefault="00B90486" w:rsidP="00B90486">
      <w:pPr>
        <w:pStyle w:val="Heading4"/>
      </w:pPr>
      <w:r>
        <w:t>Analysis</w:t>
      </w:r>
    </w:p>
    <w:p w14:paraId="41F49398" w14:textId="77777777" w:rsidR="002C27A8" w:rsidRDefault="00695555" w:rsidP="00FB60E5">
      <w:pPr>
        <w:ind w:left="0"/>
      </w:pPr>
      <w:r w:rsidRPr="00FB60E5">
        <w:t>Audio-recordings were transcribed and NVivo10, a qualitative software package, was used to organise the interview data into a set of codes with common experiences grouped under the same code. Codes were grouped into provisional themes and sub-themes. Provisional themes were then clustered into groups of themes, and those insufficiently grounded in the data were omitted. A more focused analytical ordering of themes and was then undertaken. Finally, exemplars were identified to illustrate the different themes and sub-themes relatin</w:t>
      </w:r>
      <w:r w:rsidR="003F09E6" w:rsidRPr="00FB60E5">
        <w:t xml:space="preserve">g </w:t>
      </w:r>
      <w:r w:rsidR="003F09E6" w:rsidRPr="00FB60E5">
        <w:lastRenderedPageBreak/>
        <w:t>to the treatment experience. Identifying information such as town or suburb has been removed from the exemplars and the name of the AOD agencies providing the PIT has been replaced with generic labels such as ‘AOD service A’.</w:t>
      </w:r>
      <w:r w:rsidR="00F30CA5" w:rsidRPr="00FB60E5">
        <w:t xml:space="preserve"> Pseudonyms have been used in the three case studies</w:t>
      </w:r>
      <w:r w:rsidR="002C27A8">
        <w:t>.</w:t>
      </w:r>
    </w:p>
    <w:p w14:paraId="38A4653B" w14:textId="26B3273A" w:rsidR="00695555" w:rsidRPr="00FB60E5" w:rsidRDefault="00B90486" w:rsidP="00B90486">
      <w:pPr>
        <w:pStyle w:val="Heading4"/>
      </w:pPr>
      <w:r>
        <w:t>Structure</w:t>
      </w:r>
    </w:p>
    <w:p w14:paraId="38A4653C" w14:textId="77777777" w:rsidR="00695555" w:rsidRPr="00FB60E5" w:rsidRDefault="00695555" w:rsidP="00FB60E5">
      <w:pPr>
        <w:ind w:left="0"/>
      </w:pPr>
      <w:r w:rsidRPr="00FB60E5">
        <w:t>Qualitative interview findings are presented in four broad sections (see Appendix 2.5 for interview schedule):</w:t>
      </w:r>
    </w:p>
    <w:p w14:paraId="38A4653D" w14:textId="77777777" w:rsidR="00695555" w:rsidRPr="00FB60E5" w:rsidRDefault="00695555" w:rsidP="00882917">
      <w:pPr>
        <w:pStyle w:val="ListParagraph"/>
        <w:numPr>
          <w:ilvl w:val="0"/>
          <w:numId w:val="18"/>
        </w:numPr>
      </w:pPr>
      <w:r w:rsidRPr="00FB60E5">
        <w:t>Entry into PIT and the treatment experience</w:t>
      </w:r>
    </w:p>
    <w:p w14:paraId="1864F40F" w14:textId="77777777" w:rsidR="00BB0E5E" w:rsidRDefault="00695555" w:rsidP="00882917">
      <w:pPr>
        <w:pStyle w:val="ListParagraph"/>
        <w:numPr>
          <w:ilvl w:val="0"/>
          <w:numId w:val="18"/>
        </w:numPr>
      </w:pPr>
      <w:r w:rsidRPr="00FB60E5">
        <w:t>Continuity of care and service links</w:t>
      </w:r>
    </w:p>
    <w:p w14:paraId="61C9C117" w14:textId="77777777" w:rsidR="00BB0E5E" w:rsidRDefault="00695555" w:rsidP="00882917">
      <w:pPr>
        <w:pStyle w:val="ListParagraph"/>
        <w:numPr>
          <w:ilvl w:val="0"/>
          <w:numId w:val="18"/>
        </w:numPr>
      </w:pPr>
      <w:r w:rsidRPr="00FB60E5">
        <w:t>Barriers</w:t>
      </w:r>
    </w:p>
    <w:p w14:paraId="157DF138" w14:textId="77777777" w:rsidR="00BB0E5E" w:rsidRDefault="00695555" w:rsidP="00882917">
      <w:pPr>
        <w:pStyle w:val="ListParagraph"/>
        <w:numPr>
          <w:ilvl w:val="0"/>
          <w:numId w:val="18"/>
        </w:numPr>
      </w:pPr>
      <w:r w:rsidRPr="00FB60E5">
        <w:t>Areas for improvement</w:t>
      </w:r>
    </w:p>
    <w:p w14:paraId="3CF21F41" w14:textId="77777777" w:rsidR="00BB0E5E" w:rsidRDefault="003C21FE" w:rsidP="00882917">
      <w:pPr>
        <w:pStyle w:val="Heading2"/>
        <w:numPr>
          <w:ilvl w:val="1"/>
          <w:numId w:val="9"/>
        </w:numPr>
      </w:pPr>
      <w:bookmarkStart w:id="186" w:name="_Toc398105048"/>
      <w:bookmarkStart w:id="187" w:name="_Toc531696250"/>
      <w:r w:rsidRPr="00FB60E5">
        <w:t>Entry into PIT and the experience of treatment</w:t>
      </w:r>
      <w:bookmarkEnd w:id="186"/>
      <w:bookmarkEnd w:id="187"/>
    </w:p>
    <w:p w14:paraId="091661AD" w14:textId="77777777" w:rsidR="00BB0E5E" w:rsidRDefault="00695555" w:rsidP="00B90486">
      <w:pPr>
        <w:pStyle w:val="Heading3"/>
      </w:pPr>
      <w:r w:rsidRPr="00FB60E5">
        <w:t>AOD treatment prior to PIT</w:t>
      </w:r>
    </w:p>
    <w:p w14:paraId="1C2C41EC" w14:textId="2FA5DCDA" w:rsidR="002C27A8" w:rsidRDefault="00695555" w:rsidP="00FB60E5">
      <w:pPr>
        <w:ind w:left="0"/>
      </w:pPr>
      <w:r w:rsidRPr="00FB60E5">
        <w:t>For the majority of participants, the PIT was not their fi</w:t>
      </w:r>
      <w:r w:rsidR="003F09E6" w:rsidRPr="00FB60E5">
        <w:t>rst experience of AOD treatment</w:t>
      </w:r>
      <w:r w:rsidRPr="00FB60E5">
        <w:t xml:space="preserve">, as they had previously engaged in one or more forms of AOD treatment such as counselling, typically from a specialist AOD service, inpatient withdrawal </w:t>
      </w:r>
      <w:r w:rsidR="003F09E6" w:rsidRPr="00FB60E5">
        <w:t xml:space="preserve">or residential rehabilitation. </w:t>
      </w:r>
      <w:r w:rsidRPr="00FB60E5">
        <w:t xml:space="preserve">Furthermore, events leading to participants’ initial and subsequent contacts with AOD services were occasionally reported and reflected the ‘4 Ls model’ of harm, which </w:t>
      </w:r>
      <w:r w:rsidR="003F09E6" w:rsidRPr="00FB60E5">
        <w:t xml:space="preserve">often </w:t>
      </w:r>
      <w:r w:rsidRPr="00FB60E5">
        <w:t xml:space="preserve">bring cases into treatment (i.e., liver, lover, livelihood, and law; Roizen and </w:t>
      </w:r>
      <w:proofErr w:type="spellStart"/>
      <w:r w:rsidRPr="00FB60E5">
        <w:t>Weisner</w:t>
      </w:r>
      <w:proofErr w:type="spellEnd"/>
      <w:r w:rsidRPr="00FB60E5">
        <w:t>, 1979)</w:t>
      </w:r>
      <w:r w:rsidR="002C27A8">
        <w:t>.</w:t>
      </w:r>
    </w:p>
    <w:p w14:paraId="38A46544" w14:textId="42965449" w:rsidR="00695555" w:rsidRPr="00FB60E5" w:rsidRDefault="00695555" w:rsidP="00B23FC2">
      <w:pPr>
        <w:pStyle w:val="Quote"/>
      </w:pPr>
      <w:r w:rsidRPr="00FB60E5">
        <w:t xml:space="preserve">Then I stopped seeing her and about two months later, which isn't - but yeah, had a bit of psychotic episode and then got into trouble with the law and had a car accident. </w:t>
      </w:r>
      <w:proofErr w:type="gramStart"/>
      <w:r w:rsidRPr="00FB60E5">
        <w:t>Yeah, lost my relationship and the house, that wasn't good.</w:t>
      </w:r>
      <w:proofErr w:type="gramEnd"/>
      <w:r w:rsidRPr="00FB60E5">
        <w:t xml:space="preserve"> I didn't realise how much it was keeping me in check, just seeing someone (Interviewee 38).</w:t>
      </w:r>
    </w:p>
    <w:p w14:paraId="38A46545" w14:textId="55842614" w:rsidR="00695555" w:rsidRPr="00FB60E5" w:rsidRDefault="00BE3C94" w:rsidP="00B90486">
      <w:pPr>
        <w:pStyle w:val="Heading3"/>
      </w:pPr>
      <w:r>
        <w:t>Level of complexity</w:t>
      </w:r>
    </w:p>
    <w:p w14:paraId="38A46546" w14:textId="77777777" w:rsidR="00695555" w:rsidRPr="00FB60E5" w:rsidRDefault="00695555" w:rsidP="00FB60E5">
      <w:pPr>
        <w:ind w:left="0"/>
      </w:pPr>
      <w:r w:rsidRPr="00FB60E5">
        <w:t xml:space="preserve">Co-morbidities were common among the participants, as the majority indicated they had previous contact with a psychologist and/or psychiatrist. Reported mental health concerns ranged from psychotic disorders, such as schizophrenia, to </w:t>
      </w:r>
      <w:r w:rsidR="00B14E65" w:rsidRPr="00FB60E5">
        <w:t xml:space="preserve">depression and mood disorders. </w:t>
      </w:r>
      <w:r w:rsidRPr="00FB60E5">
        <w:t>Some therapeutic relationships were long-</w:t>
      </w:r>
      <w:proofErr w:type="gramStart"/>
      <w:r w:rsidRPr="00FB60E5">
        <w:t>standing,</w:t>
      </w:r>
      <w:proofErr w:type="gramEnd"/>
      <w:r w:rsidRPr="00FB60E5">
        <w:t xml:space="preserve"> suggesting contact with mental health services pre-dated the PIT.</w:t>
      </w:r>
    </w:p>
    <w:p w14:paraId="413BA48E" w14:textId="77777777" w:rsidR="002C27A8" w:rsidRDefault="00695555" w:rsidP="00FB60E5">
      <w:pPr>
        <w:ind w:left="0"/>
      </w:pPr>
      <w:r w:rsidRPr="00FB60E5">
        <w:t>Contact with the prison system and/or housing services (to apply for stable housing) or homelessness services also indicates that the participants have multiple needs. While less common, some reported a recent history of domestic violence, and others indicated they had ongoing co-morbid health issues. As illustrated in the exemplar below, multiple issues experienced by participants are evident through their contact with a range of services and the cumulative impact of issues fluctuated over time, as issues tended to be present before and after PIT</w:t>
      </w:r>
      <w:r w:rsidR="002C27A8">
        <w:t>.</w:t>
      </w:r>
    </w:p>
    <w:p w14:paraId="38A46548" w14:textId="429AA1BD" w:rsidR="00695555" w:rsidRPr="00FB60E5" w:rsidRDefault="00695555" w:rsidP="00B90486">
      <w:pPr>
        <w:pStyle w:val="Quote"/>
      </w:pPr>
      <w:r w:rsidRPr="00FB60E5">
        <w:t xml:space="preserve">I've got a family support worker, but they're more early </w:t>
      </w:r>
      <w:r w:rsidR="00B14E65" w:rsidRPr="00FB60E5">
        <w:t xml:space="preserve">intervention for the children. </w:t>
      </w:r>
      <w:r w:rsidRPr="00FB60E5">
        <w:t>Now I've got a - I go to a women's centre who has an intense support worker that works more intensive</w:t>
      </w:r>
      <w:r w:rsidR="00B14E65" w:rsidRPr="00FB60E5">
        <w:t xml:space="preserve">ly with myself. </w:t>
      </w:r>
      <w:r w:rsidRPr="00FB60E5">
        <w:t>Then the house that I'm staying in at the moment, it's a DV house (i.e. domestic violence crisis accommodation service)</w:t>
      </w:r>
      <w:r w:rsidR="00B14E65" w:rsidRPr="00FB60E5">
        <w:t xml:space="preserve"> s</w:t>
      </w:r>
      <w:r w:rsidRPr="00FB60E5">
        <w:t>o I've got</w:t>
      </w:r>
      <w:r w:rsidR="00B14E65" w:rsidRPr="00FB60E5">
        <w:t xml:space="preserve"> a housing worker though </w:t>
      </w:r>
      <w:r w:rsidR="00B14E65" w:rsidRPr="00FB60E5">
        <w:lastRenderedPageBreak/>
        <w:t xml:space="preserve">them. </w:t>
      </w:r>
      <w:r w:rsidRPr="00FB60E5">
        <w:t>They monitor where I'm at on my housing list through the Government (Interviewee 26).</w:t>
      </w:r>
    </w:p>
    <w:p w14:paraId="38A46549" w14:textId="1FE08D73" w:rsidR="00695555" w:rsidRPr="00FB60E5" w:rsidRDefault="00B90486" w:rsidP="00B90486">
      <w:pPr>
        <w:pStyle w:val="Heading3"/>
      </w:pPr>
      <w:r>
        <w:t>Referral to PIT</w:t>
      </w:r>
    </w:p>
    <w:p w14:paraId="1DC4A9D9" w14:textId="77777777" w:rsidR="002C27A8" w:rsidRDefault="00695555" w:rsidP="00FB60E5">
      <w:pPr>
        <w:ind w:left="0"/>
      </w:pPr>
      <w:r w:rsidRPr="00FB60E5">
        <w:t>The referral pathway into the PIT was reflective of participants’ existing support networks (e.g., mental health service, GP, AOD service) and prior engagement with AOD treatment. Involvement of a health worker, typically an AOD worker, was common and the support came in many forms, from making the referral on behalf of the participant, and in some cases providing transportation to and from the PIT, to exploring treatment options with the participant and providing ongoing support</w:t>
      </w:r>
      <w:r w:rsidR="002C27A8">
        <w:t>.</w:t>
      </w:r>
    </w:p>
    <w:p w14:paraId="38A4654B" w14:textId="1396DDB8" w:rsidR="00695555" w:rsidRPr="00FB60E5" w:rsidRDefault="00695555" w:rsidP="00B90486">
      <w:pPr>
        <w:pStyle w:val="Quote"/>
      </w:pPr>
      <w:r w:rsidRPr="00FB60E5">
        <w:t>[Interviewer: So can you tell me the good things, if any, about your experience accessing the inpatient withdrawal unit] It was very easy going. Yeah it was all done for me so I was really lucky in that sort of sense. I'm not sure, if I was on my own it'd be a bit harder, but yeah it was very straightforward and they all organised it for me. So all I had to do was turn up, so that was really good, yeah (Interviewee 24).</w:t>
      </w:r>
    </w:p>
    <w:p w14:paraId="38A4654C" w14:textId="77777777" w:rsidR="00695555" w:rsidRPr="00FB60E5" w:rsidRDefault="00695555" w:rsidP="00B90486">
      <w:pPr>
        <w:pStyle w:val="Quote"/>
      </w:pPr>
      <w:r w:rsidRPr="00FB60E5">
        <w:t xml:space="preserve">My first experience was at [AOD service E]. I had talked through my - the full extent of my problem with my GP, and she had given me the phone number of [AOD service E] </w:t>
      </w:r>
      <w:r w:rsidR="00B14E65" w:rsidRPr="00FB60E5">
        <w:t>and</w:t>
      </w:r>
      <w:r w:rsidRPr="00FB60E5">
        <w:t xml:space="preserve"> they talked to me about detoxification...Yep. She [GP] said that she woul</w:t>
      </w:r>
      <w:r w:rsidR="00B14E65" w:rsidRPr="00FB60E5">
        <w:t>d support me whether I wanted</w:t>
      </w:r>
      <w:r w:rsidRPr="00FB60E5">
        <w:t xml:space="preserve"> help with my drinking or not, and said this is a good first contact (Interviewee 19).</w:t>
      </w:r>
    </w:p>
    <w:p w14:paraId="71211F44" w14:textId="77777777" w:rsidR="002C27A8" w:rsidRDefault="00695555" w:rsidP="00FB60E5">
      <w:pPr>
        <w:ind w:left="0"/>
      </w:pPr>
      <w:r w:rsidRPr="00FB60E5">
        <w:t>Prior treatment experience and knowledge of the referral processes enabled other participants to self-refer to PIT. Furthermore, initiating contact with an AOD service and organising supporting documentation, such as a referral letter from a GP, provided some participants with a sense of ownership</w:t>
      </w:r>
      <w:r w:rsidR="002C27A8">
        <w:t>.</w:t>
      </w:r>
    </w:p>
    <w:p w14:paraId="41B86DF8" w14:textId="77777777" w:rsidR="002C27A8" w:rsidRDefault="00695555" w:rsidP="00B90486">
      <w:pPr>
        <w:pStyle w:val="Quote"/>
      </w:pPr>
      <w:r w:rsidRPr="00FB60E5">
        <w:t>Well, what I did was I had to make the phone call [to the withdrawal unit] and then let the counsellor I was seeing at the time [know].</w:t>
      </w:r>
      <w:r w:rsidR="002C27A8">
        <w:t xml:space="preserve"> </w:t>
      </w:r>
      <w:r w:rsidRPr="00FB60E5">
        <w:t>I also had to get the referral from the doctor, oh god t</w:t>
      </w:r>
      <w:r w:rsidR="00B14E65" w:rsidRPr="00FB60E5">
        <w:t xml:space="preserve">here was quite a bit involved. </w:t>
      </w:r>
      <w:r w:rsidRPr="00FB60E5">
        <w:t>But I managed - second time was a lot easier than the first time, the second time</w:t>
      </w:r>
      <w:r w:rsidR="00B95EC6" w:rsidRPr="00FB60E5">
        <w:t xml:space="preserve"> I organised a lot more myself.</w:t>
      </w:r>
      <w:r w:rsidRPr="00FB60E5">
        <w:t xml:space="preserve"> Because I wanted to do it myself and I was keen to do it the second time (Interviewee 27)</w:t>
      </w:r>
      <w:r w:rsidR="002C27A8">
        <w:t>.</w:t>
      </w:r>
    </w:p>
    <w:p w14:paraId="38A4654F" w14:textId="0D66F457" w:rsidR="00695555" w:rsidRPr="00FB60E5" w:rsidRDefault="00695555" w:rsidP="00FB60E5">
      <w:pPr>
        <w:ind w:left="0"/>
      </w:pPr>
      <w:r w:rsidRPr="00FB60E5">
        <w:t xml:space="preserve">Information on awareness of treatment services was also sourced through family and friends and the participants’ own research. Participants tended to be less familiar with the AOD system and had fewer formal supports. Few reported that their referral to PIT was the result of a mandated </w:t>
      </w:r>
      <w:r w:rsidR="00B95EC6" w:rsidRPr="00FB60E5">
        <w:t>court order</w:t>
      </w:r>
      <w:r w:rsidRPr="00FB60E5">
        <w:t>.</w:t>
      </w:r>
    </w:p>
    <w:p w14:paraId="38A46550" w14:textId="77777777" w:rsidR="00695555" w:rsidRPr="00FB60E5" w:rsidRDefault="00695555" w:rsidP="00B90486">
      <w:pPr>
        <w:pStyle w:val="Heading3"/>
      </w:pPr>
      <w:r w:rsidRPr="00FB60E5">
        <w:t>Entry and admission into PIT</w:t>
      </w:r>
    </w:p>
    <w:p w14:paraId="38A46551" w14:textId="4E00C85C" w:rsidR="00695555" w:rsidRPr="00FB60E5" w:rsidRDefault="00695555" w:rsidP="00FB60E5">
      <w:pPr>
        <w:ind w:left="0"/>
      </w:pPr>
      <w:r w:rsidRPr="00FB60E5">
        <w:t>For most participants, entry into PIT was straightforward, with completing forms and attending assessment interviews considered a standard component of the admission process. Prior treatment experience enabled them to navigate the AOD system and organise a package of care, such as inpatient withdrawal followed by long-term residential treatment. For these participants, waiting lists were a source of frustration, and often required them to frequently contact the service regarding an admission date. For some participants, making regular contact with a service demonstrated their level of co</w:t>
      </w:r>
      <w:r w:rsidR="00B90486">
        <w:t>mmitment and/or level of need.</w:t>
      </w:r>
    </w:p>
    <w:p w14:paraId="101BB750" w14:textId="77777777" w:rsidR="002C27A8" w:rsidRDefault="00695555" w:rsidP="00B90486">
      <w:pPr>
        <w:pStyle w:val="Quote"/>
      </w:pPr>
      <w:r w:rsidRPr="00FB60E5">
        <w:lastRenderedPageBreak/>
        <w:t>Just the waiting list basically, it was really, really ‘chockers’ when I tried to get t</w:t>
      </w:r>
      <w:r w:rsidR="00B95EC6" w:rsidRPr="00FB60E5">
        <w:t xml:space="preserve">here. </w:t>
      </w:r>
      <w:r w:rsidRPr="00FB60E5">
        <w:t>It was quite disheartening, you know.... Yeah, I think it was four or five months which is quite a long time.</w:t>
      </w:r>
      <w:r w:rsidR="002C27A8">
        <w:t xml:space="preserve"> </w:t>
      </w:r>
      <w:r w:rsidRPr="00FB60E5">
        <w:t>...</w:t>
      </w:r>
      <w:r w:rsidR="00B95EC6" w:rsidRPr="00FB60E5">
        <w:t>I</w:t>
      </w:r>
      <w:r w:rsidRPr="00FB60E5">
        <w:t xml:space="preserve"> contact[</w:t>
      </w:r>
      <w:proofErr w:type="spellStart"/>
      <w:proofErr w:type="gramStart"/>
      <w:r w:rsidRPr="00FB60E5">
        <w:t>ed</w:t>
      </w:r>
      <w:proofErr w:type="spellEnd"/>
      <w:proofErr w:type="gramEnd"/>
      <w:r w:rsidRPr="00FB60E5">
        <w:t xml:space="preserve"> them] at least once a fortnight. Towards the end I was ringing them every day (Interviewee 16)</w:t>
      </w:r>
      <w:r w:rsidR="002C27A8">
        <w:t>.</w:t>
      </w:r>
    </w:p>
    <w:p w14:paraId="7EA0EFDB" w14:textId="77777777" w:rsidR="002C27A8" w:rsidRDefault="00695555" w:rsidP="00FB60E5">
      <w:pPr>
        <w:ind w:left="0"/>
      </w:pPr>
      <w:r w:rsidRPr="00FB60E5">
        <w:t>Entry and admission into PIT often involved referrals between services within the same agency (i.e., intra service referrals) or referrals between two or more AOD agencies (i.e., inter service referrals). In many cases, intra-and-inter service referral processes were streamlined as assessment information was passed from one service to the next. From the participant’s perspective this reduced the need to repeat their story. Access to treatment was also facilitated by services providing or organising transport to take the participant from one treatment site to the next</w:t>
      </w:r>
      <w:r w:rsidR="002C27A8">
        <w:t>.</w:t>
      </w:r>
    </w:p>
    <w:p w14:paraId="38A46554" w14:textId="7A0DCDE6" w:rsidR="00695555" w:rsidRPr="00FB60E5" w:rsidRDefault="00695555" w:rsidP="00B90486">
      <w:pPr>
        <w:pStyle w:val="Quote"/>
      </w:pPr>
      <w:r w:rsidRPr="00FB60E5">
        <w:t>Well, I found with [AOD service F]</w:t>
      </w:r>
      <w:r w:rsidR="000913E3" w:rsidRPr="00FB60E5">
        <w:t xml:space="preserve"> </w:t>
      </w:r>
      <w:r w:rsidRPr="00FB60E5">
        <w:t>that program and then you go to the [AOD service G].</w:t>
      </w:r>
      <w:r w:rsidR="002C27A8">
        <w:t xml:space="preserve"> </w:t>
      </w:r>
      <w:r w:rsidRPr="00FB60E5">
        <w:t>I found that's a very good service, because what happens is you complete the six weeks and what they do is they personally drive you down [AOD service F to AOD service G]..</w:t>
      </w:r>
      <w:r w:rsidR="00862D75" w:rsidRPr="00FB60E5">
        <w:t>.T</w:t>
      </w:r>
      <w:r w:rsidRPr="00FB60E5">
        <w:t xml:space="preserve">he process is </w:t>
      </w:r>
      <w:r w:rsidR="00862D75" w:rsidRPr="00FB60E5">
        <w:t xml:space="preserve">[made] </w:t>
      </w:r>
      <w:r w:rsidRPr="00FB60E5">
        <w:t>a lot easier, because you don't have to go through all the paperwork and it's all linke</w:t>
      </w:r>
      <w:r w:rsidR="000128BD" w:rsidRPr="00FB60E5">
        <w:t>d up</w:t>
      </w:r>
      <w:r w:rsidRPr="00FB60E5">
        <w:t xml:space="preserve"> (Interviewee 27).</w:t>
      </w:r>
    </w:p>
    <w:p w14:paraId="3E3B265B" w14:textId="77777777" w:rsidR="00BB0E5E" w:rsidRDefault="00695555" w:rsidP="00B90486">
      <w:pPr>
        <w:pStyle w:val="Heading3"/>
      </w:pPr>
      <w:r w:rsidRPr="00FB60E5">
        <w:t>Components of treatment received</w:t>
      </w:r>
    </w:p>
    <w:p w14:paraId="38A46556" w14:textId="3AADF274" w:rsidR="00695555" w:rsidRPr="00FB60E5" w:rsidRDefault="00695555" w:rsidP="00FB60E5">
      <w:pPr>
        <w:ind w:left="0"/>
      </w:pPr>
      <w:r w:rsidRPr="00FB60E5">
        <w:t>As part of the interview, participants were asked to describe what happened during treatment and if anything were missing from their treatment experience. This section is divided into two parts: inpatient and residential treatment, fol</w:t>
      </w:r>
      <w:r w:rsidR="00B90486">
        <w:t>lowed by outpatient treatment.</w:t>
      </w:r>
    </w:p>
    <w:p w14:paraId="38A46558" w14:textId="77777777" w:rsidR="00695555" w:rsidRPr="00FB60E5" w:rsidRDefault="00695555" w:rsidP="00B90486">
      <w:pPr>
        <w:pStyle w:val="Heading4"/>
      </w:pPr>
      <w:r w:rsidRPr="00FB60E5">
        <w:t>Inpatient and residential treatment</w:t>
      </w:r>
    </w:p>
    <w:p w14:paraId="41F4BF67" w14:textId="77777777" w:rsidR="00BB0E5E" w:rsidRDefault="00695555" w:rsidP="00FB60E5">
      <w:pPr>
        <w:ind w:left="0"/>
      </w:pPr>
      <w:r w:rsidRPr="00FB60E5">
        <w:t>For participants receiving acute withdrawal or residential rehabilitation, the treatment experience reflected three main themes:</w:t>
      </w:r>
    </w:p>
    <w:p w14:paraId="20EA8277" w14:textId="77777777" w:rsidR="00BB0E5E" w:rsidRDefault="00695555" w:rsidP="00882917">
      <w:pPr>
        <w:pStyle w:val="ListParagraph"/>
        <w:numPr>
          <w:ilvl w:val="0"/>
          <w:numId w:val="19"/>
        </w:numPr>
      </w:pPr>
      <w:r w:rsidRPr="00FB60E5">
        <w:t>Supportive service environment</w:t>
      </w:r>
    </w:p>
    <w:p w14:paraId="75446E87" w14:textId="77777777" w:rsidR="00BB0E5E" w:rsidRDefault="00695555" w:rsidP="00882917">
      <w:pPr>
        <w:pStyle w:val="ListParagraph"/>
        <w:numPr>
          <w:ilvl w:val="0"/>
          <w:numId w:val="19"/>
        </w:numPr>
      </w:pPr>
      <w:r w:rsidRPr="00FB60E5">
        <w:t>Skills and insights gained from psycho-educational group work</w:t>
      </w:r>
    </w:p>
    <w:p w14:paraId="0C5CEC59" w14:textId="77777777" w:rsidR="00BB0E5E" w:rsidRDefault="00695555" w:rsidP="00882917">
      <w:pPr>
        <w:pStyle w:val="ListParagraph"/>
        <w:numPr>
          <w:ilvl w:val="0"/>
          <w:numId w:val="19"/>
        </w:numPr>
      </w:pPr>
      <w:r w:rsidRPr="00FB60E5">
        <w:t>Learning from peers</w:t>
      </w:r>
    </w:p>
    <w:p w14:paraId="38A4655D" w14:textId="5D51209C" w:rsidR="00695555" w:rsidRPr="00FB60E5" w:rsidRDefault="00B90486" w:rsidP="00B90486">
      <w:pPr>
        <w:pStyle w:val="Heading5"/>
      </w:pPr>
      <w:r>
        <w:t>Supportive service environment</w:t>
      </w:r>
    </w:p>
    <w:p w14:paraId="0DE26C9F" w14:textId="77777777" w:rsidR="002C27A8" w:rsidRDefault="00695555" w:rsidP="00FB60E5">
      <w:pPr>
        <w:ind w:left="0"/>
      </w:pPr>
      <w:r w:rsidRPr="00FB60E5">
        <w:t>‘Feeling safe’ was frequently mentioned by participants and this was typically attributed to the quality of care provided by clinicians, particular the management of withdrawal symptoms. The non-judgmental and respectful approach of staff also contributed to the treatment experience</w:t>
      </w:r>
      <w:r w:rsidR="002C27A8">
        <w:t>.</w:t>
      </w:r>
    </w:p>
    <w:p w14:paraId="7807C8D7" w14:textId="77777777" w:rsidR="002C27A8" w:rsidRDefault="00695555" w:rsidP="00B90486">
      <w:pPr>
        <w:pStyle w:val="Quote"/>
      </w:pPr>
      <w:r w:rsidRPr="00FB60E5">
        <w:t>Just the safety aspect, knowing that I was around people who knew what was going on really (Interviewee 18)</w:t>
      </w:r>
      <w:r w:rsidR="002C27A8">
        <w:t>.</w:t>
      </w:r>
    </w:p>
    <w:p w14:paraId="28A8F474" w14:textId="77777777" w:rsidR="002C27A8" w:rsidRDefault="00695555" w:rsidP="00FB60E5">
      <w:pPr>
        <w:ind w:left="0"/>
      </w:pPr>
      <w:r w:rsidRPr="00FB60E5">
        <w:t>The communal living aspect of residential and inpatient treatment, such as sharing household responsibilities and eating together was viewed as a positive part of the treatment experience by many participants. For others, the structured nature of the residential program and the emphasis placed on developing a healthy daily routine was beneficial</w:t>
      </w:r>
      <w:r w:rsidR="002C27A8">
        <w:t>.</w:t>
      </w:r>
    </w:p>
    <w:p w14:paraId="38A46561" w14:textId="6B8000BB" w:rsidR="00695555" w:rsidRPr="00FB60E5" w:rsidRDefault="00695555" w:rsidP="00B90486">
      <w:pPr>
        <w:pStyle w:val="Quote"/>
      </w:pPr>
      <w:r w:rsidRPr="00FB60E5">
        <w:lastRenderedPageBreak/>
        <w:t xml:space="preserve">[Interviewer: So if someone asked you to describe what </w:t>
      </w:r>
      <w:proofErr w:type="gramStart"/>
      <w:r w:rsidRPr="00FB60E5">
        <w:t>happens</w:t>
      </w:r>
      <w:proofErr w:type="gramEnd"/>
      <w:r w:rsidRPr="00FB60E5">
        <w:t xml:space="preserve"> in [residential rehabilitation] what would you tell them?]</w:t>
      </w:r>
      <w:r w:rsidR="000913E3" w:rsidRPr="00FB60E5">
        <w:t xml:space="preserve"> It's quite life changing. </w:t>
      </w:r>
      <w:r w:rsidRPr="00FB60E5">
        <w:t>They teach you basic boundaries and life skills, like cooking and getting up early in the morning, even to hanging your towel up, m</w:t>
      </w:r>
      <w:r w:rsidR="000913E3" w:rsidRPr="00FB60E5">
        <w:t xml:space="preserve">aking your bed. </w:t>
      </w:r>
      <w:proofErr w:type="gramStart"/>
      <w:r w:rsidRPr="00FB60E5">
        <w:t>Just things that when you're on drugs you kind of lose th</w:t>
      </w:r>
      <w:r w:rsidR="000913E3" w:rsidRPr="00FB60E5">
        <w:t>at from when you were a child.</w:t>
      </w:r>
      <w:proofErr w:type="gramEnd"/>
      <w:r w:rsidR="000913E3" w:rsidRPr="00FB60E5">
        <w:t xml:space="preserve"> Which I think is fantastic. </w:t>
      </w:r>
      <w:r w:rsidRPr="00FB60E5">
        <w:t xml:space="preserve">Then comes the personal growth and it's </w:t>
      </w:r>
      <w:proofErr w:type="gramStart"/>
      <w:r w:rsidRPr="00FB60E5">
        <w:t>very</w:t>
      </w:r>
      <w:proofErr w:type="gramEnd"/>
      <w:r w:rsidRPr="00FB60E5">
        <w:t xml:space="preserve"> protected in there, so it's quite innocent and real, if you know what I mean. [So they helped you to get organised?]. </w:t>
      </w:r>
      <w:proofErr w:type="gramStart"/>
      <w:r w:rsidRPr="00FB60E5">
        <w:t>Yeah, de</w:t>
      </w:r>
      <w:r w:rsidR="000913E3" w:rsidRPr="00FB60E5">
        <w:t>finitely.</w:t>
      </w:r>
      <w:proofErr w:type="gramEnd"/>
      <w:r w:rsidR="000913E3" w:rsidRPr="00FB60E5">
        <w:t xml:space="preserve"> </w:t>
      </w:r>
      <w:proofErr w:type="gramStart"/>
      <w:r w:rsidRPr="00FB60E5">
        <w:t>In the real world (Interviewee 20).</w:t>
      </w:r>
      <w:proofErr w:type="gramEnd"/>
    </w:p>
    <w:p w14:paraId="38A46562" w14:textId="0CDBDB44" w:rsidR="00695555" w:rsidRPr="00FB60E5" w:rsidRDefault="00695555" w:rsidP="00FB60E5">
      <w:pPr>
        <w:ind w:left="0"/>
      </w:pPr>
      <w:r w:rsidRPr="00FB60E5">
        <w:t xml:space="preserve">For some participants, a positive group dynamic within the inpatient unit or residential service was associated with a supportive environment, which led to most participants </w:t>
      </w:r>
      <w:r w:rsidR="00B90486">
        <w:t>engaging in various activities.</w:t>
      </w:r>
    </w:p>
    <w:p w14:paraId="38A46563" w14:textId="22DE2952" w:rsidR="00695555" w:rsidRPr="00FB60E5" w:rsidRDefault="00A83DA9" w:rsidP="00B90486">
      <w:pPr>
        <w:pStyle w:val="Heading5"/>
      </w:pPr>
      <w:r w:rsidRPr="00FB60E5">
        <w:t xml:space="preserve">Benefits </w:t>
      </w:r>
      <w:r w:rsidR="00695555" w:rsidRPr="00FB60E5">
        <w:t>fro</w:t>
      </w:r>
      <w:r w:rsidR="00B90486">
        <w:t>m psycho-educational group work</w:t>
      </w:r>
    </w:p>
    <w:p w14:paraId="38A46564" w14:textId="7AB05F2E" w:rsidR="00695555" w:rsidRPr="00FB60E5" w:rsidRDefault="00695555" w:rsidP="00FB60E5">
      <w:pPr>
        <w:ind w:left="0"/>
      </w:pPr>
      <w:r w:rsidRPr="00FB60E5">
        <w:t xml:space="preserve">According to participants, residential treatment was structured around psycho-educational group-work (e.g., relapse prevention, mindfulness, behaviour management, reflective learning, </w:t>
      </w:r>
      <w:proofErr w:type="gramStart"/>
      <w:r w:rsidRPr="00FB60E5">
        <w:t>goal</w:t>
      </w:r>
      <w:proofErr w:type="gramEnd"/>
      <w:r w:rsidRPr="00FB60E5">
        <w:t xml:space="preserve"> setting) as well as physical and creative activities.</w:t>
      </w:r>
      <w:r w:rsidR="0034684A" w:rsidRPr="00FB60E5">
        <w:t xml:space="preserve"> </w:t>
      </w:r>
      <w:r w:rsidRPr="00FB60E5">
        <w:t xml:space="preserve">These activities were associated with personal </w:t>
      </w:r>
      <w:r w:rsidR="00B90486">
        <w:t>growth and increased awareness.</w:t>
      </w:r>
    </w:p>
    <w:p w14:paraId="38A46565" w14:textId="77777777" w:rsidR="00695555" w:rsidRPr="00FB60E5" w:rsidRDefault="00695555" w:rsidP="00B90486">
      <w:pPr>
        <w:pStyle w:val="Quote"/>
      </w:pPr>
      <w:r w:rsidRPr="00FB60E5">
        <w:t>I'd say it was a lot of learning - you know, learning about drugs and what they do to you. Sort of like why you take them. Sort of like learning about triggers and stuff like that and learning about yourself. So I'd say it's a big learning thing (Interviewee 32).</w:t>
      </w:r>
    </w:p>
    <w:p w14:paraId="38A46566" w14:textId="7B9455E2" w:rsidR="00695555" w:rsidRPr="00FB60E5" w:rsidRDefault="00695555" w:rsidP="00FB60E5">
      <w:pPr>
        <w:ind w:left="0"/>
      </w:pPr>
      <w:r w:rsidRPr="00FB60E5">
        <w:t>A number of participants indicated that the communal living and range of activities undertaken during inpatient or residential treatment may not align with everyone’s preferred way of learning or personality but there was a sense that it is up to the individual to take what they can from the experience. Furthermore, some found the intensity of the group session confronting as participants disclosed perso</w:t>
      </w:r>
      <w:r w:rsidR="00B90486">
        <w:t>nal challenges or difficulties.</w:t>
      </w:r>
    </w:p>
    <w:p w14:paraId="38A46567" w14:textId="0858A725" w:rsidR="00695555" w:rsidRPr="00FB60E5" w:rsidRDefault="00695555" w:rsidP="00B90486">
      <w:pPr>
        <w:pStyle w:val="Quote"/>
      </w:pPr>
      <w:r w:rsidRPr="00FB60E5">
        <w:t>There was a lot of group work and sometimes it became a bit ‘full-on’, but, overall, it was a really good program. [Interviewer:</w:t>
      </w:r>
      <w:r w:rsidR="002C27A8">
        <w:t xml:space="preserve"> </w:t>
      </w:r>
      <w:r w:rsidRPr="00FB60E5">
        <w:t xml:space="preserve">A bit full on, okay]. The subjects - I don't know. Emotionally intense, I suppose? </w:t>
      </w:r>
      <w:proofErr w:type="gramStart"/>
      <w:r w:rsidRPr="00FB60E5">
        <w:t>Either for myself or for other people, watching what other people had been through.</w:t>
      </w:r>
      <w:proofErr w:type="gramEnd"/>
      <w:r w:rsidRPr="00FB60E5">
        <w:t xml:space="preserve"> Having to face up to issues and dea</w:t>
      </w:r>
      <w:r w:rsidR="00B90486">
        <w:t>l with things (Interviewee 38).</w:t>
      </w:r>
    </w:p>
    <w:p w14:paraId="38A46568" w14:textId="07CAE909" w:rsidR="00695555" w:rsidRPr="00FB60E5" w:rsidRDefault="000913E3" w:rsidP="00FB60E5">
      <w:pPr>
        <w:ind w:left="0"/>
      </w:pPr>
      <w:r w:rsidRPr="00FB60E5">
        <w:t xml:space="preserve">Individual counselling was considered a beneficial component of residential rehabilitation </w:t>
      </w:r>
      <w:r w:rsidR="009061BD" w:rsidRPr="00FB60E5">
        <w:t xml:space="preserve">and </w:t>
      </w:r>
      <w:r w:rsidR="00695555" w:rsidRPr="00FB60E5">
        <w:t>few participants mentioned that one-to-one counselling was available during inpatient withdrawal; however this was not part of the regular program. Others mentioned that staff was generally responsive to req</w:t>
      </w:r>
      <w:r w:rsidR="00B90486">
        <w:t>uests for a private discussion</w:t>
      </w:r>
    </w:p>
    <w:p w14:paraId="38A46569" w14:textId="77777777" w:rsidR="00695555" w:rsidRPr="00FB60E5" w:rsidRDefault="00695555" w:rsidP="00B90486">
      <w:pPr>
        <w:pStyle w:val="Heading5"/>
      </w:pPr>
      <w:r w:rsidRPr="00FB60E5">
        <w:t>Learning from peers</w:t>
      </w:r>
    </w:p>
    <w:p w14:paraId="38A4656A" w14:textId="35E6919A" w:rsidR="00695555" w:rsidRPr="00FB60E5" w:rsidRDefault="00695555" w:rsidP="00FB60E5">
      <w:pPr>
        <w:ind w:left="0"/>
      </w:pPr>
      <w:r w:rsidRPr="00FB60E5">
        <w:t>The opportunity to learn about and engage with self-help groups such as AA and to a lesser degree, other mutual aid programs was provided during inpatient withdrawal and residential rehabilitation. According to most participants, attending group activities, including self-help meetings such as AA was a compulsory part of residential rehabilitation; however it was also encouraged in inpatient withdrawal units. Learning from peers in recovery was valuable for many participants in terms of exploring new options of support and generating a sense of hope that recovery was achievable. In contrast, a small number of participants found the concepts of AA confusing and did</w:t>
      </w:r>
      <w:r w:rsidR="00B90486">
        <w:t xml:space="preserve"> not benefit from the sessions.</w:t>
      </w:r>
    </w:p>
    <w:p w14:paraId="38A4656B" w14:textId="428B4FC8" w:rsidR="00695555" w:rsidRPr="00FB60E5" w:rsidRDefault="00695555" w:rsidP="00B90486">
      <w:pPr>
        <w:pStyle w:val="Quote"/>
      </w:pPr>
      <w:r w:rsidRPr="00FB60E5">
        <w:lastRenderedPageBreak/>
        <w:t xml:space="preserve">[Interviewer: In terms of the activities, though, was there any one in particular or a couple of particular activities that were really good or...] </w:t>
      </w:r>
      <w:proofErr w:type="gramStart"/>
      <w:r w:rsidRPr="00FB60E5">
        <w:t>Possibly the ones where the people came in and shared their experiences [NA].</w:t>
      </w:r>
      <w:proofErr w:type="gramEnd"/>
      <w:r w:rsidR="002C27A8">
        <w:t xml:space="preserve"> </w:t>
      </w:r>
      <w:r w:rsidRPr="00FB60E5">
        <w:t>Yeah because when they came in and were talking about their experiences it helped us feel like, well people have done it and you can see how far they've come in life now and it gave us that, encouraged to want to be strong and know that we can do it (Interviewee 28).</w:t>
      </w:r>
    </w:p>
    <w:p w14:paraId="38A4656C" w14:textId="77777777" w:rsidR="00695555" w:rsidRPr="00FB60E5" w:rsidRDefault="00695555" w:rsidP="00FB60E5">
      <w:pPr>
        <w:ind w:left="0"/>
      </w:pPr>
      <w:r w:rsidRPr="00FB60E5">
        <w:t>Sharing the treatment experience with others was a key benefit of the treatment for many participants. For some, it helped normalise their addiction, and others drew strength from fellow clients.</w:t>
      </w:r>
    </w:p>
    <w:p w14:paraId="38A4656D" w14:textId="77777777" w:rsidR="00695555" w:rsidRPr="00FB60E5" w:rsidRDefault="00695555" w:rsidP="00B90486">
      <w:pPr>
        <w:pStyle w:val="Quote"/>
      </w:pPr>
      <w:r w:rsidRPr="00FB60E5">
        <w:t>I think you cope better together, or I find that I do. Yeah you share experiences and that sort of thing. If I was to go there alone I think I'd struggle a bit more because I was going on my own (Interviewee 22).</w:t>
      </w:r>
    </w:p>
    <w:p w14:paraId="38A4656E" w14:textId="042C47F6" w:rsidR="00695555" w:rsidRPr="00FB60E5" w:rsidRDefault="00695555" w:rsidP="00B90486">
      <w:pPr>
        <w:pStyle w:val="Heading4"/>
      </w:pPr>
      <w:r w:rsidRPr="00FB60E5">
        <w:t>Outpatient treatment: Havi</w:t>
      </w:r>
      <w:r w:rsidR="00B90486">
        <w:t>ng access to someone to talk to</w:t>
      </w:r>
    </w:p>
    <w:p w14:paraId="38A4656F" w14:textId="65698243" w:rsidR="00695555" w:rsidRPr="00FB60E5" w:rsidRDefault="00695555" w:rsidP="00FB60E5">
      <w:pPr>
        <w:ind w:left="0"/>
      </w:pPr>
      <w:r w:rsidRPr="00FB60E5">
        <w:t>‘Having someone to talk to’ was regarded as one of the main benefits of outpatient counselling. Similar to inpatient services, learning techniques to modify behaviour (e.g., managing cravings), mindfulness techniques, anger management and goal setting were common elements of the treatment experience. While participants were generally satisfied with the treatment they received and found the experience to be beneficial, some indicated that it was often difficult to apply the techniques on an ongoing basis. This was also a factor for participants receiving inpa</w:t>
      </w:r>
      <w:r w:rsidR="00B90486">
        <w:t>tient or residential treatment.</w:t>
      </w:r>
    </w:p>
    <w:p w14:paraId="38A46570" w14:textId="77777777" w:rsidR="00DA1FAE" w:rsidRPr="00FB60E5" w:rsidRDefault="00DA1FAE" w:rsidP="00B90486">
      <w:pPr>
        <w:pStyle w:val="Quote"/>
      </w:pPr>
      <w:proofErr w:type="gramStart"/>
      <w:r w:rsidRPr="00FB60E5">
        <w:t>Just talking with my counsellor about my issues.</w:t>
      </w:r>
      <w:proofErr w:type="gramEnd"/>
      <w:r w:rsidRPr="00FB60E5">
        <w:t xml:space="preserve"> It's something that - with heroin addiction, it's the reason I use heroin, so I didn't have to think and talk about my problems and issues. I'd buried my problems for so long it was just helpful to be able to talk to someone who was wanting to listen to my problems, and able to give me steps and provide me with tools that I can use to overcome my issues (Interviewee 3).</w:t>
      </w:r>
    </w:p>
    <w:p w14:paraId="38A46571" w14:textId="06853A77" w:rsidR="00695555" w:rsidRPr="00FB60E5" w:rsidRDefault="00695555" w:rsidP="00FB60E5">
      <w:pPr>
        <w:ind w:left="0"/>
      </w:pPr>
      <w:r w:rsidRPr="00FB60E5">
        <w:t>The following case study illustrates a successful AOD treatment experience</w:t>
      </w:r>
      <w:r w:rsidR="00B90486">
        <w:t xml:space="preserve"> including entry into treatment</w:t>
      </w:r>
    </w:p>
    <w:p w14:paraId="38A46572" w14:textId="77777777" w:rsidR="00695555" w:rsidRDefault="00695555" w:rsidP="00FB60E5">
      <w:pPr>
        <w:ind w:left="0"/>
        <w:rPr>
          <w:rStyle w:val="Strong"/>
        </w:rPr>
      </w:pPr>
      <w:r w:rsidRPr="00B90486">
        <w:rPr>
          <w:rStyle w:val="Strong"/>
        </w:rPr>
        <w:t>Case study 1: Successful AOD treatment experience</w:t>
      </w:r>
    </w:p>
    <w:p w14:paraId="09F542F9" w14:textId="5E48555E" w:rsidR="00B90486" w:rsidRPr="00FB60E5" w:rsidRDefault="00B90486" w:rsidP="00B90486">
      <w:pPr>
        <w:pBdr>
          <w:top w:val="single" w:sz="4" w:space="1" w:color="1F497D" w:themeColor="text2"/>
          <w:left w:val="single" w:sz="4" w:space="4" w:color="1F497D" w:themeColor="text2"/>
          <w:bottom w:val="single" w:sz="4" w:space="1" w:color="1F497D" w:themeColor="text2"/>
          <w:right w:val="single" w:sz="4" w:space="4" w:color="1F497D" w:themeColor="text2"/>
        </w:pBdr>
      </w:pPr>
      <w:r w:rsidRPr="00B90486">
        <w:t>A</w:t>
      </w:r>
      <w:r w:rsidRPr="00FB60E5">
        <w:t>lex was aged between 20 and 25 and lived in a regional city and had been using alcohol and cannabis for a number of years. However recently his use had increased and he was experiencing significant relationship, health and financial problems ‘I was starting to spiral out of control and I was hitting rock bottom’. Alex realised he needed help and contacted a community health centre.</w:t>
      </w:r>
      <w:r w:rsidR="002C27A8">
        <w:t xml:space="preserve"> </w:t>
      </w:r>
      <w:r w:rsidRPr="00FB60E5">
        <w:t>Alex started to see an alcohol and drug counsellor and together they discussed possible treatment options including residential rehabilitation. Apart from general counselling, Alex had not received AOD treatment before and he was unsure if he wanted to go to rehab.</w:t>
      </w:r>
      <w:r w:rsidR="002C27A8">
        <w:t xml:space="preserve"> </w:t>
      </w:r>
      <w:r w:rsidRPr="00FB60E5">
        <w:t>After a few more counselling sessions, and encouragement from the AOD counsellor, Alex decided he had nothing to lose ‘I woke up and I thought no, this is it. This is my time to go and do it’.</w:t>
      </w:r>
      <w:r w:rsidR="002C27A8">
        <w:t xml:space="preserve"> </w:t>
      </w:r>
      <w:r w:rsidRPr="00FB60E5">
        <w:t>The AOD counsellor contacted the residential rehabilitation and arranged an initial meeting and a plan was developed which included inpatient withdrawal, and transportation from the inpatient withdrawal unit to the rehabilitation. For Alex, access was timely and streamlined</w:t>
      </w:r>
      <w:r w:rsidR="002C27A8">
        <w:t xml:space="preserve"> </w:t>
      </w:r>
      <w:r w:rsidRPr="00FB60E5">
        <w:t>-</w:t>
      </w:r>
      <w:r w:rsidR="002C27A8">
        <w:t xml:space="preserve"> </w:t>
      </w:r>
      <w:r w:rsidRPr="00FB60E5">
        <w:t>‘All up, entry into treatment was easy as the AOD counsellor and rehab service organised everything’. Following inpatient withdrawal, Alex spent two months in residential rehabilitation.</w:t>
      </w:r>
      <w:r w:rsidR="002C27A8">
        <w:t xml:space="preserve"> </w:t>
      </w:r>
      <w:r w:rsidRPr="00FB60E5">
        <w:t xml:space="preserve">Treatment provided Alex with an </w:t>
      </w:r>
      <w:r w:rsidRPr="00FB60E5">
        <w:lastRenderedPageBreak/>
        <w:t>opportunity to learn about the adverse effects of drugs and address different areas in his life which were sources of stress (e.g. financial and relationship issues). As he said:</w:t>
      </w:r>
      <w:r w:rsidR="002C27A8">
        <w:t xml:space="preserve"> </w:t>
      </w:r>
      <w:r w:rsidRPr="00FB60E5">
        <w:t>‘I was getting every aspect of my life sorted out whilst living there.</w:t>
      </w:r>
      <w:r w:rsidR="002C27A8">
        <w:t xml:space="preserve"> </w:t>
      </w:r>
      <w:r w:rsidRPr="00FB60E5">
        <w:t>Like I’m talking financial advice, relationships – I’m talking lots of things – and I mean every area’.</w:t>
      </w:r>
      <w:r w:rsidR="002C27A8">
        <w:t xml:space="preserve"> </w:t>
      </w:r>
      <w:r w:rsidRPr="00FB60E5">
        <w:t>In addition, Alex developed a healthy routine including morning exercise and an interest in various creative activities like song writing.</w:t>
      </w:r>
      <w:r w:rsidR="002C27A8">
        <w:t xml:space="preserve"> </w:t>
      </w:r>
      <w:r w:rsidRPr="00FB60E5">
        <w:t xml:space="preserve">This provided him with a new sense of motivation and confidence as he ‘wanted to excel in life and get somewhere and not be a </w:t>
      </w:r>
      <w:proofErr w:type="gramStart"/>
      <w:r w:rsidRPr="00FB60E5">
        <w:t>nobody</w:t>
      </w:r>
      <w:proofErr w:type="gramEnd"/>
      <w:r w:rsidRPr="00FB60E5">
        <w:t>’.</w:t>
      </w:r>
      <w:r w:rsidR="002C27A8">
        <w:t xml:space="preserve"> </w:t>
      </w:r>
      <w:r w:rsidRPr="00FB60E5">
        <w:t>Alex had regular contact with his family during his stay in residential rehabilitation and this contact</w:t>
      </w:r>
      <w:r>
        <w:t xml:space="preserve"> was a great source of support.</w:t>
      </w:r>
    </w:p>
    <w:p w14:paraId="18323BA1" w14:textId="51BE90DF" w:rsidR="00B90486" w:rsidRPr="00B90486" w:rsidRDefault="00B90486" w:rsidP="00B90486">
      <w:pPr>
        <w:pBdr>
          <w:top w:val="single" w:sz="4" w:space="1" w:color="1F497D" w:themeColor="text2"/>
          <w:left w:val="single" w:sz="4" w:space="4" w:color="1F497D" w:themeColor="text2"/>
          <w:bottom w:val="single" w:sz="4" w:space="1" w:color="1F497D" w:themeColor="text2"/>
          <w:right w:val="single" w:sz="4" w:space="4" w:color="1F497D" w:themeColor="text2"/>
        </w:pBdr>
        <w:rPr>
          <w:rStyle w:val="Strong"/>
        </w:rPr>
      </w:pPr>
      <w:r w:rsidRPr="00FB60E5">
        <w:t>Post treatment completion, Alex received a number of follow-up calls from the residential rehabilitation.</w:t>
      </w:r>
      <w:r w:rsidR="002C27A8">
        <w:t xml:space="preserve"> </w:t>
      </w:r>
      <w:r w:rsidRPr="00FB60E5">
        <w:t>The follow-up calls were useful as they reminded Alex of what he had achieved. According to Alex, the calls ‘just [confirmed in the back of your head], you’re not going to go back down that pathway, unless you want to end up back there and go through all the shit that you’ve already been through’. After leaving rehabilitation, he re-engaged with his AOD counsellor as a way of closing his treatment journey.</w:t>
      </w:r>
      <w:r w:rsidR="002C27A8">
        <w:t xml:space="preserve"> </w:t>
      </w:r>
      <w:r w:rsidRPr="00FB60E5">
        <w:t>Alex also resumed his apprenticeship and secured a new job.</w:t>
      </w:r>
    </w:p>
    <w:p w14:paraId="38A46578" w14:textId="0D45ECBE" w:rsidR="00695555" w:rsidRPr="00FB60E5" w:rsidRDefault="00695555" w:rsidP="00056BB1">
      <w:pPr>
        <w:pStyle w:val="Heading3"/>
      </w:pPr>
      <w:bookmarkStart w:id="188" w:name="_Toc388374605"/>
      <w:bookmarkStart w:id="189" w:name="_Toc398105049"/>
      <w:r w:rsidRPr="00FB60E5">
        <w:t>Continuity of care</w:t>
      </w:r>
      <w:bookmarkEnd w:id="188"/>
      <w:bookmarkEnd w:id="189"/>
    </w:p>
    <w:p w14:paraId="38A46579" w14:textId="062AC807" w:rsidR="00695555" w:rsidRPr="00FB60E5" w:rsidRDefault="00695555" w:rsidP="00056BB1">
      <w:pPr>
        <w:pStyle w:val="Heading4"/>
      </w:pPr>
      <w:r w:rsidRPr="00FB60E5">
        <w:t>AOD care path</w:t>
      </w:r>
      <w:r w:rsidR="00056BB1">
        <w:t>ways and post treatment support</w:t>
      </w:r>
    </w:p>
    <w:p w14:paraId="58B02B64" w14:textId="77777777" w:rsidR="002C27A8" w:rsidRDefault="00695555" w:rsidP="00FB60E5">
      <w:pPr>
        <w:ind w:left="0"/>
      </w:pPr>
      <w:r w:rsidRPr="00FB60E5">
        <w:t xml:space="preserve">Follow-up care is viewed as a fundamental component of effective treatment, yet </w:t>
      </w:r>
      <w:r w:rsidR="00DA1FAE" w:rsidRPr="00FB60E5">
        <w:t xml:space="preserve">half </w:t>
      </w:r>
      <w:r w:rsidRPr="00FB60E5">
        <w:t xml:space="preserve">of the participants reported that they received AOD-specific follow-up support after their </w:t>
      </w:r>
      <w:r w:rsidR="00DA1FAE" w:rsidRPr="00FB60E5">
        <w:t xml:space="preserve">index </w:t>
      </w:r>
      <w:r w:rsidRPr="00FB60E5">
        <w:t>treatment episode. For those who did, the follow-up support was generally pre-arranged in terms of completing inpatient withdrawal followed by residential rehabilitation. Participants who received residential treatment either as part of their PIT treatment experience</w:t>
      </w:r>
      <w:r w:rsidR="009E47ED" w:rsidRPr="00FB60E5">
        <w:t xml:space="preserve">, or following their PIT, </w:t>
      </w:r>
      <w:r w:rsidRPr="00FB60E5">
        <w:t>often reported that they also received or accessed some form of aftercare. In some cases, the aftercare was arranged as part of their treatment exit plan and involved outpatient counselling. For some participants, their treatment pathway was facilitated by a key worker, particularly in rural settings, where a rural AOD clinician provided support pre and post PIT. For others, accessing multiple services provided by the one AOD treatment agency ensured continuity of care</w:t>
      </w:r>
      <w:r w:rsidR="002C27A8">
        <w:t>.</w:t>
      </w:r>
    </w:p>
    <w:p w14:paraId="38A4657B" w14:textId="450B2C52" w:rsidR="004212FD" w:rsidRPr="00FB60E5" w:rsidRDefault="00695555" w:rsidP="00056BB1">
      <w:pPr>
        <w:pStyle w:val="Quote"/>
      </w:pPr>
      <w:r w:rsidRPr="00FB60E5">
        <w:t>Well because I am from [regional area</w:t>
      </w:r>
      <w:r w:rsidR="00D03276" w:rsidRPr="00FB60E5">
        <w:t xml:space="preserve">], </w:t>
      </w:r>
      <w:r w:rsidRPr="00FB60E5">
        <w:t xml:space="preserve">my drug and alcohol counsellor drove me to [metropolitan suburb] and then after the week she came and picked me up and brought me back home. </w:t>
      </w:r>
      <w:proofErr w:type="gramStart"/>
      <w:r w:rsidRPr="00FB60E5">
        <w:t>[Interviewer: Yeah.</w:t>
      </w:r>
      <w:proofErr w:type="gramEnd"/>
      <w:r w:rsidRPr="00FB60E5">
        <w:t xml:space="preserve"> So you felt that you didn't need any further contact or assistance?] </w:t>
      </w:r>
      <w:proofErr w:type="gramStart"/>
      <w:r w:rsidRPr="00FB60E5">
        <w:t>Assistance yeah no.</w:t>
      </w:r>
      <w:proofErr w:type="gramEnd"/>
      <w:r w:rsidR="002C27A8">
        <w:t xml:space="preserve"> </w:t>
      </w:r>
      <w:r w:rsidRPr="00FB60E5">
        <w:t>Because when I came back home I still had my AOD counsellor so she was still always really supportive (Interviewee 28).</w:t>
      </w:r>
    </w:p>
    <w:p w14:paraId="38A4657C" w14:textId="3ED706DA" w:rsidR="00695555" w:rsidRPr="00FB60E5" w:rsidRDefault="00695555" w:rsidP="00056BB1">
      <w:pPr>
        <w:pStyle w:val="Quote"/>
      </w:pPr>
      <w:r w:rsidRPr="00FB60E5">
        <w:t xml:space="preserve">[Interviewer: Did you also say that you were doing some counselling, like you continued on with the counselling that you were doing? Yeah so before [outpatient group program] I would have seen her every once a week but I only saw her once while I was doing [outpatient group program] in those four weeks. Then I saw her after [outpatient group program] more regularly. [Interviewer: So you continued to see the </w:t>
      </w:r>
      <w:proofErr w:type="gramStart"/>
      <w:r w:rsidRPr="00FB60E5">
        <w:t>counsellor,</w:t>
      </w:r>
      <w:proofErr w:type="gramEnd"/>
      <w:r w:rsidRPr="00FB60E5">
        <w:t xml:space="preserve"> and what…] Yeah. [Interviewer…were the good things, if any, about the assistance you received from the counsellor?] I guess she motivated me to finish it and she was there to have another opinion on. So yeah she was a check in person, so just letting her know how I was doing and what I was doing in the program and that sort of thing and how I was going (Interviewee 24).</w:t>
      </w:r>
    </w:p>
    <w:p w14:paraId="38A4657D" w14:textId="305B1124" w:rsidR="00695555" w:rsidRPr="00FB60E5" w:rsidRDefault="00695555" w:rsidP="00FB60E5">
      <w:pPr>
        <w:ind w:left="0"/>
      </w:pPr>
      <w:r w:rsidRPr="00FB60E5">
        <w:lastRenderedPageBreak/>
        <w:t>Few participants who received outpatient treatment as their PIT reported receiving any follow-up contact from the service once their treatment had finished. However, most participants indicated that they were encouraged or given the option to re-engage with t</w:t>
      </w:r>
      <w:r w:rsidR="00056BB1">
        <w:t>he service for further support.</w:t>
      </w:r>
    </w:p>
    <w:p w14:paraId="38A4657E" w14:textId="759298AC" w:rsidR="00695555" w:rsidRPr="00FB60E5" w:rsidRDefault="00695555" w:rsidP="00FB60E5">
      <w:pPr>
        <w:ind w:left="0"/>
      </w:pPr>
      <w:r w:rsidRPr="00FB60E5">
        <w:t>Similarly, some participants receiving inpatient withdrawal treatment were encouraged to re-engage with the service if they required additional support. Others did not expect to receive any follow-up contact from the inpatient withdrawal service as treatment had been completed, and others felt it was the client’s responsibility to contact the service if further treatment was needed. For a few participants, the role or need of follow-up support only became apparent in the months following treatment. As one participant explained, ‘I didn’t realise at the time that I needed more.’ This suggests that staggered follow-up contact may facilitate re-engagement or the opport</w:t>
      </w:r>
      <w:r w:rsidR="00056BB1">
        <w:t>unity for a brief intervention.</w:t>
      </w:r>
    </w:p>
    <w:p w14:paraId="38A4657F" w14:textId="764373EE" w:rsidR="00695555" w:rsidRPr="00FB60E5" w:rsidRDefault="00695555" w:rsidP="00056BB1">
      <w:pPr>
        <w:pStyle w:val="Quote"/>
      </w:pPr>
      <w:r w:rsidRPr="00FB60E5">
        <w:t xml:space="preserve">[Interviewer: So after you finished up with the detox, did you make any further contact or receive any assistance from them?] Yeah, I got a few calls and that. </w:t>
      </w:r>
      <w:proofErr w:type="gramStart"/>
      <w:r w:rsidRPr="00FB60E5">
        <w:t>[Interviewer:</w:t>
      </w:r>
      <w:r w:rsidR="002C27A8">
        <w:t xml:space="preserve"> </w:t>
      </w:r>
      <w:r w:rsidRPr="00FB60E5">
        <w:t>From [AOD service J?]</w:t>
      </w:r>
      <w:proofErr w:type="gramEnd"/>
      <w:r w:rsidRPr="00FB60E5">
        <w:t xml:space="preserve"> Yeah, they would have called me a few times but I would have said yeah, look, I'm fine. [Interviewer: So you were fine at the time?]. Oh probably not, yeah. To me I was. My life actually revolves around on and off and on and off use, because I've got ADHD as I said and I've been on amphetamine pills since I was a kid. </w:t>
      </w:r>
      <w:proofErr w:type="gramStart"/>
      <w:r w:rsidRPr="00FB60E5">
        <w:t>So amphetamine's part of my life (Interviewee 22).</w:t>
      </w:r>
      <w:proofErr w:type="gramEnd"/>
    </w:p>
    <w:p w14:paraId="38A46580" w14:textId="77777777" w:rsidR="00695555" w:rsidRPr="00FB60E5" w:rsidRDefault="00695555" w:rsidP="00FB60E5">
      <w:pPr>
        <w:ind w:left="0"/>
      </w:pPr>
      <w:r w:rsidRPr="00FB60E5">
        <w:t>When participants were asked ‘what service or assistance if any, would you have liked to receive following inpatient withdrawal’, the majority of participants suggested a follow-up telephone call and some recommended follow-up counselling. This was the case for participants who had a subsequent treatment in place after the PIT, as well as those with no plans for further treatment. A few participants expressed dissatisfaction with the lack of follow-up care provided.</w:t>
      </w:r>
    </w:p>
    <w:p w14:paraId="38A46581" w14:textId="1295EB38" w:rsidR="00695555" w:rsidRPr="00FB60E5" w:rsidRDefault="00695555" w:rsidP="00056BB1">
      <w:pPr>
        <w:pStyle w:val="Quote"/>
      </w:pPr>
      <w:r w:rsidRPr="00FB60E5">
        <w:t>[Interviewer: What services or assistance if any, would you have liked to have received following the acute withdrawal?]</w:t>
      </w:r>
      <w:r w:rsidR="002C27A8">
        <w:t xml:space="preserve"> </w:t>
      </w:r>
      <w:r w:rsidRPr="00FB60E5">
        <w:t>I really would have liked some follow-up, maybe even a home visit or something like that.</w:t>
      </w:r>
      <w:r w:rsidR="002C27A8">
        <w:t xml:space="preserve"> </w:t>
      </w:r>
      <w:r w:rsidRPr="00FB60E5">
        <w:t>Just someone to touch base with me and say, hey, are you coping?</w:t>
      </w:r>
      <w:r w:rsidR="002C27A8">
        <w:t xml:space="preserve"> </w:t>
      </w:r>
      <w:r w:rsidRPr="00FB60E5">
        <w:t>Are you going to your counselling sessions?</w:t>
      </w:r>
      <w:r w:rsidR="002C27A8">
        <w:t xml:space="preserve"> </w:t>
      </w:r>
      <w:proofErr w:type="gramStart"/>
      <w:r w:rsidRPr="00FB60E5">
        <w:t>Or if there's anything else that you need.</w:t>
      </w:r>
      <w:proofErr w:type="gramEnd"/>
      <w:r w:rsidR="002C27A8">
        <w:t xml:space="preserve"> </w:t>
      </w:r>
      <w:r w:rsidRPr="00FB60E5">
        <w:t>Yeah, it just seemed to be a little bit like, once you're out the door, that's it.</w:t>
      </w:r>
      <w:r w:rsidR="002C27A8">
        <w:t xml:space="preserve"> </w:t>
      </w:r>
      <w:r w:rsidRPr="00FB60E5">
        <w:t>But then, again, like I said, I think that's the nature of detox (Interviewee 41).</w:t>
      </w:r>
    </w:p>
    <w:p w14:paraId="38A46582" w14:textId="5E01B3B0" w:rsidR="00695555" w:rsidRPr="00FB60E5" w:rsidRDefault="00056BB1" w:rsidP="00056BB1">
      <w:pPr>
        <w:pStyle w:val="Heading4"/>
      </w:pPr>
      <w:r>
        <w:t>Multi sector links</w:t>
      </w:r>
    </w:p>
    <w:p w14:paraId="521BFD12" w14:textId="77777777" w:rsidR="002C27A8" w:rsidRDefault="00695555" w:rsidP="00FB60E5">
      <w:pPr>
        <w:ind w:left="0"/>
      </w:pPr>
      <w:r w:rsidRPr="00FB60E5">
        <w:t>The presence of a key worker, such as an AOD clinician, housing worker, mental health worker</w:t>
      </w:r>
      <w:r w:rsidR="009E47ED" w:rsidRPr="00FB60E5">
        <w:t xml:space="preserve">, welfare worker, </w:t>
      </w:r>
      <w:r w:rsidRPr="00FB60E5">
        <w:t>or job network provider, was a stable source of support for many participants and these workers provided links to a range of services within and across the health and non-health system</w:t>
      </w:r>
      <w:r w:rsidR="002C27A8">
        <w:t>.</w:t>
      </w:r>
    </w:p>
    <w:p w14:paraId="3E706EF0" w14:textId="77777777" w:rsidR="002C27A8" w:rsidRDefault="00695555" w:rsidP="00FB60E5">
      <w:pPr>
        <w:ind w:left="0"/>
      </w:pPr>
      <w:r w:rsidRPr="00FB60E5">
        <w:t>For example, several participants reported contact with multiple health professionals and in some cases, care plans were in place and an integrated team approach was supp</w:t>
      </w:r>
      <w:r w:rsidR="009E47ED" w:rsidRPr="00FB60E5">
        <w:t xml:space="preserve">orted through regular contact. </w:t>
      </w:r>
      <w:r w:rsidRPr="00FB60E5">
        <w:t>These arrangements often meant that they had access to a wide range of options and communication channels were clear</w:t>
      </w:r>
      <w:r w:rsidR="002C27A8">
        <w:t>.</w:t>
      </w:r>
    </w:p>
    <w:p w14:paraId="37E6D10F" w14:textId="77777777" w:rsidR="002C27A8" w:rsidRDefault="00695555" w:rsidP="00056BB1">
      <w:pPr>
        <w:pStyle w:val="Quote"/>
      </w:pPr>
      <w:r w:rsidRPr="00FB60E5">
        <w:t>Yeah, that's when I got out [of prison] this time and I joined up with a [mental health service] and they're taking care of me. They've got a four-psych team, like a doctor, what do you call it:</w:t>
      </w:r>
      <w:r w:rsidR="002C27A8">
        <w:t xml:space="preserve"> </w:t>
      </w:r>
      <w:r w:rsidRPr="00FB60E5">
        <w:t>a case manager and a nurse (Interviewee 21)</w:t>
      </w:r>
      <w:r w:rsidR="002C27A8">
        <w:t>.</w:t>
      </w:r>
    </w:p>
    <w:p w14:paraId="38A46586" w14:textId="7922676E" w:rsidR="00695555" w:rsidRPr="00FB60E5" w:rsidRDefault="00695555" w:rsidP="00056BB1">
      <w:pPr>
        <w:pStyle w:val="Quote"/>
      </w:pPr>
      <w:r w:rsidRPr="00FB60E5">
        <w:lastRenderedPageBreak/>
        <w:t>[Interviewer:</w:t>
      </w:r>
      <w:r w:rsidR="002C27A8">
        <w:t xml:space="preserve"> </w:t>
      </w:r>
      <w:r w:rsidRPr="00FB60E5">
        <w:t>Do you think that services work together to support or help you or not really?] Yeah, no, they do. My GP, he's really good and the doctor in [rural town] they all work together and they all know that I see drug and alcohol counsellors and all that sort of stuff. But mainly it's just the social workers and the counsellors and all, that they have meetings every month and they sit down and they work out what they could do better and what they could improve on and all that sort of stuff. So they all work together or they do down here anyway. [Interviewer: What were the good things if any about services working together to help you, what are the good things?] You don't have to repeat yourself. I can just say something to my drug and alcohol counsellor and she says can I discuss this with somebody else and I say you can, you can talk to the other workers and that sort of thing. They're always coming up with things th</w:t>
      </w:r>
      <w:r w:rsidR="00056BB1">
        <w:t>at might help (Interviewee 16).</w:t>
      </w:r>
    </w:p>
    <w:p w14:paraId="38A46587" w14:textId="77777777" w:rsidR="00695555" w:rsidRPr="00FB60E5" w:rsidRDefault="00695555" w:rsidP="00FB60E5">
      <w:pPr>
        <w:ind w:left="0"/>
      </w:pPr>
      <w:r w:rsidRPr="00FB60E5">
        <w:t xml:space="preserve">For other participants, a </w:t>
      </w:r>
      <w:r w:rsidR="009E47ED" w:rsidRPr="00FB60E5">
        <w:t xml:space="preserve">welfare or church-based service, </w:t>
      </w:r>
      <w:r w:rsidRPr="00FB60E5">
        <w:t>or community health service was instrumental in terms of providing practical supports (e.g., food, electrical appliances) and suggesting other services that could assist.</w:t>
      </w:r>
    </w:p>
    <w:p w14:paraId="38A46588" w14:textId="040C581E" w:rsidR="00695555" w:rsidRPr="00FB60E5" w:rsidRDefault="00695555" w:rsidP="00056BB1">
      <w:pPr>
        <w:pStyle w:val="Quote"/>
      </w:pPr>
      <w:r w:rsidRPr="00FB60E5">
        <w:t>It's good because there's a couple - there's like about seven people in there and there's a lady that runs the group and she brings people in for all different things like the police officer in to tell you to be careful for this, this, this or that.</w:t>
      </w:r>
      <w:r w:rsidR="002C27A8">
        <w:t xml:space="preserve"> </w:t>
      </w:r>
      <w:proofErr w:type="gramStart"/>
      <w:r w:rsidRPr="00FB60E5">
        <w:t>Or a painting person to come in and show you how t</w:t>
      </w:r>
      <w:r w:rsidR="000913E3" w:rsidRPr="00FB60E5">
        <w:t>o paint or a jewellery person.</w:t>
      </w:r>
      <w:proofErr w:type="gramEnd"/>
      <w:r w:rsidR="000913E3" w:rsidRPr="00FB60E5">
        <w:t xml:space="preserve"> </w:t>
      </w:r>
      <w:r w:rsidRPr="00FB60E5">
        <w:t>A Centrelink person they get to come, if you'd got a problem with that.</w:t>
      </w:r>
      <w:r w:rsidR="002C27A8">
        <w:t xml:space="preserve"> </w:t>
      </w:r>
      <w:r w:rsidRPr="00FB60E5">
        <w:t>It's pretty good.</w:t>
      </w:r>
      <w:r w:rsidR="002C27A8">
        <w:t xml:space="preserve"> </w:t>
      </w:r>
      <w:r w:rsidRPr="00FB60E5">
        <w:t xml:space="preserve">Because </w:t>
      </w:r>
      <w:proofErr w:type="gramStart"/>
      <w:r w:rsidRPr="00FB60E5">
        <w:t>there's other people</w:t>
      </w:r>
      <w:proofErr w:type="gramEnd"/>
      <w:r w:rsidRPr="00FB60E5">
        <w:t xml:space="preserve"> you can bounce off each other sort of thing.</w:t>
      </w:r>
      <w:r w:rsidR="002C27A8">
        <w:t xml:space="preserve"> </w:t>
      </w:r>
      <w:proofErr w:type="gramStart"/>
      <w:r w:rsidRPr="00FB60E5">
        <w:t>It's</w:t>
      </w:r>
      <w:proofErr w:type="gramEnd"/>
      <w:r w:rsidRPr="00FB60E5">
        <w:t xml:space="preserve"> people you know because it's your community sort of thing.</w:t>
      </w:r>
      <w:r w:rsidR="002C27A8">
        <w:t xml:space="preserve"> </w:t>
      </w:r>
      <w:r w:rsidRPr="00FB60E5">
        <w:t>So that makes it a bit easier (Interviewee 7).</w:t>
      </w:r>
    </w:p>
    <w:p w14:paraId="38A46589" w14:textId="5DFABB64" w:rsidR="00695555" w:rsidRPr="00FB60E5" w:rsidRDefault="00695555" w:rsidP="00FB60E5">
      <w:pPr>
        <w:ind w:left="0"/>
      </w:pPr>
      <w:r w:rsidRPr="00FB60E5">
        <w:t>Job network agencies are not providers of therapeutic care, however many participants indicated that the job network agencies facilitated access to a range of essential services such as mental health, AOD treatment and housing. Given that addressing housing, employment and training needs are critical to an individual’s recovery capital, the service linkage role of job network provid</w:t>
      </w:r>
      <w:r w:rsidR="00056BB1">
        <w:t>ers has a therapeutic benefit.</w:t>
      </w:r>
    </w:p>
    <w:p w14:paraId="38A4658A" w14:textId="6331A921" w:rsidR="00695555" w:rsidRPr="00FB60E5" w:rsidRDefault="00695555" w:rsidP="00056BB1">
      <w:pPr>
        <w:pStyle w:val="Quote"/>
      </w:pPr>
      <w:r w:rsidRPr="00FB60E5">
        <w:t>They're a job search network and you get a worker who has to help you.</w:t>
      </w:r>
      <w:r w:rsidR="002C27A8">
        <w:t xml:space="preserve"> </w:t>
      </w:r>
      <w:r w:rsidRPr="00FB60E5">
        <w:t>Because I've been in and out of jail a lot and use heroin a lot they get me work ready.</w:t>
      </w:r>
      <w:r w:rsidR="002C27A8">
        <w:t xml:space="preserve"> </w:t>
      </w:r>
      <w:r w:rsidRPr="00FB60E5">
        <w:t>Make sure that my - if I need drug and alcohol counselling I get drug and alcohol counselling.</w:t>
      </w:r>
      <w:r w:rsidR="002C27A8">
        <w:t xml:space="preserve"> </w:t>
      </w:r>
      <w:r w:rsidRPr="00FB60E5">
        <w:t>If I need psychiatric help, to talk to someone about stuff, go to see the psych.</w:t>
      </w:r>
      <w:r w:rsidR="002C27A8">
        <w:t xml:space="preserve"> </w:t>
      </w:r>
      <w:r w:rsidRPr="00FB60E5">
        <w:t>If he thinks I'm a bit better than that then go into a course or something (Interviewee 37).</w:t>
      </w:r>
    </w:p>
    <w:p w14:paraId="71C0C021" w14:textId="77777777" w:rsidR="002C27A8" w:rsidRDefault="00695555" w:rsidP="00FB60E5">
      <w:pPr>
        <w:ind w:left="0"/>
      </w:pPr>
      <w:r w:rsidRPr="00FB60E5">
        <w:t>However in other cases, the level of coordination between services was unclear, with few formalised links between them</w:t>
      </w:r>
      <w:r w:rsidR="002C27A8">
        <w:t>.</w:t>
      </w:r>
    </w:p>
    <w:p w14:paraId="38A4658C" w14:textId="04F6239C" w:rsidR="00695555" w:rsidRPr="00FB60E5" w:rsidRDefault="00695555" w:rsidP="00056BB1">
      <w:pPr>
        <w:pStyle w:val="Quote"/>
      </w:pPr>
      <w:r w:rsidRPr="00FB60E5">
        <w:t xml:space="preserve">Well I've gone and seen [housing service], I've gone – [employment agency] are helping me out. I've seen [family service and financial service] </w:t>
      </w:r>
      <w:r w:rsidR="00AF7C01" w:rsidRPr="00FB60E5">
        <w:t>as well, yeah, all them</w:t>
      </w:r>
      <w:r w:rsidRPr="00FB60E5">
        <w:t xml:space="preserve">. Some of them help me out with </w:t>
      </w:r>
      <w:proofErr w:type="gramStart"/>
      <w:r w:rsidRPr="00FB60E5">
        <w:t>food,</w:t>
      </w:r>
      <w:proofErr w:type="gramEnd"/>
      <w:r w:rsidRPr="00FB60E5">
        <w:t xml:space="preserve"> some of them help me out with getting my bills paid. Some of them help me out with I don't know, a combination. I got a tent and swag a couple of months ago, yeah, so they've been pretty sweet (Interviewee 22)</w:t>
      </w:r>
      <w:r w:rsidR="000913E3" w:rsidRPr="00FB60E5">
        <w:t>.</w:t>
      </w:r>
    </w:p>
    <w:p w14:paraId="38A4658D" w14:textId="03389945" w:rsidR="00695555" w:rsidRPr="00FB60E5" w:rsidRDefault="00695555" w:rsidP="00FB60E5">
      <w:pPr>
        <w:ind w:left="0"/>
      </w:pPr>
      <w:proofErr w:type="gramStart"/>
      <w:r w:rsidRPr="00FB60E5">
        <w:t>As one participant who had contact with a number of services, including an AOD service and support group and community based services said, ‘so one referral tends to lead to another,</w:t>
      </w:r>
      <w:r w:rsidR="00056BB1">
        <w:t xml:space="preserve"> which is good’.</w:t>
      </w:r>
      <w:proofErr w:type="gramEnd"/>
    </w:p>
    <w:p w14:paraId="38A4658E" w14:textId="124A79C3" w:rsidR="00695555" w:rsidRPr="00FB60E5" w:rsidRDefault="00695555" w:rsidP="00FB60E5">
      <w:pPr>
        <w:ind w:left="0"/>
      </w:pPr>
      <w:r w:rsidRPr="00FB60E5">
        <w:lastRenderedPageBreak/>
        <w:t>A variety of care pathways were experienced by participants ranging from optimal to fragmented. The two cases studies below provide an illustration of both end</w:t>
      </w:r>
      <w:r w:rsidR="00056BB1">
        <w:t>s of the care pathway spectrum.</w:t>
      </w:r>
    </w:p>
    <w:p w14:paraId="38A46590" w14:textId="0EAE0737" w:rsidR="00695555" w:rsidRPr="00056BB1" w:rsidRDefault="00695555" w:rsidP="00FB0368">
      <w:pPr>
        <w:keepNext/>
        <w:pageBreakBefore/>
        <w:ind w:left="0"/>
        <w:rPr>
          <w:rStyle w:val="Strong"/>
        </w:rPr>
      </w:pPr>
      <w:r w:rsidRPr="00056BB1">
        <w:rPr>
          <w:rStyle w:val="Strong"/>
        </w:rPr>
        <w:lastRenderedPageBreak/>
        <w:t>Case study 2: successful treatment journey a</w:t>
      </w:r>
      <w:r w:rsidR="00056BB1">
        <w:rPr>
          <w:rStyle w:val="Strong"/>
        </w:rPr>
        <w:t>nd linkages with services</w:t>
      </w:r>
    </w:p>
    <w:p w14:paraId="325F881F" w14:textId="56207B33" w:rsidR="00056BB1" w:rsidRDefault="00056BB1" w:rsidP="00056BB1">
      <w:pPr>
        <w:pBdr>
          <w:top w:val="single" w:sz="4" w:space="1" w:color="1F497D" w:themeColor="text2"/>
          <w:left w:val="single" w:sz="4" w:space="4" w:color="1F497D" w:themeColor="text2"/>
          <w:bottom w:val="single" w:sz="4" w:space="1" w:color="1F497D" w:themeColor="text2"/>
          <w:right w:val="single" w:sz="4" w:space="4" w:color="1F497D" w:themeColor="text2"/>
        </w:pBdr>
        <w:ind w:left="0"/>
      </w:pPr>
      <w:r>
        <w:t>Joe had received AOD treatment on and off over the past five years, had previous contact with the legal system and had experienced ongoing mental health issues. Following the most recent episode of inpatient withdrawal, Joe engaged in a short-term supported accommodation program. As part of the program, Joe was required to attend AOD counselling at a nearby AOD specialist service. Accessing the counselling was fairly easy and required an initial telephone call to book an assessment appointment.</w:t>
      </w:r>
      <w:r w:rsidR="002C27A8">
        <w:t xml:space="preserve"> </w:t>
      </w:r>
      <w:r>
        <w:t>Joe attended counselling on a regular basis and ‘clicked’ with the counsellor.</w:t>
      </w:r>
      <w:r w:rsidR="002C27A8">
        <w:t xml:space="preserve"> </w:t>
      </w:r>
      <w:r>
        <w:t>Around this time, Joe became a new father and was given full custody of his child. Joe had few friends and received little support from his family.</w:t>
      </w:r>
      <w:r w:rsidR="002C27A8">
        <w:t xml:space="preserve"> </w:t>
      </w:r>
      <w:r>
        <w:t>In many ways, Joe’s AOD counsellor was his main support source.</w:t>
      </w:r>
      <w:r w:rsidR="002C27A8">
        <w:t xml:space="preserve"> </w:t>
      </w:r>
      <w:r>
        <w:t>Together, Joe and the counsellor developed a care plan as a way to help Joe identify and manage immediate issues as well as work through some long-standing problems associated with violence, drug use and low self-esteem. To help Joe address his mental health issues, the AOD counsellor recommended that Joe speak with his GP about organising a mental health plan and referral to a psychologist. Through recommendations and support from his AOD counsellor, Joe also accessed a crisis centre which provided emergency supplies and links to financial support services, including an advocate who helped Joe organise a payment plan arrangement with utility providers.</w:t>
      </w:r>
      <w:r w:rsidR="002C27A8">
        <w:t xml:space="preserve"> </w:t>
      </w:r>
      <w:r>
        <w:t>Bit by bit, Joe’s support network expanded as he became engaged with a range of services including a parenting support group, a family support worker and a child health nurse who made regular home visits. During this time, Joe stopped seeing the AOD counsellor as the counsellor changed job, but this was okay as Joe felt he had achieved a lot from the counselling and had established supports in place.</w:t>
      </w:r>
    </w:p>
    <w:p w14:paraId="38A46594" w14:textId="5CBB335E" w:rsidR="00695555" w:rsidRPr="00FB60E5" w:rsidRDefault="00056BB1" w:rsidP="00056BB1">
      <w:pPr>
        <w:pBdr>
          <w:top w:val="single" w:sz="4" w:space="1" w:color="1F497D" w:themeColor="text2"/>
          <w:left w:val="single" w:sz="4" w:space="4" w:color="1F497D" w:themeColor="text2"/>
          <w:bottom w:val="single" w:sz="4" w:space="1" w:color="1F497D" w:themeColor="text2"/>
          <w:right w:val="single" w:sz="4" w:space="4" w:color="1F497D" w:themeColor="text2"/>
        </w:pBdr>
        <w:ind w:left="0"/>
      </w:pPr>
      <w:r>
        <w:t>Given the number of services Joe was engaged with, the referral pathway was often unclear. However, in Joe’s case one referral tended to lead to another referral and via the support he received from multiple sources he was able to maintain custody of his child, manage his mental health and minimise the risk of relapse. As Joe said ‘it was like I might not have directly asked the question, but they helped me to realise that it is a question that is worth being asked, because there is a link.</w:t>
      </w:r>
      <w:r w:rsidR="002C27A8">
        <w:t xml:space="preserve"> </w:t>
      </w:r>
      <w:r>
        <w:t>There is something they can provide’.</w:t>
      </w:r>
    </w:p>
    <w:p w14:paraId="38A46595" w14:textId="2E3DD70D" w:rsidR="00695555" w:rsidRDefault="00695555" w:rsidP="00FB60E5">
      <w:pPr>
        <w:ind w:left="0"/>
        <w:rPr>
          <w:rStyle w:val="Strong"/>
        </w:rPr>
      </w:pPr>
      <w:r w:rsidRPr="00056BB1">
        <w:rPr>
          <w:rStyle w:val="Strong"/>
        </w:rPr>
        <w:t>Case study 3: Complex needs and high level of services use (or</w:t>
      </w:r>
      <w:r w:rsidR="00FB0368">
        <w:rPr>
          <w:rStyle w:val="Strong"/>
        </w:rPr>
        <w:t xml:space="preserve"> fragmented service experience)</w:t>
      </w:r>
    </w:p>
    <w:p w14:paraId="3821315F" w14:textId="77777777" w:rsidR="002C27A8" w:rsidRDefault="00056BB1" w:rsidP="00056BB1">
      <w:pPr>
        <w:pBdr>
          <w:top w:val="single" w:sz="4" w:space="1" w:color="1F497D" w:themeColor="text2"/>
          <w:left w:val="single" w:sz="4" w:space="4" w:color="1F497D" w:themeColor="text2"/>
          <w:bottom w:val="single" w:sz="4" w:space="1" w:color="1F497D" w:themeColor="text2"/>
          <w:right w:val="single" w:sz="4" w:space="4" w:color="1F497D" w:themeColor="text2"/>
        </w:pBdr>
      </w:pPr>
      <w:r w:rsidRPr="00FB60E5">
        <w:t xml:space="preserve">Jim has had episodic contact with various AOD and welfare agencies for over a decade. He is quite knowledgeable and proactive about engaging with the services that he needs. He self-referred to his most recent detox centre, by attending his regular GP in order to get the appropriate referral – “Listen Doc, I need to get this paperwork filled so I can go into detox”. Jim’s main goal has been attending </w:t>
      </w:r>
      <w:proofErr w:type="gramStart"/>
      <w:r w:rsidRPr="00FB60E5">
        <w:t>rehab,</w:t>
      </w:r>
      <w:proofErr w:type="gramEnd"/>
      <w:r w:rsidRPr="00FB60E5">
        <w:t xml:space="preserve"> however this has been complicated by factors including homelessness and mental health issues. He has made numerous attempts at rehab, largely driven by his need for accommodation. Jim has overall been very satisfied with the quality of the programs and has developed rapport with the staff, </w:t>
      </w:r>
      <w:proofErr w:type="gramStart"/>
      <w:r w:rsidRPr="00FB60E5">
        <w:t>whom</w:t>
      </w:r>
      <w:proofErr w:type="gramEnd"/>
      <w:r w:rsidRPr="00FB60E5">
        <w:t xml:space="preserve"> he describes as “very compassionate people”. He has, however struggled with the daily rigours of life in rehab occasionally, and has gotten into trouble and been asked to leave.</w:t>
      </w:r>
      <w:r w:rsidR="002C27A8">
        <w:t xml:space="preserve"> </w:t>
      </w:r>
      <w:r w:rsidRPr="00FB60E5">
        <w:t>By admitting responsibility, he has been allowed to re-enter some services</w:t>
      </w:r>
      <w:r w:rsidR="002C27A8">
        <w:t>.</w:t>
      </w:r>
    </w:p>
    <w:p w14:paraId="59497CC6" w14:textId="0129B569" w:rsidR="00056BB1" w:rsidRPr="00FB60E5" w:rsidRDefault="00056BB1" w:rsidP="00056BB1">
      <w:pPr>
        <w:pBdr>
          <w:top w:val="single" w:sz="4" w:space="1" w:color="1F497D" w:themeColor="text2"/>
          <w:left w:val="single" w:sz="4" w:space="4" w:color="1F497D" w:themeColor="text2"/>
          <w:bottom w:val="single" w:sz="4" w:space="1" w:color="1F497D" w:themeColor="text2"/>
          <w:right w:val="single" w:sz="4" w:space="4" w:color="1F497D" w:themeColor="text2"/>
        </w:pBdr>
      </w:pPr>
      <w:r w:rsidRPr="00FB60E5">
        <w:t xml:space="preserve">A recent stint in rehab has seen Jim reach a crossroads. He is “over rehabs” after repeat attempts, but still wants to address AOD issues, and long-term housing needs. He has been in contact with numerous housing and welfare services, and is on a waiting list, but still requires further assistance. He has been proactive by contacting various telephone counselling and referral services. Jim is currently seeing a counsellor at an AOD service, but thinks he should visit his GP for referral to “some free psychology sessions” via a mental </w:t>
      </w:r>
      <w:r w:rsidRPr="00FB60E5">
        <w:lastRenderedPageBreak/>
        <w:t>health plan. Ultimately, he wants ongoing psychological counselling and support to address past and current relationships, though his financial situation has prevented this. Due to his drinking, multiple ambulance attendances, emergency room admissions and arrests have occurred. Jim admits to being a “disturbance to the neighbourhood” which puts his current accommodation at risk. Jim recognises the gravity of his situation, and that he has “come to a point... where he has got crisis going on in my life... not just accommodation, but also to do with my addiction...”</w:t>
      </w:r>
    </w:p>
    <w:p w14:paraId="73448B3F" w14:textId="77777777" w:rsidR="00056BB1" w:rsidRPr="00FB60E5" w:rsidRDefault="00056BB1" w:rsidP="00056BB1">
      <w:pPr>
        <w:pBdr>
          <w:top w:val="single" w:sz="4" w:space="1" w:color="1F497D" w:themeColor="text2"/>
          <w:left w:val="single" w:sz="4" w:space="4" w:color="1F497D" w:themeColor="text2"/>
          <w:bottom w:val="single" w:sz="4" w:space="1" w:color="1F497D" w:themeColor="text2"/>
          <w:right w:val="single" w:sz="4" w:space="4" w:color="1F497D" w:themeColor="text2"/>
        </w:pBdr>
      </w:pPr>
      <w:r w:rsidRPr="00FB60E5">
        <w:t>Jim has limited informal support. His main support source is his mother, though the relationship is complicated by a restraining order due to an outburst in her presence, and the fact that “she gets a lot of anxiety” caused by his circumstances. Although he can blackout and behave inappropriately, his mother remains supportive. Jim has attempted to expand his informal support base, and has recently been attending church and has had some informal mentoring from a pastor. He has a close friend from whom he receives support, but has tended to alienate himself from most friends due to his problems with alcohol: “no one wants to know me when I’ve been drinking...”</w:t>
      </w:r>
    </w:p>
    <w:p w14:paraId="43BAAC78" w14:textId="77777777" w:rsidR="002C27A8" w:rsidRDefault="00056BB1" w:rsidP="00056BB1">
      <w:pPr>
        <w:pBdr>
          <w:top w:val="single" w:sz="4" w:space="1" w:color="1F497D" w:themeColor="text2"/>
          <w:left w:val="single" w:sz="4" w:space="4" w:color="1F497D" w:themeColor="text2"/>
          <w:bottom w:val="single" w:sz="4" w:space="1" w:color="1F497D" w:themeColor="text2"/>
          <w:right w:val="single" w:sz="4" w:space="4" w:color="1F497D" w:themeColor="text2"/>
        </w:pBdr>
      </w:pPr>
      <w:r w:rsidRPr="00FB60E5">
        <w:t>Psychological issues have been one of the main difficulties Jim has encountered in seeking treatment</w:t>
      </w:r>
      <w:proofErr w:type="gramStart"/>
      <w:r w:rsidRPr="00FB60E5">
        <w:t>..</w:t>
      </w:r>
      <w:proofErr w:type="gramEnd"/>
      <w:r w:rsidRPr="00FB60E5">
        <w:t xml:space="preserve"> Services have previously had difficulty in getting in contact with Jim due to numerous periods where he has been off the grid: lost phones, address changes etc. Despite having a case manager that he describes as “a nice lady”, she often appears disengaged with his situation and so he feels he is doing “more work for </w:t>
      </w:r>
      <w:proofErr w:type="gramStart"/>
      <w:r w:rsidRPr="00FB60E5">
        <w:t>myself</w:t>
      </w:r>
      <w:proofErr w:type="gramEnd"/>
      <w:r w:rsidRPr="00FB60E5">
        <w:t xml:space="preserve"> than sometimes what she’s doing”. Again, this tends to occur when he is most in need of assistance.</w:t>
      </w:r>
      <w:r w:rsidR="002C27A8">
        <w:t xml:space="preserve"> </w:t>
      </w:r>
      <w:r w:rsidRPr="00FB60E5">
        <w:t>Jim reports that a housing worker has been somewhat helpful and recently linked in with a tenancy advocate to assist him concerning his likely eviction. Jim’s main priorities going forward are obtaining counselling, staying clean and sober and having stable accommodation. He would also like to gain some employment, even if this is voluntary. He faces immediate concerns, however, including an impending eviction, which is limiting overall progress</w:t>
      </w:r>
      <w:r w:rsidR="002C27A8">
        <w:t>.</w:t>
      </w:r>
    </w:p>
    <w:p w14:paraId="38A4659B" w14:textId="51F98A5F" w:rsidR="00695555" w:rsidRPr="00FB60E5" w:rsidRDefault="00695555" w:rsidP="0032262E">
      <w:pPr>
        <w:pStyle w:val="Heading4"/>
      </w:pPr>
      <w:r w:rsidRPr="00FB60E5">
        <w:t>Significant ot</w:t>
      </w:r>
      <w:r w:rsidR="00FB0368">
        <w:t>her support as recovery capital</w:t>
      </w:r>
    </w:p>
    <w:p w14:paraId="673F5207" w14:textId="77777777" w:rsidR="002C27A8" w:rsidRDefault="00695555" w:rsidP="00FB60E5">
      <w:pPr>
        <w:ind w:left="0"/>
      </w:pPr>
      <w:r w:rsidRPr="00FB60E5">
        <w:t>Family was viewed as a significant source of support for participants; however some associated this form of support with guilt feelings as much as gratitude. A small number of participants had a supportive partner and a few others sought support from extended family members as opposed to immediate family</w:t>
      </w:r>
      <w:r w:rsidR="002C27A8">
        <w:t>.</w:t>
      </w:r>
    </w:p>
    <w:p w14:paraId="38A4659D" w14:textId="2CE4F95E" w:rsidR="00695555" w:rsidRPr="00FB60E5" w:rsidRDefault="00695555" w:rsidP="0032262E">
      <w:pPr>
        <w:pStyle w:val="Quote"/>
      </w:pPr>
      <w:r w:rsidRPr="00FB60E5">
        <w:t xml:space="preserve">I've had a lot of support from my family which has been good in some aspects. </w:t>
      </w:r>
      <w:proofErr w:type="gramStart"/>
      <w:r w:rsidRPr="00FB60E5">
        <w:t>Like I can't believe how supportive they've been because [unclear] dealing with the law last year, the car accident.</w:t>
      </w:r>
      <w:proofErr w:type="gramEnd"/>
      <w:r w:rsidRPr="00FB60E5">
        <w:t xml:space="preserve"> Yeah, my family basically knew I'd taken drugs, but they came in and I've had financial support and emotional support and I didn't actually ask them for it and I didn't expect them to, considering because I was on drugs at the time (Interviewee 38).</w:t>
      </w:r>
    </w:p>
    <w:p w14:paraId="35E2CAE4" w14:textId="77777777" w:rsidR="002C27A8" w:rsidRDefault="00695555" w:rsidP="00FB60E5">
      <w:pPr>
        <w:ind w:left="0"/>
      </w:pPr>
      <w:r w:rsidRPr="00FB60E5">
        <w:t>Connections with friends were also important, yet these relationships were often closely managed as a way to avoid placing any burden on the relationship. In most cases, participants identified one or more close friends. Some participants had also made the decision to distance themselves from their drinking or drug using friends. This often left participants feeling lonely and socially isolated, especially participants who had little or no contact with family</w:t>
      </w:r>
      <w:r w:rsidR="002C27A8">
        <w:t>.</w:t>
      </w:r>
    </w:p>
    <w:p w14:paraId="0F1E8E79" w14:textId="77777777" w:rsidR="002C27A8" w:rsidRDefault="00695555" w:rsidP="0032262E">
      <w:pPr>
        <w:pStyle w:val="Quote"/>
      </w:pPr>
      <w:r w:rsidRPr="00FB60E5">
        <w:t>So I didn't actually have any real close circle of friends anymore.</w:t>
      </w:r>
      <w:r w:rsidR="002C27A8">
        <w:t xml:space="preserve"> </w:t>
      </w:r>
      <w:r w:rsidRPr="00FB60E5">
        <w:t xml:space="preserve">The only close </w:t>
      </w:r>
      <w:proofErr w:type="gramStart"/>
      <w:r w:rsidRPr="00FB60E5">
        <w:t>circle of friends that I developed were</w:t>
      </w:r>
      <w:proofErr w:type="gramEnd"/>
      <w:r w:rsidRPr="00FB60E5">
        <w:t xml:space="preserve"> to do with drugs.</w:t>
      </w:r>
      <w:r w:rsidR="002C27A8">
        <w:t xml:space="preserve"> </w:t>
      </w:r>
      <w:r w:rsidRPr="00FB60E5">
        <w:t xml:space="preserve">So at the moment the only people I know </w:t>
      </w:r>
      <w:r w:rsidRPr="00FB60E5">
        <w:lastRenderedPageBreak/>
        <w:t xml:space="preserve">really if I go through my phonebook is people to do with drugs. </w:t>
      </w:r>
      <w:proofErr w:type="gramStart"/>
      <w:r w:rsidRPr="00FB60E5">
        <w:t>Yeah so there's no support network there (Interviewee 26)</w:t>
      </w:r>
      <w:r w:rsidR="002C27A8">
        <w:t>.</w:t>
      </w:r>
      <w:proofErr w:type="gramEnd"/>
    </w:p>
    <w:p w14:paraId="38A465A0" w14:textId="2EF1D900" w:rsidR="004212FD" w:rsidRPr="00FB60E5" w:rsidRDefault="00695555" w:rsidP="00FB60E5">
      <w:pPr>
        <w:ind w:left="0"/>
      </w:pPr>
      <w:r w:rsidRPr="00FB60E5">
        <w:t xml:space="preserve">Mutual help groups such as AA were the main support source for a small number, and these participants attended AA groups during their PIT. As one participant explained ‘it [AA] helps you to have a way of living beyond any rehabilitation period’. </w:t>
      </w:r>
      <w:r w:rsidR="001524FA" w:rsidRPr="00FB60E5">
        <w:t xml:space="preserve">Several </w:t>
      </w:r>
      <w:r w:rsidRPr="00FB60E5">
        <w:t xml:space="preserve">participants had </w:t>
      </w:r>
      <w:r w:rsidR="001524FA" w:rsidRPr="00FB60E5">
        <w:t xml:space="preserve">experienced AA or NA either prior to or after PIT, but </w:t>
      </w:r>
      <w:r w:rsidRPr="00FB60E5">
        <w:t>chose not to return.</w:t>
      </w:r>
    </w:p>
    <w:p w14:paraId="0FAE1DD3" w14:textId="71C463FA" w:rsidR="002C27A8" w:rsidRDefault="00695555" w:rsidP="00FB60E5">
      <w:pPr>
        <w:ind w:left="0"/>
      </w:pPr>
      <w:r w:rsidRPr="00FB60E5">
        <w:t xml:space="preserve">Involvement in a community </w:t>
      </w:r>
      <w:r w:rsidR="001524FA" w:rsidRPr="00FB60E5">
        <w:t xml:space="preserve">or non-AOD specific support </w:t>
      </w:r>
      <w:r w:rsidRPr="00FB60E5">
        <w:t>group, church or club provided some participants with support and social connections, while at the same time it created an opportunity for participants to make a positive contribution and help others. These connections also provided participants with a sense of belonging</w:t>
      </w:r>
      <w:r w:rsidR="002C27A8">
        <w:t>.</w:t>
      </w:r>
    </w:p>
    <w:p w14:paraId="08D758FB" w14:textId="77777777" w:rsidR="002C27A8" w:rsidRDefault="00695555" w:rsidP="0032262E">
      <w:pPr>
        <w:pStyle w:val="Quote"/>
      </w:pPr>
      <w:r w:rsidRPr="00FB60E5">
        <w:t>I spend a bit of time at the soup kitchen, helping out there – cooking and handing out groceries and stuff.</w:t>
      </w:r>
      <w:r w:rsidR="002C27A8">
        <w:t xml:space="preserve"> </w:t>
      </w:r>
      <w:r w:rsidRPr="00FB60E5">
        <w:t>We do – also I’m a Rotarian</w:t>
      </w:r>
      <w:proofErr w:type="gramStart"/>
      <w:r w:rsidRPr="00FB60E5">
        <w:t>...[</w:t>
      </w:r>
      <w:proofErr w:type="gramEnd"/>
      <w:r w:rsidRPr="00FB60E5">
        <w:t>Interviewer: In what way, if at all, are these informal supports helpful to you?] Oh they just keep me involved socially.</w:t>
      </w:r>
      <w:r w:rsidR="002C27A8">
        <w:t xml:space="preserve"> </w:t>
      </w:r>
      <w:r w:rsidRPr="00FB60E5">
        <w:t>Not isolated, keep me doing stuff.</w:t>
      </w:r>
      <w:r w:rsidR="002C27A8">
        <w:t xml:space="preserve"> </w:t>
      </w:r>
      <w:r w:rsidRPr="00FB60E5">
        <w:t>It’s fairly satisfying activities in the – trying to help people out (Interviewee 39)</w:t>
      </w:r>
      <w:r w:rsidR="002C27A8">
        <w:t>.</w:t>
      </w:r>
    </w:p>
    <w:p w14:paraId="38A465A3" w14:textId="3F750F43" w:rsidR="00695555" w:rsidRPr="00FB60E5" w:rsidRDefault="00695555" w:rsidP="0032262E">
      <w:pPr>
        <w:pStyle w:val="Heading4"/>
      </w:pPr>
      <w:bookmarkStart w:id="190" w:name="_Toc388374606"/>
      <w:bookmarkStart w:id="191" w:name="_Toc398105050"/>
      <w:r w:rsidRPr="00FB60E5">
        <w:t>Treatment barriers</w:t>
      </w:r>
      <w:bookmarkEnd w:id="190"/>
      <w:bookmarkEnd w:id="191"/>
    </w:p>
    <w:p w14:paraId="38A465A4" w14:textId="77777777" w:rsidR="00695555" w:rsidRPr="00FB60E5" w:rsidRDefault="00695555" w:rsidP="00FB60E5">
      <w:pPr>
        <w:ind w:left="0"/>
      </w:pPr>
      <w:r w:rsidRPr="00FB60E5">
        <w:t>Factors identified by participants as impeding access to treatment services tended to focus on their ability to get to services; affordability of services (especially where multiple/concurrent service supports are required); staff attitudes; attitudes of non-AOD service staff; and the capacity of services.</w:t>
      </w:r>
    </w:p>
    <w:p w14:paraId="38A465A5" w14:textId="77777777" w:rsidR="00695555" w:rsidRPr="00FB60E5" w:rsidRDefault="00695555" w:rsidP="00FB60E5">
      <w:pPr>
        <w:ind w:left="0"/>
      </w:pPr>
      <w:r w:rsidRPr="00FB60E5">
        <w:t>Ability to access services is influenced by a number of factors. For some participants, the ability to attend an appointment at a service is impeded by their access to transportation, with some relying on family to transport them and others relying on public transport (if they can afford it). Appointment and scheduled meeting times were a challenge for some. This was due to treatment services being available only during the business day, when they needed to be at work or engaged in study. One participant suggested that at least one ‘late night’ opening would improve their ability to access services. For others, frustrations surrounded the need for a referral to see a psychologist/psychiatrist or the inability to access counsellors routinely on the phone outside of counselling sessions and session times. This was balanced with frustrations surrounding access to practitioners with long waiting times. At least one participant described the impact of mental health issues on their ability to access AOD services.</w:t>
      </w:r>
    </w:p>
    <w:p w14:paraId="680A2E1B" w14:textId="77777777" w:rsidR="002C27A8" w:rsidRDefault="00695555" w:rsidP="00FB0368">
      <w:pPr>
        <w:pStyle w:val="Quote"/>
      </w:pPr>
      <w:r w:rsidRPr="00FB60E5">
        <w:t>[Interviewer: What things, if any, made it difficult or hard for you to access any of these services?] Sometimes getting out of the house, but that would be - yeah, that's just a personal problem. Yeah, sometimes if I was having anxiety attacks, just actually getting there (Interviewee 38)</w:t>
      </w:r>
      <w:r w:rsidR="002C27A8">
        <w:t>.</w:t>
      </w:r>
    </w:p>
    <w:p w14:paraId="38A465A8" w14:textId="77777777" w:rsidR="00695555" w:rsidRPr="00FB60E5" w:rsidRDefault="00695555" w:rsidP="00FB60E5">
      <w:pPr>
        <w:ind w:left="0"/>
      </w:pPr>
      <w:r w:rsidRPr="00FB60E5">
        <w:t>Transport and scheduling issues relating to counselling services could be addressed with the increased use of telephone or online counselling.</w:t>
      </w:r>
    </w:p>
    <w:p w14:paraId="38A465A9" w14:textId="01068C6C" w:rsidR="00695555" w:rsidRPr="00FB60E5" w:rsidRDefault="00695555" w:rsidP="005D3B63">
      <w:pPr>
        <w:pStyle w:val="Quote"/>
      </w:pPr>
      <w:r w:rsidRPr="00FB60E5">
        <w:t>But being able to access those things, because $5 to get around town to get to these services is a lot of money when you haven't got any, as you know</w:t>
      </w:r>
      <w:proofErr w:type="gramStart"/>
      <w:r w:rsidRPr="00FB60E5">
        <w:t>... .</w:t>
      </w:r>
      <w:proofErr w:type="gramEnd"/>
      <w:r w:rsidRPr="00FB60E5">
        <w:t>I think that comes back to being able to have access at home for those that are really sick, that are really struggling to get - I mean to where I am now, to where I was back then, getting out of the house was just really hard.</w:t>
      </w:r>
      <w:r w:rsidR="002C27A8">
        <w:t xml:space="preserve"> </w:t>
      </w:r>
      <w:r w:rsidRPr="00FB60E5">
        <w:t>It was a tough chore.</w:t>
      </w:r>
      <w:r w:rsidR="002C27A8">
        <w:t xml:space="preserve"> </w:t>
      </w:r>
      <w:r w:rsidRPr="00FB60E5">
        <w:t xml:space="preserve">[Interviewer: So home access to really get </w:t>
      </w:r>
      <w:r w:rsidRPr="00FB60E5">
        <w:lastRenderedPageBreak/>
        <w:t>over that transport hurdle?]</w:t>
      </w:r>
      <w:r w:rsidR="002C27A8">
        <w:t xml:space="preserve"> </w:t>
      </w:r>
      <w:r w:rsidRPr="00FB60E5">
        <w:t>Yeah.</w:t>
      </w:r>
      <w:r w:rsidR="002C27A8">
        <w:t xml:space="preserve"> </w:t>
      </w:r>
      <w:r w:rsidRPr="00FB60E5">
        <w:t>I think so and maybe telephone, a lot more telephone contact maybe from the services rather than having to go in (Interviewee 41).</w:t>
      </w:r>
    </w:p>
    <w:p w14:paraId="38A465AA" w14:textId="77777777" w:rsidR="00695555" w:rsidRPr="00FB60E5" w:rsidRDefault="00695555" w:rsidP="005D3B63">
      <w:pPr>
        <w:pStyle w:val="Heading5"/>
      </w:pPr>
      <w:r w:rsidRPr="00FB60E5">
        <w:t>Affordability of services</w:t>
      </w:r>
    </w:p>
    <w:p w14:paraId="38A465AB" w14:textId="77777777" w:rsidR="00695555" w:rsidRPr="00FB60E5" w:rsidRDefault="00695555" w:rsidP="00FB60E5">
      <w:pPr>
        <w:ind w:left="0"/>
      </w:pPr>
      <w:r w:rsidRPr="00FB60E5">
        <w:t>Some participants expressed frustration with the cost of services, either the value-for-money, or at their inability to access services because of their cost. A common complaint from participants was about the disjuncture between length of funding and time required to recover from substance use disorders. This was particularly evident in relation to post-treatment counselling support.</w:t>
      </w:r>
    </w:p>
    <w:p w14:paraId="58BAF380" w14:textId="77777777" w:rsidR="002C27A8" w:rsidRDefault="00695555" w:rsidP="005D3B63">
      <w:pPr>
        <w:pStyle w:val="Quote"/>
      </w:pPr>
      <w:r w:rsidRPr="00FB60E5">
        <w:t>Well you had to pay for it, even with psychologists with the counselling I followed it up and it was virtually a fulltime job, mate.</w:t>
      </w:r>
      <w:r w:rsidR="002C27A8">
        <w:t xml:space="preserve"> </w:t>
      </w:r>
      <w:r w:rsidRPr="00FB60E5">
        <w:t>It really was, just to get to see a psychologist for free.</w:t>
      </w:r>
      <w:r w:rsidR="002C27A8">
        <w:t xml:space="preserve"> </w:t>
      </w:r>
      <w:r w:rsidRPr="00FB60E5">
        <w:t>Then when I - into my second sessions he goes, oh you know you only get five sessions for free and then you've got to pay.</w:t>
      </w:r>
      <w:r w:rsidR="002C27A8">
        <w:t xml:space="preserve"> </w:t>
      </w:r>
      <w:r w:rsidRPr="00FB60E5">
        <w:t>It was sort of like I just said I'm not working.</w:t>
      </w:r>
      <w:r w:rsidR="002C27A8">
        <w:t xml:space="preserve"> </w:t>
      </w:r>
      <w:r w:rsidRPr="00FB60E5">
        <w:t>I haven't got $220 to pay you every week. It was like, well why continue because he said, you need long-term counselling.</w:t>
      </w:r>
      <w:r w:rsidR="002C27A8">
        <w:t xml:space="preserve"> </w:t>
      </w:r>
      <w:r w:rsidRPr="00FB60E5">
        <w:t>But the government won't pay for it... When you're a recovering alcoholic and you've got no job and you've lost your career and everything else that goes with it, you haven't got $220 to pay a psychologist every week.</w:t>
      </w:r>
      <w:r w:rsidR="002C27A8">
        <w:t xml:space="preserve"> </w:t>
      </w:r>
      <w:r w:rsidRPr="00FB60E5">
        <w:t>So that's not his fault, it's the government's fault (Interviewee 40)</w:t>
      </w:r>
      <w:r w:rsidR="002C27A8">
        <w:t>.</w:t>
      </w:r>
    </w:p>
    <w:p w14:paraId="38A465AD" w14:textId="05F9BC56" w:rsidR="00695555" w:rsidRPr="00FB60E5" w:rsidRDefault="00695555" w:rsidP="005D3B63">
      <w:pPr>
        <w:pStyle w:val="Heading5"/>
      </w:pPr>
      <w:r w:rsidRPr="00FB60E5">
        <w:t>Negative staff attitudes and behaviours</w:t>
      </w:r>
    </w:p>
    <w:p w14:paraId="38A465AE" w14:textId="77777777" w:rsidR="00695555" w:rsidRPr="00FB60E5" w:rsidRDefault="00695555" w:rsidP="00FB60E5">
      <w:pPr>
        <w:ind w:left="0"/>
      </w:pPr>
      <w:r w:rsidRPr="00FB60E5">
        <w:t>The most commonly reported barrier to treatment involved perceived negative s</w:t>
      </w:r>
      <w:r w:rsidR="00D82C02" w:rsidRPr="00FB60E5">
        <w:t xml:space="preserve">taff attitudes and behaviours. </w:t>
      </w:r>
      <w:r w:rsidRPr="00FB60E5">
        <w:t>A key complaint surrounded a lack of clarity and communication of rules and regulations within treatment services, part</w:t>
      </w:r>
      <w:r w:rsidR="00D82C02" w:rsidRPr="00FB60E5">
        <w:t xml:space="preserve">icularly residential services. </w:t>
      </w:r>
      <w:r w:rsidRPr="00FB60E5">
        <w:t>Participants cited examples of a lack of information being provided prior to entry into the service and described situations where information provided prior to entry was directly contradicted upon entry.</w:t>
      </w:r>
    </w:p>
    <w:p w14:paraId="01DBE193" w14:textId="77777777" w:rsidR="002C27A8" w:rsidRDefault="00695555" w:rsidP="005D3B63">
      <w:pPr>
        <w:pStyle w:val="Quote"/>
      </w:pPr>
      <w:r w:rsidRPr="00FB60E5">
        <w:t xml:space="preserve">The </w:t>
      </w:r>
      <w:proofErr w:type="gramStart"/>
      <w:r w:rsidRPr="00FB60E5">
        <w:t>staff were</w:t>
      </w:r>
      <w:proofErr w:type="gramEnd"/>
      <w:r w:rsidRPr="00FB60E5">
        <w:t xml:space="preserve"> pretty verbally abusive towards my children on the first day they got there and they were just running around and being kids pretty much.</w:t>
      </w:r>
      <w:r w:rsidR="002C27A8">
        <w:t xml:space="preserve"> </w:t>
      </w:r>
      <w:r w:rsidRPr="00FB60E5">
        <w:t>I'm like this is a place that I waited six months to go to because it was meant to be for children and their mothers.</w:t>
      </w:r>
      <w:r w:rsidR="002C27A8">
        <w:t xml:space="preserve"> </w:t>
      </w:r>
      <w:r w:rsidRPr="00FB60E5">
        <w:t>When they were getting told off for being kids, I just felt that it was wrong (Interviewee 26)</w:t>
      </w:r>
      <w:r w:rsidR="002C27A8">
        <w:t>.</w:t>
      </w:r>
    </w:p>
    <w:p w14:paraId="5CDB957C" w14:textId="77777777" w:rsidR="002C27A8" w:rsidRDefault="00695555" w:rsidP="00FB60E5">
      <w:pPr>
        <w:ind w:left="0"/>
      </w:pPr>
      <w:r w:rsidRPr="00FB60E5">
        <w:t>Several expressed concern about the assumptions staff made about them, and suggested that clinical judgements may have been made based on these assumptions rather than facts</w:t>
      </w:r>
      <w:r w:rsidR="002C27A8">
        <w:t>.</w:t>
      </w:r>
    </w:p>
    <w:p w14:paraId="7B9AE650" w14:textId="77777777" w:rsidR="002C27A8" w:rsidRDefault="00695555" w:rsidP="005D3B63">
      <w:pPr>
        <w:pStyle w:val="Quote"/>
      </w:pPr>
      <w:r w:rsidRPr="00FB60E5">
        <w:t>Honestly, they judge you a bit too much.</w:t>
      </w:r>
      <w:r w:rsidR="002C27A8">
        <w:t xml:space="preserve"> </w:t>
      </w:r>
      <w:r w:rsidRPr="00FB60E5">
        <w:t>They look at - people that use drugs aren't lik</w:t>
      </w:r>
      <w:r w:rsidR="0098170D" w:rsidRPr="00FB60E5">
        <w:t xml:space="preserve">e people in society obviously. </w:t>
      </w:r>
      <w:r w:rsidRPr="00FB60E5">
        <w:t>They're not exactly functional, right, else they'd be - have a job or whatever or trying to look for work.</w:t>
      </w:r>
      <w:r w:rsidR="002C27A8">
        <w:t xml:space="preserve"> </w:t>
      </w:r>
      <w:r w:rsidRPr="00FB60E5">
        <w:t>But they look at you like you shouldn't - what are you doing here you should be out like - you shouldn't even be here you piece of ‘shit’ more or less, you should be doing the right thing.</w:t>
      </w:r>
      <w:r w:rsidR="002C27A8">
        <w:t xml:space="preserve"> </w:t>
      </w:r>
      <w:r w:rsidRPr="00FB60E5">
        <w:t>That's the feeling you get from them.</w:t>
      </w:r>
      <w:r w:rsidR="002C27A8">
        <w:t xml:space="preserve"> </w:t>
      </w:r>
      <w:r w:rsidRPr="00FB60E5">
        <w:t>Besides that, their services are helpful but the way they treat - well I don't know if it's treat - the way they talk to you maybe isn’t - doesn’t sound nice (Interviewee 27)</w:t>
      </w:r>
      <w:r w:rsidR="002C27A8">
        <w:t>.</w:t>
      </w:r>
    </w:p>
    <w:p w14:paraId="38A465B2" w14:textId="204B1615" w:rsidR="00695555" w:rsidRPr="00FB60E5" w:rsidRDefault="00695555" w:rsidP="00FB60E5">
      <w:pPr>
        <w:ind w:left="0"/>
      </w:pPr>
      <w:r w:rsidRPr="00FB60E5">
        <w:t>For one participant, a desire to retain a sense of privacy impacted on their sense of self and mental health:</w:t>
      </w:r>
    </w:p>
    <w:p w14:paraId="7EFB0609" w14:textId="77777777" w:rsidR="002C27A8" w:rsidRDefault="00695555" w:rsidP="005D3B63">
      <w:pPr>
        <w:pStyle w:val="Quote"/>
      </w:pPr>
      <w:r w:rsidRPr="00FB60E5">
        <w:lastRenderedPageBreak/>
        <w:t xml:space="preserve">It only became hard for </w:t>
      </w:r>
      <w:proofErr w:type="gramStart"/>
      <w:r w:rsidRPr="00FB60E5">
        <w:t>myself</w:t>
      </w:r>
      <w:proofErr w:type="gramEnd"/>
      <w:r w:rsidRPr="00FB60E5">
        <w:t xml:space="preserve"> as an individual when I had to tell so many different people my life story.</w:t>
      </w:r>
      <w:r w:rsidR="002C27A8">
        <w:t xml:space="preserve"> </w:t>
      </w:r>
      <w:r w:rsidRPr="00FB60E5">
        <w:t>That actually started affecting me a little bit because I didn't want so many people having different judgements on me.</w:t>
      </w:r>
      <w:r w:rsidR="002C27A8">
        <w:t xml:space="preserve"> </w:t>
      </w:r>
      <w:r w:rsidRPr="00FB60E5">
        <w:t>I just wanted the one person kind of thing (Interviewee 28)</w:t>
      </w:r>
      <w:r w:rsidR="002C27A8">
        <w:t>.</w:t>
      </w:r>
    </w:p>
    <w:p w14:paraId="6526F8A1" w14:textId="77777777" w:rsidR="002C27A8" w:rsidRDefault="000128BD" w:rsidP="00FB60E5">
      <w:pPr>
        <w:ind w:left="0"/>
      </w:pPr>
      <w:r w:rsidRPr="00FB60E5">
        <w:t xml:space="preserve">A small number of </w:t>
      </w:r>
      <w:r w:rsidR="00695555" w:rsidRPr="00FB60E5">
        <w:t>participants expressed concern about the possible impact disclosure of their substance use would have on their ability to access non-AOD services, like Centrelink and primary health care</w:t>
      </w:r>
      <w:r w:rsidR="002C27A8">
        <w:t>.</w:t>
      </w:r>
    </w:p>
    <w:p w14:paraId="597F3750" w14:textId="77777777" w:rsidR="002C27A8" w:rsidRDefault="00695555" w:rsidP="005D3B63">
      <w:pPr>
        <w:pStyle w:val="Quote"/>
      </w:pPr>
      <w:r w:rsidRPr="00FB60E5">
        <w:t>Between leaving [AOD service K] is where it all stopped virtually, the support which is probably what most people need.</w:t>
      </w:r>
      <w:r w:rsidR="002C27A8">
        <w:t xml:space="preserve"> </w:t>
      </w:r>
      <w:r w:rsidRPr="00FB60E5">
        <w:t>It was just red tape from there, it was go see a GP and you needed a medical plan.</w:t>
      </w:r>
      <w:r w:rsidR="002C27A8">
        <w:t xml:space="preserve"> </w:t>
      </w:r>
      <w:r w:rsidRPr="00FB60E5">
        <w:t>At one stage I rocked up to an appointment and they didn't have my medical plan so they wouldn't see me unless I paid $220, and yeah.</w:t>
      </w:r>
      <w:r w:rsidR="002C27A8">
        <w:t xml:space="preserve"> </w:t>
      </w:r>
      <w:r w:rsidRPr="00FB60E5">
        <w:t>It's just red tape virtually</w:t>
      </w:r>
      <w:proofErr w:type="gramStart"/>
      <w:r w:rsidRPr="00FB60E5">
        <w:t>... .</w:t>
      </w:r>
      <w:proofErr w:type="gramEnd"/>
      <w:r w:rsidRPr="00FB60E5">
        <w:t xml:space="preserve"> I mean [AOD service K]</w:t>
      </w:r>
      <w:proofErr w:type="gramStart"/>
      <w:r w:rsidRPr="00FB60E5">
        <w:t>,</w:t>
      </w:r>
      <w:proofErr w:type="gramEnd"/>
      <w:r w:rsidRPr="00FB60E5">
        <w:t xml:space="preserve"> I'm not blaming them at all.</w:t>
      </w:r>
      <w:r w:rsidR="002C27A8">
        <w:t xml:space="preserve"> </w:t>
      </w:r>
      <w:r w:rsidRPr="00FB60E5">
        <w:t>When I left they emailed a - I mean it's probably half my GP’s fault.</w:t>
      </w:r>
      <w:r w:rsidR="002C27A8">
        <w:t xml:space="preserve"> </w:t>
      </w:r>
      <w:r w:rsidRPr="00FB60E5">
        <w:t>They emailed all my stuff back to him and he was meant to organise everything and yeah, he failed.</w:t>
      </w:r>
      <w:r w:rsidR="002C27A8">
        <w:t xml:space="preserve"> </w:t>
      </w:r>
      <w:r w:rsidRPr="00FB60E5">
        <w:t>In dealing with him and the psychology and whatever else and yeah, like I said I showed up there and they wouldn't see me because he hadn't sent them my medical plan.</w:t>
      </w:r>
      <w:r w:rsidR="002C27A8">
        <w:t xml:space="preserve"> </w:t>
      </w:r>
      <w:r w:rsidRPr="00FB60E5">
        <w:t xml:space="preserve">Because they won't see anyone without proof of a medical - sorry mental health plan is what I'm trying to say. </w:t>
      </w:r>
      <w:proofErr w:type="gramStart"/>
      <w:r w:rsidRPr="00FB60E5">
        <w:t>Yeah, sorry.</w:t>
      </w:r>
      <w:proofErr w:type="gramEnd"/>
      <w:r w:rsidR="002C27A8">
        <w:t xml:space="preserve"> </w:t>
      </w:r>
      <w:r w:rsidRPr="00FB60E5">
        <w:t>Not medical, mental health plan.</w:t>
      </w:r>
      <w:r w:rsidR="002C27A8">
        <w:t xml:space="preserve"> </w:t>
      </w:r>
      <w:r w:rsidRPr="00FB60E5">
        <w:t>So then I had to leave that day and then - yeah, it was all just too hard, mate.</w:t>
      </w:r>
      <w:r w:rsidR="002C27A8">
        <w:t xml:space="preserve"> </w:t>
      </w:r>
      <w:r w:rsidRPr="00FB60E5">
        <w:t>When you're recovering from any substance, sometimes you just say fuck it and go get a hit or go buy a carton of piss [laughs], which is virtually what I'd done (Interviewee 40)</w:t>
      </w:r>
      <w:r w:rsidR="002C27A8">
        <w:t>.</w:t>
      </w:r>
    </w:p>
    <w:p w14:paraId="38A465B6" w14:textId="4DC6AA47" w:rsidR="00695555" w:rsidRPr="00FB60E5" w:rsidRDefault="00695555" w:rsidP="005D3B63">
      <w:pPr>
        <w:pStyle w:val="Heading5"/>
      </w:pPr>
      <w:r w:rsidRPr="00FB60E5">
        <w:t>Limited capacity of services</w:t>
      </w:r>
    </w:p>
    <w:p w14:paraId="79541975" w14:textId="77777777" w:rsidR="002C27A8" w:rsidRDefault="00695555" w:rsidP="00FB60E5">
      <w:pPr>
        <w:ind w:left="0"/>
      </w:pPr>
      <w:r w:rsidRPr="00FB60E5">
        <w:t>A number of participants identified service capacity issues as critical barriers to accessing both AOD treatment services and non-AOD services (post AOD treatment).</w:t>
      </w:r>
      <w:r w:rsidR="002C27A8">
        <w:t xml:space="preserve"> </w:t>
      </w:r>
      <w:r w:rsidRPr="00FB60E5">
        <w:t>Some of the issues were related to the capacity of services within a given catchment area, and the limited ability of services to offer treatment places to people living outside of their zone</w:t>
      </w:r>
      <w:r w:rsidR="002C27A8">
        <w:t>.</w:t>
      </w:r>
    </w:p>
    <w:p w14:paraId="38A465B8" w14:textId="1BCF4343" w:rsidR="00695555" w:rsidRPr="00FB60E5" w:rsidRDefault="00695555" w:rsidP="005D3B63">
      <w:pPr>
        <w:pStyle w:val="Quote"/>
      </w:pPr>
      <w:r w:rsidRPr="00FB60E5">
        <w:t>They didn't have a lot of outreach services and being someone with anxiety and agoraphobia not being able to get to those services made it very difficult for me.</w:t>
      </w:r>
      <w:r w:rsidR="002C27A8">
        <w:t xml:space="preserve"> </w:t>
      </w:r>
      <w:r w:rsidRPr="00FB60E5">
        <w:t>I wasn't getting the proper treatment and - yeah... When I was living back in [regional city] I ended up moving out to a smaller suburb away from [regional city] and there was - the majority of the services wouldn't come out there because they said I was out of their catchment zone and they didn't offer that outreach service to that area.</w:t>
      </w:r>
      <w:r w:rsidR="002C27A8">
        <w:t xml:space="preserve"> </w:t>
      </w:r>
      <w:r w:rsidRPr="00FB60E5">
        <w:t>There were no services in that area that could have helped me, which made my mental health issues worse, which led me more to binge drinking and smoking and that (Interviewee 26).</w:t>
      </w:r>
    </w:p>
    <w:p w14:paraId="38A465B9" w14:textId="77777777" w:rsidR="00695555" w:rsidRPr="00FB60E5" w:rsidRDefault="00695555" w:rsidP="00FB60E5">
      <w:pPr>
        <w:ind w:left="0"/>
      </w:pPr>
      <w:r w:rsidRPr="00FB60E5">
        <w:t>The prioritisation processes for AOD services mean some people can be on waiting lists for a long time before they receive any treatment or support. Good communication practice around this, however, ensures that services manage participant expectations quite well.</w:t>
      </w:r>
    </w:p>
    <w:p w14:paraId="37ED8D35" w14:textId="77777777" w:rsidR="002C27A8" w:rsidRDefault="00695555" w:rsidP="005D3B63">
      <w:pPr>
        <w:pStyle w:val="Quote"/>
      </w:pPr>
      <w:r w:rsidRPr="00FB60E5">
        <w:t>They get 20 phone calls a day or whatever and they've only got a certain amount of beds.</w:t>
      </w:r>
      <w:r w:rsidR="002C27A8">
        <w:t xml:space="preserve"> </w:t>
      </w:r>
      <w:r w:rsidRPr="00FB60E5">
        <w:t>They obviously rate you on your seriousness and if you're on drugs or whatever, and if you're only an alcoholic there it was like you were a lower rung.</w:t>
      </w:r>
      <w:r w:rsidR="002C27A8">
        <w:t xml:space="preserve"> </w:t>
      </w:r>
      <w:r w:rsidRPr="00FB60E5">
        <w:t>[They had guys] on meth and ice for five years, they're definitely going to get put in ahead of you.</w:t>
      </w:r>
      <w:r w:rsidR="002C27A8">
        <w:t xml:space="preserve"> </w:t>
      </w:r>
      <w:r w:rsidRPr="00FB60E5">
        <w:t xml:space="preserve">That's what it was </w:t>
      </w:r>
      <w:r w:rsidRPr="00FB60E5">
        <w:lastRenderedPageBreak/>
        <w:t>like is you get put up - that's what it felt like is, oh yeah in a couple of weeks you should be in.</w:t>
      </w:r>
      <w:r w:rsidR="002C27A8">
        <w:t xml:space="preserve"> </w:t>
      </w:r>
      <w:r w:rsidRPr="00FB60E5">
        <w:t xml:space="preserve">Then you ring them Tuesday between nine and 10 and then, oh sorry we've had a few more urgent </w:t>
      </w:r>
      <w:r w:rsidR="0098170D" w:rsidRPr="00FB60E5">
        <w:t xml:space="preserve">admissions </w:t>
      </w:r>
      <w:r w:rsidRPr="00FB60E5">
        <w:t>and you're back on the waiting list sort of thing (Interviewee 10)</w:t>
      </w:r>
      <w:r w:rsidR="002C27A8">
        <w:t>.</w:t>
      </w:r>
    </w:p>
    <w:p w14:paraId="38A465BB" w14:textId="25D35841" w:rsidR="00695555" w:rsidRPr="00FB60E5" w:rsidRDefault="00695555" w:rsidP="005D3B63">
      <w:pPr>
        <w:pStyle w:val="Quote"/>
      </w:pPr>
      <w:r w:rsidRPr="00FB60E5">
        <w:t xml:space="preserve">It never used to, yeah, and then I'll be honest </w:t>
      </w:r>
      <w:r w:rsidR="00243A06" w:rsidRPr="00FB60E5">
        <w:t>with you, about six months ago</w:t>
      </w:r>
      <w:r w:rsidRPr="00FB60E5">
        <w:t xml:space="preserve"> I rang up [AOD service A]</w:t>
      </w:r>
      <w:r w:rsidR="002C27A8">
        <w:t xml:space="preserve"> </w:t>
      </w:r>
      <w:r w:rsidRPr="00FB60E5">
        <w:t>and asked if I can get some counselling to help get myself drug free and all that stuff and I'm not good in groups to be honest.</w:t>
      </w:r>
      <w:r w:rsidR="002C27A8">
        <w:t xml:space="preserve"> </w:t>
      </w:r>
      <w:r w:rsidRPr="00FB60E5">
        <w:t xml:space="preserve">They said </w:t>
      </w:r>
      <w:proofErr w:type="gramStart"/>
      <w:r w:rsidRPr="00FB60E5">
        <w:t>no we can't help you there's only like group sessions for the moment</w:t>
      </w:r>
      <w:proofErr w:type="gramEnd"/>
      <w:r w:rsidRPr="00FB60E5">
        <w:t>.</w:t>
      </w:r>
      <w:r w:rsidR="002C27A8">
        <w:t xml:space="preserve"> </w:t>
      </w:r>
      <w:r w:rsidRPr="00FB60E5">
        <w:t>You have to go on like a six month waiting list.</w:t>
      </w:r>
      <w:r w:rsidR="002C27A8">
        <w:t xml:space="preserve"> </w:t>
      </w:r>
      <w:r w:rsidRPr="00FB60E5">
        <w:t xml:space="preserve">I thought well - I go, </w:t>
      </w:r>
      <w:r w:rsidR="00243A06" w:rsidRPr="00FB60E5">
        <w:t>‘</w:t>
      </w:r>
      <w:r w:rsidRPr="00FB60E5">
        <w:t xml:space="preserve">no, it's alright, don't worry </w:t>
      </w:r>
      <w:r w:rsidR="00243A06" w:rsidRPr="00FB60E5">
        <w:t>about it’</w:t>
      </w:r>
      <w:r w:rsidRPr="00FB60E5">
        <w:t>.</w:t>
      </w:r>
      <w:r w:rsidR="002C27A8">
        <w:t xml:space="preserve"> </w:t>
      </w:r>
      <w:r w:rsidRPr="00FB60E5">
        <w:t>It put me straight off.</w:t>
      </w:r>
      <w:r w:rsidR="002C27A8">
        <w:t xml:space="preserve"> </w:t>
      </w:r>
      <w:r w:rsidRPr="00FB60E5">
        <w:t>I didn't want to wait six months to get help.</w:t>
      </w:r>
      <w:r w:rsidR="002C27A8">
        <w:t xml:space="preserve"> </w:t>
      </w:r>
      <w:r w:rsidRPr="00FB60E5">
        <w:t>I wanted more or less help there and then to get off of it.</w:t>
      </w:r>
      <w:r w:rsidR="002C27A8">
        <w:t xml:space="preserve"> </w:t>
      </w:r>
      <w:r w:rsidRPr="00FB60E5">
        <w:t>It's not every other time, this is only once though.</w:t>
      </w:r>
      <w:r w:rsidR="002C27A8">
        <w:t xml:space="preserve"> </w:t>
      </w:r>
      <w:r w:rsidRPr="00FB60E5">
        <w:t>Every other time it's been pretty good (Interviewee 37).</w:t>
      </w:r>
    </w:p>
    <w:p w14:paraId="38A465BD" w14:textId="77777777" w:rsidR="00695555" w:rsidRPr="00FB60E5" w:rsidRDefault="00695555" w:rsidP="00FB60E5">
      <w:pPr>
        <w:ind w:left="0"/>
      </w:pPr>
      <w:r w:rsidRPr="00FB60E5">
        <w:t>For several participants, housing is a critical post-treatment need. However, as participants identified the waiting list prioritisation process for housing services means an extended wait for most.</w:t>
      </w:r>
    </w:p>
    <w:p w14:paraId="1FA4DB56" w14:textId="77777777" w:rsidR="002C27A8" w:rsidRDefault="00695555" w:rsidP="005D3B63">
      <w:pPr>
        <w:pStyle w:val="Quote"/>
      </w:pPr>
      <w:r w:rsidRPr="00FB60E5">
        <w:t>I honestly believe that apart from being very supportive and offering counselling, which they do as well, I think they're really good.</w:t>
      </w:r>
      <w:r w:rsidR="002C27A8">
        <w:t xml:space="preserve"> </w:t>
      </w:r>
      <w:r w:rsidRPr="00FB60E5">
        <w:t>But they're also very - I mean one of things they say to you at the end of this interview, which all sounds very promising and hopeful, is that they don’t have any accommodation.</w:t>
      </w:r>
      <w:r w:rsidR="002C27A8">
        <w:t xml:space="preserve"> </w:t>
      </w:r>
      <w:r w:rsidRPr="00FB60E5">
        <w:t>So for a single person like me, you're on the bottom of the list for housing (Interviewee 41)</w:t>
      </w:r>
      <w:r w:rsidR="002C27A8">
        <w:t>.</w:t>
      </w:r>
    </w:p>
    <w:p w14:paraId="38A465BF" w14:textId="4F8E42C8" w:rsidR="00695555" w:rsidRPr="00FB60E5" w:rsidRDefault="00695555" w:rsidP="005D3B63">
      <w:pPr>
        <w:pStyle w:val="Quote"/>
      </w:pPr>
      <w:r w:rsidRPr="00FB60E5">
        <w:t>Yeah, but they couldn't get me a house or anything like that. You've got to apply and there's just a massive waiting list in [regional area], massive, massive, massive like three year waiting list, four year waiting list (Interviewee 22).</w:t>
      </w:r>
    </w:p>
    <w:p w14:paraId="38A465C0" w14:textId="5F690701" w:rsidR="00695555" w:rsidRPr="00FB60E5" w:rsidRDefault="00695555" w:rsidP="005D3B63">
      <w:pPr>
        <w:pStyle w:val="Heading4"/>
      </w:pPr>
      <w:bookmarkStart w:id="192" w:name="_Toc388374607"/>
      <w:bookmarkStart w:id="193" w:name="_Toc398105051"/>
      <w:r w:rsidRPr="00FB60E5">
        <w:t>Areas for improvement</w:t>
      </w:r>
      <w:bookmarkEnd w:id="192"/>
      <w:bookmarkEnd w:id="193"/>
    </w:p>
    <w:p w14:paraId="38A465C1" w14:textId="44B16571" w:rsidR="00695555" w:rsidRPr="00FB60E5" w:rsidRDefault="005D3B63" w:rsidP="005D3B63">
      <w:pPr>
        <w:pStyle w:val="Heading5"/>
      </w:pPr>
      <w:r>
        <w:t>More one-to-one counselling</w:t>
      </w:r>
    </w:p>
    <w:p w14:paraId="1488DD78" w14:textId="77777777" w:rsidR="002C27A8" w:rsidRDefault="00695555" w:rsidP="00FB60E5">
      <w:pPr>
        <w:ind w:left="0"/>
      </w:pPr>
      <w:r w:rsidRPr="00FB60E5">
        <w:t>Several participants expressed dissatisfaction with the lack of one-to-one counselling available during residential care. Whilst recognising the benefits of group counselling such as learning from peers and sharing experiences, they felt that their personal needs were not sufficiently met in this format. Often they had anticipated that individual counselling would be part of the treatment and those that did receive some felt more</w:t>
      </w:r>
      <w:r w:rsidR="00243A06" w:rsidRPr="00FB60E5">
        <w:t xml:space="preserve"> counselling</w:t>
      </w:r>
      <w:r w:rsidRPr="00FB60E5">
        <w:t xml:space="preserve"> would have been beneficial</w:t>
      </w:r>
      <w:r w:rsidR="002C27A8">
        <w:t>.</w:t>
      </w:r>
    </w:p>
    <w:p w14:paraId="38A465C3" w14:textId="29F0C380" w:rsidR="00695555" w:rsidRPr="00FB60E5" w:rsidRDefault="00695555" w:rsidP="005D3B63">
      <w:pPr>
        <w:pStyle w:val="Heading5"/>
      </w:pPr>
      <w:r w:rsidRPr="00FB60E5">
        <w:t>Identify and be trained to manage multiple needs</w:t>
      </w:r>
    </w:p>
    <w:p w14:paraId="0E999D81" w14:textId="77777777" w:rsidR="002C27A8" w:rsidRDefault="00695555" w:rsidP="00FB60E5">
      <w:pPr>
        <w:ind w:left="0"/>
      </w:pPr>
      <w:r w:rsidRPr="00FB60E5">
        <w:t xml:space="preserve">Some participants expressed concern that their multiple issues were not adequately understood or managed by treatment staff, and that staff packaged this as a concern </w:t>
      </w:r>
      <w:r w:rsidR="003C2544" w:rsidRPr="00FB60E5">
        <w:t xml:space="preserve">in terms of the </w:t>
      </w:r>
      <w:r w:rsidRPr="00FB60E5">
        <w:t>impact the client’s behaviour may have o</w:t>
      </w:r>
      <w:r w:rsidR="006D29AE" w:rsidRPr="00FB60E5">
        <w:t>n other</w:t>
      </w:r>
      <w:r w:rsidRPr="00FB60E5">
        <w:t>s. Participants suggested an improved understanding of why people misuse substances, of mental health problems, and the interconnectedness of mental health and drug and alcohol use is required, and clinicians who are trained in mental health and AOD</w:t>
      </w:r>
      <w:r w:rsidR="002C27A8">
        <w:t>.</w:t>
      </w:r>
    </w:p>
    <w:p w14:paraId="38A465C5" w14:textId="0196BB3C" w:rsidR="00695555" w:rsidRPr="00FB60E5" w:rsidRDefault="00695555" w:rsidP="005D3B63">
      <w:pPr>
        <w:pStyle w:val="Heading5"/>
      </w:pPr>
      <w:r w:rsidRPr="00FB60E5">
        <w:t>Adopt a holistic approach to recovery</w:t>
      </w:r>
    </w:p>
    <w:p w14:paraId="40F71F59" w14:textId="77777777" w:rsidR="002C27A8" w:rsidRDefault="00243A06" w:rsidP="00FB60E5">
      <w:pPr>
        <w:ind w:left="0"/>
      </w:pPr>
      <w:r w:rsidRPr="00FB60E5">
        <w:t xml:space="preserve">The need to adopt a </w:t>
      </w:r>
      <w:r w:rsidR="00695555" w:rsidRPr="00FB60E5">
        <w:t>holistic approach to treatment and recovery is important. Whilst few participants discussed this explicitly, some identified that care pathways need to include a</w:t>
      </w:r>
      <w:r w:rsidRPr="00FB60E5">
        <w:t xml:space="preserve"> </w:t>
      </w:r>
      <w:r w:rsidR="00695555" w:rsidRPr="00FB60E5">
        <w:lastRenderedPageBreak/>
        <w:t>holistic approach, ensuring that AOD treatment occurs simultaneously with support in addressing their other needs, for example, mental health. One participant felt that this would facilitate increased quality and sustainability of recovery</w:t>
      </w:r>
      <w:r w:rsidR="002C27A8">
        <w:t>.</w:t>
      </w:r>
    </w:p>
    <w:p w14:paraId="38A465C7" w14:textId="0DC7B1A8" w:rsidR="00695555" w:rsidRPr="00FB60E5" w:rsidRDefault="00695555" w:rsidP="005D3B63">
      <w:pPr>
        <w:pStyle w:val="Heading5"/>
      </w:pPr>
      <w:r w:rsidRPr="00FB60E5">
        <w:t>Improve inter-agency communication about participant care plans and history</w:t>
      </w:r>
    </w:p>
    <w:p w14:paraId="38A465C8" w14:textId="6C706357" w:rsidR="00695555" w:rsidRPr="00FB60E5" w:rsidRDefault="00695555" w:rsidP="00FB60E5">
      <w:pPr>
        <w:ind w:left="0"/>
      </w:pPr>
      <w:r w:rsidRPr="00FB60E5">
        <w:t>Central to the notion of a holistic approach to care and recovery is that of clear communication and links between the various areas of assistance the participant may need.</w:t>
      </w:r>
      <w:r w:rsidR="002C27A8">
        <w:t xml:space="preserve"> </w:t>
      </w:r>
      <w:r w:rsidRPr="00FB60E5">
        <w:t>Some participants felt that the process of referral was sound; however, in reality, agencies did not communicate well enough (or at all) about participant needs, experience</w:t>
      </w:r>
      <w:r w:rsidR="003C2544" w:rsidRPr="00FB60E5">
        <w:t xml:space="preserve">s and treatment effectiveness. </w:t>
      </w:r>
      <w:r w:rsidRPr="00FB60E5">
        <w:t>Frustration was expressed at the lack of a central database/system that shared client information to facilitate greater understanding of a</w:t>
      </w:r>
      <w:r w:rsidR="003C2544" w:rsidRPr="00FB60E5">
        <w:t xml:space="preserve">n individual’s </w:t>
      </w:r>
      <w:r w:rsidRPr="00FB60E5">
        <w:t>personal and treatment history.</w:t>
      </w:r>
    </w:p>
    <w:p w14:paraId="38A465C9" w14:textId="4B5196B0" w:rsidR="00695555" w:rsidRPr="00FB60E5" w:rsidRDefault="00695555" w:rsidP="005D3B63">
      <w:pPr>
        <w:pStyle w:val="Quote"/>
      </w:pPr>
      <w:r w:rsidRPr="00FB60E5">
        <w:t>Yes, they do talk, if you let them talk to each about what's happening with you.</w:t>
      </w:r>
      <w:r w:rsidR="002C27A8">
        <w:t xml:space="preserve"> </w:t>
      </w:r>
      <w:r w:rsidRPr="00FB60E5">
        <w:t>But yeah, maybe there needs to be a care plan or a case management thing so that when this person comes in they go, we've tried this, try this, maybe we can go here (Interviewee 9).</w:t>
      </w:r>
    </w:p>
    <w:p w14:paraId="38A465CA" w14:textId="3B3415D3" w:rsidR="00695555" w:rsidRPr="00FB60E5" w:rsidRDefault="00695555" w:rsidP="005D3B63">
      <w:pPr>
        <w:pStyle w:val="Quote"/>
      </w:pPr>
      <w:r w:rsidRPr="00FB60E5">
        <w:t xml:space="preserve">So that is, a crisis happens, it's like, okay, so this is - maybe this is what she's done before, she's gone to </w:t>
      </w:r>
      <w:r w:rsidR="00B96F07" w:rsidRPr="00FB60E5">
        <w:t>[AOD service E]</w:t>
      </w:r>
      <w:r w:rsidRPr="00FB60E5">
        <w:t>, she's detoxed, she's been off alcohol for so many months.</w:t>
      </w:r>
      <w:r w:rsidR="002C27A8">
        <w:t xml:space="preserve"> </w:t>
      </w:r>
      <w:r w:rsidRPr="00FB60E5">
        <w:t>This crisis has happened again, how can we help her this time?</w:t>
      </w:r>
      <w:r w:rsidR="002C27A8">
        <w:t xml:space="preserve"> </w:t>
      </w:r>
      <w:r w:rsidRPr="00FB60E5">
        <w:t>This worked, and that didn’t work (Interviewee 41).</w:t>
      </w:r>
    </w:p>
    <w:p w14:paraId="38A465CB" w14:textId="77777777" w:rsidR="00695555" w:rsidRPr="00FB60E5" w:rsidRDefault="00695555" w:rsidP="00AA03DA">
      <w:pPr>
        <w:pStyle w:val="Heading5"/>
      </w:pPr>
      <w:r w:rsidRPr="00FB60E5">
        <w:t>Improve communication with clients about their planned care</w:t>
      </w:r>
    </w:p>
    <w:p w14:paraId="59F0C317" w14:textId="77777777" w:rsidR="002C27A8" w:rsidRDefault="00695555" w:rsidP="00FB60E5">
      <w:pPr>
        <w:ind w:left="0"/>
      </w:pPr>
      <w:r w:rsidRPr="00FB60E5">
        <w:t>In keeping with this perceived lack of communication across agencies, some participants felt that there was a lack of transparency and communication with clients about their planned care, especially where that care involved multiple agencies, departments or clinicians</w:t>
      </w:r>
      <w:r w:rsidR="002C27A8">
        <w:t>.</w:t>
      </w:r>
    </w:p>
    <w:p w14:paraId="38A465CF" w14:textId="7E240FE7" w:rsidR="003C21FE" w:rsidRPr="00FB60E5" w:rsidRDefault="00695555" w:rsidP="005D3B63">
      <w:pPr>
        <w:pStyle w:val="Quote"/>
      </w:pPr>
      <w:r w:rsidRPr="00FB60E5">
        <w:t>Yes, as a client I would like to learn an overall picture, all these different departments doing their best.</w:t>
      </w:r>
      <w:r w:rsidR="002C27A8">
        <w:t xml:space="preserve"> </w:t>
      </w:r>
      <w:r w:rsidRPr="00FB60E5">
        <w:t xml:space="preserve">I would actually like to learn an overall, whereas at the moment </w:t>
      </w:r>
      <w:proofErr w:type="gramStart"/>
      <w:r w:rsidRPr="00FB60E5">
        <w:t>it's</w:t>
      </w:r>
      <w:proofErr w:type="gramEnd"/>
      <w:r w:rsidRPr="00FB60E5">
        <w:t xml:space="preserve"> like this person's got that and that person's got</w:t>
      </w:r>
      <w:r w:rsidR="00A83DA9" w:rsidRPr="00FB60E5">
        <w:t xml:space="preserve"> that, blah, blah, blah, blah. </w:t>
      </w:r>
      <w:r w:rsidRPr="00FB60E5">
        <w:t>It's all segmented (Interviewee 17).</w:t>
      </w:r>
    </w:p>
    <w:p w14:paraId="38A465D0" w14:textId="77777777" w:rsidR="00EF5EE7" w:rsidRPr="00FB60E5" w:rsidRDefault="005C7C60" w:rsidP="00882917">
      <w:pPr>
        <w:pStyle w:val="Heading1"/>
        <w:numPr>
          <w:ilvl w:val="0"/>
          <w:numId w:val="9"/>
        </w:numPr>
      </w:pPr>
      <w:bookmarkStart w:id="194" w:name="_Toc398105052"/>
      <w:bookmarkStart w:id="195" w:name="_Toc531696251"/>
      <w:r w:rsidRPr="00FB60E5">
        <w:lastRenderedPageBreak/>
        <w:t>Patient Pathways Priority 2a: Data linkage</w:t>
      </w:r>
      <w:bookmarkEnd w:id="194"/>
      <w:bookmarkEnd w:id="195"/>
    </w:p>
    <w:p w14:paraId="38A465D1" w14:textId="36467C84" w:rsidR="005C7C60" w:rsidRPr="00FB60E5" w:rsidRDefault="005C7C60" w:rsidP="00882917">
      <w:pPr>
        <w:pStyle w:val="Heading2"/>
        <w:numPr>
          <w:ilvl w:val="1"/>
          <w:numId w:val="9"/>
        </w:numPr>
      </w:pPr>
      <w:bookmarkStart w:id="196" w:name="_Toc398105053"/>
      <w:bookmarkStart w:id="197" w:name="_Toc531696252"/>
      <w:r w:rsidRPr="00FB60E5">
        <w:t>Introduction</w:t>
      </w:r>
      <w:bookmarkEnd w:id="196"/>
      <w:bookmarkEnd w:id="197"/>
    </w:p>
    <w:p w14:paraId="6B806B64" w14:textId="77777777" w:rsidR="002C27A8" w:rsidRDefault="005C7C60" w:rsidP="00FB60E5">
      <w:pPr>
        <w:ind w:left="0"/>
      </w:pPr>
      <w:r w:rsidRPr="00FB60E5">
        <w:t>This chapter focuses on the Victorian data linkage component of the Patient Pathways Project, which involved linking Victorian alcohol and drug treatment service data, emergency department presentations data and hospital admitted episodes data across three years</w:t>
      </w:r>
      <w:r w:rsidR="002C27A8">
        <w:t>.</w:t>
      </w:r>
    </w:p>
    <w:p w14:paraId="38A465D3" w14:textId="1DAF5C9B" w:rsidR="005C7C60" w:rsidRPr="00FB60E5" w:rsidRDefault="005C7C60" w:rsidP="00FB60E5">
      <w:pPr>
        <w:ind w:left="0"/>
      </w:pPr>
      <w:r w:rsidRPr="00FB60E5">
        <w:t>The aim of the data linkage component was to provide evidence on people’s engagement with medical and clinical services</w:t>
      </w:r>
      <w:r w:rsidR="006D1FD5" w:rsidRPr="00FB60E5">
        <w:t xml:space="preserve"> prior to and following engagement with specialist AOD treatment, </w:t>
      </w:r>
      <w:r w:rsidRPr="00FB60E5">
        <w:t>and to obtain a better understanding of service utilisation by clients</w:t>
      </w:r>
      <w:r w:rsidR="006D1FD5" w:rsidRPr="00FB60E5">
        <w:t xml:space="preserve"> prior to, during and following</w:t>
      </w:r>
      <w:r w:rsidRPr="00FB60E5">
        <w:t xml:space="preserve"> AOD </w:t>
      </w:r>
      <w:r w:rsidR="006D1FD5" w:rsidRPr="00FB60E5">
        <w:t>treatment engagement</w:t>
      </w:r>
      <w:r w:rsidRPr="00FB60E5">
        <w:t>. The objectives are threefold.</w:t>
      </w:r>
    </w:p>
    <w:p w14:paraId="01C99867" w14:textId="77777777" w:rsidR="002C27A8" w:rsidRPr="005D3B63" w:rsidRDefault="005C7C60" w:rsidP="00882917">
      <w:pPr>
        <w:pStyle w:val="ListParagraph"/>
        <w:numPr>
          <w:ilvl w:val="0"/>
          <w:numId w:val="21"/>
        </w:numPr>
      </w:pPr>
      <w:r w:rsidRPr="005D3B63">
        <w:t xml:space="preserve">To describe client characteristics, the proportion of clients that presented at hospital emergency departments, and the proportion of clients </w:t>
      </w:r>
      <w:proofErr w:type="gramStart"/>
      <w:r w:rsidRPr="005D3B63">
        <w:t>that become</w:t>
      </w:r>
      <w:proofErr w:type="gramEnd"/>
      <w:r w:rsidRPr="005D3B63">
        <w:t xml:space="preserve"> hospital inpatients</w:t>
      </w:r>
      <w:r w:rsidR="002C27A8" w:rsidRPr="005D3B63">
        <w:t>.</w:t>
      </w:r>
    </w:p>
    <w:p w14:paraId="38A465D5" w14:textId="298F840C" w:rsidR="005C7C60" w:rsidRPr="005D3B63" w:rsidRDefault="005C7C60" w:rsidP="00882917">
      <w:pPr>
        <w:pStyle w:val="ListParagraph"/>
        <w:numPr>
          <w:ilvl w:val="0"/>
          <w:numId w:val="21"/>
        </w:numPr>
      </w:pPr>
      <w:r w:rsidRPr="005D3B63">
        <w:t xml:space="preserve">To compare the health service utilisation by variables such as severity of problem, patient demographics, and </w:t>
      </w:r>
      <w:r w:rsidR="00EF61D6" w:rsidRPr="005D3B63">
        <w:t>AOD specialist</w:t>
      </w:r>
      <w:r w:rsidRPr="005D3B63">
        <w:t xml:space="preserve"> service use.</w:t>
      </w:r>
    </w:p>
    <w:p w14:paraId="3F33FEC7" w14:textId="77777777" w:rsidR="002C27A8" w:rsidRDefault="005C7C60" w:rsidP="00882917">
      <w:pPr>
        <w:pStyle w:val="ListParagraph"/>
        <w:numPr>
          <w:ilvl w:val="0"/>
          <w:numId w:val="21"/>
        </w:numPr>
      </w:pPr>
      <w:r w:rsidRPr="005D3B63">
        <w:t>To c</w:t>
      </w:r>
      <w:r w:rsidRPr="00FB60E5">
        <w:t>ompare the health service utilisation between two jurisdictions in Australia</w:t>
      </w:r>
      <w:r w:rsidR="002C27A8">
        <w:t>.</w:t>
      </w:r>
    </w:p>
    <w:p w14:paraId="7A9777A0" w14:textId="77777777" w:rsidR="002C27A8" w:rsidRDefault="00805034" w:rsidP="00FB60E5">
      <w:pPr>
        <w:ind w:left="0"/>
      </w:pPr>
      <w:r w:rsidRPr="00FB60E5">
        <w:t>The third objective was not achievable as WA data could not be accessed. An alternative was considered using Queensland data, however timely access was not possible. As an alternative to presenting data for an additional jurisdiction, analyses ha</w:t>
      </w:r>
      <w:r w:rsidR="00410E52" w:rsidRPr="00FB60E5">
        <w:t>ve</w:t>
      </w:r>
      <w:r w:rsidRPr="00FB60E5">
        <w:t xml:space="preserve"> been undertaken examining characteristics and patterns of ED and hospital utilisation for four subpopulations with risk factors for elevated rates of harm – </w:t>
      </w:r>
      <w:r w:rsidR="00410E52" w:rsidRPr="00FB60E5">
        <w:t>(</w:t>
      </w:r>
      <w:proofErr w:type="spellStart"/>
      <w:r w:rsidR="00410E52" w:rsidRPr="00FB60E5">
        <w:t>i</w:t>
      </w:r>
      <w:proofErr w:type="spellEnd"/>
      <w:r w:rsidR="00410E52" w:rsidRPr="00FB60E5">
        <w:t xml:space="preserve">) </w:t>
      </w:r>
      <w:r w:rsidRPr="00FB60E5">
        <w:t xml:space="preserve">AOD clients engaging in </w:t>
      </w:r>
      <w:proofErr w:type="spellStart"/>
      <w:r w:rsidRPr="00FB60E5">
        <w:t>polydrug</w:t>
      </w:r>
      <w:proofErr w:type="spellEnd"/>
      <w:r w:rsidRPr="00FB60E5">
        <w:t xml:space="preserve"> use on entry into treatment, </w:t>
      </w:r>
      <w:r w:rsidR="00410E52" w:rsidRPr="00FB60E5">
        <w:t xml:space="preserve">(ii) </w:t>
      </w:r>
      <w:r w:rsidRPr="00FB60E5">
        <w:t xml:space="preserve">AOD clients who had recently engaged in injecting drug use on entry into treatment, </w:t>
      </w:r>
      <w:r w:rsidR="00410E52" w:rsidRPr="00FB60E5">
        <w:t xml:space="preserve">(iii) </w:t>
      </w:r>
      <w:r w:rsidRPr="00FB60E5">
        <w:t xml:space="preserve">AOD clients who were homeless on entry into treatment and </w:t>
      </w:r>
      <w:r w:rsidR="00410E52" w:rsidRPr="00FB60E5">
        <w:t xml:space="preserve">(iv) </w:t>
      </w:r>
      <w:r w:rsidRPr="00FB60E5">
        <w:t>forensic clients. These results provide important information regarding outcomes and service utilisation for high risk populations, and are provided in the linkage supplementary report</w:t>
      </w:r>
      <w:r w:rsidR="002C27A8">
        <w:t>.</w:t>
      </w:r>
    </w:p>
    <w:p w14:paraId="38A465D8" w14:textId="63F9A0B7" w:rsidR="005C7C60" w:rsidRPr="00FB60E5" w:rsidRDefault="005C7C60" w:rsidP="00882917">
      <w:pPr>
        <w:pStyle w:val="Heading2"/>
        <w:numPr>
          <w:ilvl w:val="1"/>
          <w:numId w:val="9"/>
        </w:numPr>
      </w:pPr>
      <w:bookmarkStart w:id="198" w:name="_Toc350884496"/>
      <w:bookmarkStart w:id="199" w:name="_Toc387244617"/>
      <w:bookmarkStart w:id="200" w:name="_Toc398105054"/>
      <w:bookmarkStart w:id="201" w:name="_Toc531696253"/>
      <w:r w:rsidRPr="00FB60E5">
        <w:t>Method</w:t>
      </w:r>
      <w:bookmarkStart w:id="202" w:name="OLE_LINK1"/>
      <w:bookmarkStart w:id="203" w:name="OLE_LINK2"/>
      <w:bookmarkEnd w:id="198"/>
      <w:bookmarkEnd w:id="199"/>
      <w:bookmarkEnd w:id="200"/>
      <w:bookmarkEnd w:id="201"/>
    </w:p>
    <w:p w14:paraId="38A465D9" w14:textId="77777777" w:rsidR="005C7C60" w:rsidRPr="00FB60E5" w:rsidRDefault="005C7C60" w:rsidP="00FB60E5">
      <w:pPr>
        <w:ind w:left="0"/>
      </w:pPr>
      <w:r w:rsidRPr="00FB60E5">
        <w:t>Th</w:t>
      </w:r>
      <w:bookmarkEnd w:id="202"/>
      <w:bookmarkEnd w:id="203"/>
      <w:r w:rsidRPr="00FB60E5">
        <w:t xml:space="preserve">e use of administrative datasets provides cost-effective population level data for analysis of health, disease, treatment and service utilisation. Extending this use to record or data linkage in health research improves data utility. While Victorian AOD treatment, ED and hospitalisation datasets are available, data linkage has not </w:t>
      </w:r>
      <w:r w:rsidR="00E86E6C" w:rsidRPr="00FB60E5">
        <w:t xml:space="preserve">been </w:t>
      </w:r>
      <w:r w:rsidRPr="00FB60E5">
        <w:t xml:space="preserve">used </w:t>
      </w:r>
      <w:r w:rsidR="00E86E6C" w:rsidRPr="00FB60E5">
        <w:t xml:space="preserve">to date </w:t>
      </w:r>
      <w:r w:rsidRPr="00FB60E5">
        <w:t xml:space="preserve">to explore health service utilisation by Victorian AOD treatment clients. </w:t>
      </w:r>
      <w:r w:rsidR="006D1FD5" w:rsidRPr="00FB60E5">
        <w:t>Data are presented examining patterns and characteristics of ED presentations and hospital admissions across three years – the year prior to AOD treatment engagement (2009/10), the year of AOD treatment engagement (2010/11) and the year following AOD treatment engagement (2011/12) – in order to determine change following treatment for AOD clients at a whole-of-population level.</w:t>
      </w:r>
    </w:p>
    <w:p w14:paraId="38A465DA" w14:textId="77777777" w:rsidR="005C7C60" w:rsidRPr="00FB60E5" w:rsidRDefault="005C7C60" w:rsidP="005D3B63">
      <w:pPr>
        <w:pStyle w:val="Heading3"/>
      </w:pPr>
      <w:bookmarkStart w:id="204" w:name="_Toc387244618"/>
      <w:r w:rsidRPr="00FB60E5">
        <w:t>Data sources</w:t>
      </w:r>
      <w:bookmarkEnd w:id="204"/>
    </w:p>
    <w:p w14:paraId="38A465DB" w14:textId="32005EEE" w:rsidR="00CA7A60" w:rsidRPr="00FB60E5" w:rsidRDefault="005D3B63" w:rsidP="00FB60E5">
      <w:pPr>
        <w:ind w:left="0"/>
      </w:pPr>
      <w:r>
        <w:t>Three data sources are used:</w:t>
      </w:r>
    </w:p>
    <w:p w14:paraId="38A465DC" w14:textId="32116371" w:rsidR="00CA7A60" w:rsidRPr="00FB60E5" w:rsidRDefault="009A63CC" w:rsidP="00882917">
      <w:pPr>
        <w:pStyle w:val="ListParagraph"/>
        <w:numPr>
          <w:ilvl w:val="0"/>
          <w:numId w:val="22"/>
        </w:numPr>
      </w:pPr>
      <w:hyperlink w:anchor="_Victorian_Alcohol_and" w:history="1">
        <w:r w:rsidR="00CA7A60" w:rsidRPr="005D0750">
          <w:rPr>
            <w:rStyle w:val="Hyperlink"/>
          </w:rPr>
          <w:t xml:space="preserve">Victorian Alcohol and </w:t>
        </w:r>
        <w:r w:rsidR="009D5847" w:rsidRPr="005D0750">
          <w:rPr>
            <w:rStyle w:val="Hyperlink"/>
          </w:rPr>
          <w:t>Drug Information System (ADIS)</w:t>
        </w:r>
      </w:hyperlink>
      <w:r w:rsidR="009D5847">
        <w:t>,</w:t>
      </w:r>
    </w:p>
    <w:p w14:paraId="38A465DD" w14:textId="6B07E5E7" w:rsidR="00CA7A60" w:rsidRPr="00FB60E5" w:rsidRDefault="009A63CC" w:rsidP="00882917">
      <w:pPr>
        <w:pStyle w:val="ListParagraph"/>
        <w:numPr>
          <w:ilvl w:val="0"/>
          <w:numId w:val="22"/>
        </w:numPr>
      </w:pPr>
      <w:hyperlink w:anchor="_Victorian_Emergency_Minimum" w:history="1">
        <w:r w:rsidR="00CA7A60" w:rsidRPr="005D0750">
          <w:rPr>
            <w:rStyle w:val="Hyperlink"/>
          </w:rPr>
          <w:t>Victorian Emerge</w:t>
        </w:r>
        <w:r w:rsidR="009D5847" w:rsidRPr="005D0750">
          <w:rPr>
            <w:rStyle w:val="Hyperlink"/>
          </w:rPr>
          <w:t>ncy Minimum Dataset (VEMD)</w:t>
        </w:r>
      </w:hyperlink>
      <w:r w:rsidR="009D5847">
        <w:t>, and</w:t>
      </w:r>
    </w:p>
    <w:p w14:paraId="38A465DE" w14:textId="00FB82C1" w:rsidR="00CA7A60" w:rsidRPr="00FB60E5" w:rsidRDefault="009A63CC" w:rsidP="00882917">
      <w:pPr>
        <w:pStyle w:val="ListParagraph"/>
        <w:numPr>
          <w:ilvl w:val="0"/>
          <w:numId w:val="22"/>
        </w:numPr>
      </w:pPr>
      <w:hyperlink w:anchor="_Victorian_Admitted_Episodes" w:history="1">
        <w:r w:rsidR="00CA7A60" w:rsidRPr="005D0750">
          <w:rPr>
            <w:rStyle w:val="Hyperlink"/>
          </w:rPr>
          <w:t>Victorian Ad</w:t>
        </w:r>
        <w:bookmarkStart w:id="205" w:name="_Toc385863938"/>
        <w:r w:rsidR="00CA7A60" w:rsidRPr="005D0750">
          <w:rPr>
            <w:rStyle w:val="Hyperlink"/>
          </w:rPr>
          <w:t>mitted Episodes Dataset (VAED)</w:t>
        </w:r>
      </w:hyperlink>
      <w:r w:rsidR="00CA7A60" w:rsidRPr="00FB60E5">
        <w:t>.</w:t>
      </w:r>
    </w:p>
    <w:p w14:paraId="38A465DF" w14:textId="285F8C22" w:rsidR="00CA7A60" w:rsidRPr="00FB60E5" w:rsidRDefault="00CA7A60" w:rsidP="005D3B63">
      <w:pPr>
        <w:pStyle w:val="Heading4"/>
      </w:pPr>
      <w:bookmarkStart w:id="206" w:name="_Victorian_Alcohol_and"/>
      <w:bookmarkEnd w:id="206"/>
      <w:r w:rsidRPr="00FB60E5">
        <w:lastRenderedPageBreak/>
        <w:t>Victorian Alcohol and Drug Information System (ADIS)</w:t>
      </w:r>
      <w:bookmarkEnd w:id="205"/>
    </w:p>
    <w:p w14:paraId="38A465E0" w14:textId="77777777" w:rsidR="00CA7A60" w:rsidRPr="00FB60E5" w:rsidRDefault="00E86E6C" w:rsidP="00FB60E5">
      <w:pPr>
        <w:ind w:left="0"/>
      </w:pPr>
      <w:r w:rsidRPr="00FB60E5">
        <w:t xml:space="preserve">The Victorian Department of </w:t>
      </w:r>
      <w:r w:rsidR="00430F99" w:rsidRPr="00FB60E5">
        <w:t>Health</w:t>
      </w:r>
      <w:r w:rsidR="00CA7A60" w:rsidRPr="00FB60E5">
        <w:t xml:space="preserve"> funds community-based agencies to provide specialist alcohol and drug treatment services across the state. The collection of client information is a mandatory requirement, and data is collated in ADIS. The ADIS database is a register of </w:t>
      </w:r>
      <w:r w:rsidRPr="00FB60E5">
        <w:t xml:space="preserve">client-level data from </w:t>
      </w:r>
      <w:r w:rsidR="00CA7A60" w:rsidRPr="00FB60E5">
        <w:t>government-funded, specialist AOD treatment services in Victoria. In this report, we present data from ADIS clients with a course of treatment start date between 1 July 2010 and 30 June 2011</w:t>
      </w:r>
      <w:r w:rsidR="00FA4534" w:rsidRPr="00FB60E5">
        <w:t xml:space="preserve"> (index year)</w:t>
      </w:r>
      <w:r w:rsidR="00CA7A60" w:rsidRPr="00FB60E5">
        <w:t>. A course of treatment is defined as the period of contact within defined dates of commencement and cessation between a client and a treatment provider or team of providers. Consequently any one client may have undertaken multiple courses of treatment in a given year, or across multiple years.</w:t>
      </w:r>
    </w:p>
    <w:p w14:paraId="38A465E1" w14:textId="4738BF71" w:rsidR="00CA7A60" w:rsidRPr="00FB60E5" w:rsidRDefault="00CA7A60" w:rsidP="005D3B63">
      <w:pPr>
        <w:pStyle w:val="Heading4"/>
      </w:pPr>
      <w:bookmarkStart w:id="207" w:name="_Victorian_Emergency_Minimum"/>
      <w:bookmarkStart w:id="208" w:name="_Toc385863939"/>
      <w:bookmarkEnd w:id="207"/>
      <w:r w:rsidRPr="00FB60E5">
        <w:t>Victorian Emergency Minimum Dataset (VEMD)</w:t>
      </w:r>
      <w:bookmarkEnd w:id="208"/>
    </w:p>
    <w:p w14:paraId="38A465E2" w14:textId="77777777" w:rsidR="00CA7A60" w:rsidRPr="00FB60E5" w:rsidRDefault="00CA7A60" w:rsidP="00FB60E5">
      <w:pPr>
        <w:ind w:left="0"/>
      </w:pPr>
      <w:r w:rsidRPr="00FB60E5">
        <w:t xml:space="preserve">VEMD contains demographic, administrative and clinical data detailing all presentations to Victorian public hospitals with </w:t>
      </w:r>
      <w:r w:rsidR="00E86E6C" w:rsidRPr="00FB60E5">
        <w:t xml:space="preserve">a </w:t>
      </w:r>
      <w:r w:rsidRPr="00FB60E5">
        <w:t xml:space="preserve">24-hour </w:t>
      </w:r>
      <w:r w:rsidR="00FF21E3" w:rsidRPr="00FB60E5">
        <w:t>Emergency Department (</w:t>
      </w:r>
      <w:r w:rsidRPr="00FB60E5">
        <w:t>ED</w:t>
      </w:r>
      <w:r w:rsidR="00FF21E3" w:rsidRPr="00FB60E5">
        <w:t>)</w:t>
      </w:r>
      <w:r w:rsidRPr="00FB60E5">
        <w:t xml:space="preserve">. </w:t>
      </w:r>
      <w:bookmarkStart w:id="209" w:name="OLE_LINK63"/>
      <w:bookmarkStart w:id="210" w:name="OLE_LINK64"/>
      <w:r w:rsidRPr="00FB60E5">
        <w:t xml:space="preserve">VEMD data were </w:t>
      </w:r>
      <w:bookmarkStart w:id="211" w:name="OLE_LINK61"/>
      <w:bookmarkStart w:id="212" w:name="OLE_LINK62"/>
      <w:r w:rsidRPr="00FB60E5">
        <w:t xml:space="preserve">included from 01 July 2009 through to 30 June 2012. </w:t>
      </w:r>
      <w:bookmarkEnd w:id="209"/>
      <w:bookmarkEnd w:id="210"/>
      <w:bookmarkEnd w:id="211"/>
      <w:bookmarkEnd w:id="212"/>
      <w:r w:rsidRPr="00FB60E5">
        <w:t>The VEMD contains a range of information regarding each presentation. This includes three fields for International Classification of Disease-10 (ICD-10) diagnoses and a series of data items relating to injury surveillance. There are around 1.4 million VEMD presentations per annum for all diagnoses.</w:t>
      </w:r>
    </w:p>
    <w:p w14:paraId="38A465E3" w14:textId="77777777" w:rsidR="00CA7A60" w:rsidRPr="00FB60E5" w:rsidRDefault="00CA7A60" w:rsidP="005D3B63">
      <w:pPr>
        <w:pStyle w:val="Heading4"/>
      </w:pPr>
      <w:bookmarkStart w:id="213" w:name="_Victorian_Admitted_Episodes"/>
      <w:bookmarkStart w:id="214" w:name="_Toc385863940"/>
      <w:bookmarkEnd w:id="213"/>
      <w:r w:rsidRPr="00FB60E5">
        <w:t>Victorian Admitted Episodes Dataset (VAED)</w:t>
      </w:r>
      <w:bookmarkEnd w:id="214"/>
    </w:p>
    <w:p w14:paraId="38A465E4" w14:textId="77777777" w:rsidR="00CA7A60" w:rsidRPr="00FB60E5" w:rsidRDefault="00CA7A60" w:rsidP="00FB60E5">
      <w:pPr>
        <w:ind w:left="0"/>
      </w:pPr>
      <w:r w:rsidRPr="00FB60E5">
        <w:t>Hospitalisations were obtained from the Victorian Admitted Episodes Dataset (VAED), a database maintained by the Victorian DH. VAED records all acute hospital statistical separations</w:t>
      </w:r>
      <w:r w:rsidR="00FF21E3" w:rsidRPr="00FB60E5">
        <w:t xml:space="preserve"> (i.e. inpatient treatment episodes)</w:t>
      </w:r>
      <w:r w:rsidRPr="00FB60E5">
        <w:t xml:space="preserve"> in Victoria, and includes information on causes of admission (ICD-10 coding), age and sex. Statistical separations include admissions to different parts of the hospital (e.g. ICU discharge to general ward admissions). Separations are used as a proxy measure for hospitalisations. The term ‘acute hospitals’ refers to public, private and denominational hospitals, acute rehabilitation and extended care (sub-acute) facilities, day procedure centres and designated acute psychiatric units in public hospitals. Residential care (nursing homes), hostels, supported residential services and state managed psychiatric institutions are not included in the VAED. VAED data was included from 01 July 2009 through to 30 June 2012. There are around 2.1 million VAED separations per annum.</w:t>
      </w:r>
    </w:p>
    <w:p w14:paraId="38A465E5" w14:textId="77777777" w:rsidR="00CA7A60" w:rsidRPr="00FB60E5" w:rsidRDefault="00CA7A60" w:rsidP="005D3B63">
      <w:pPr>
        <w:pStyle w:val="Heading3"/>
      </w:pPr>
      <w:r w:rsidRPr="00FB60E5">
        <w:t>Measures</w:t>
      </w:r>
    </w:p>
    <w:p w14:paraId="38A465E6" w14:textId="2D9F54EC" w:rsidR="00CA7A60" w:rsidRPr="00FB60E5" w:rsidRDefault="00CA7A60" w:rsidP="00FB60E5">
      <w:pPr>
        <w:ind w:left="0"/>
      </w:pPr>
      <w:r w:rsidRPr="00FB60E5">
        <w:t xml:space="preserve">The datasets included client’s encrypted identifier, demographics (e.g. gender, age groups, country of birth, and indigenous status), socioeconomic variables (e.g. employment status, living arrangement), AOD treatment variables (e.g. treatment type, primary drug of concern), admission, and diagnostic variables for ED and hospital admissions (e.g. ICD-10 code for </w:t>
      </w:r>
      <w:r w:rsidR="006D1FD5" w:rsidRPr="00FB60E5">
        <w:t>principal</w:t>
      </w:r>
      <w:r w:rsidRPr="00FB60E5">
        <w:t xml:space="preserve"> diagnosis) (see Appendix </w:t>
      </w:r>
      <w:r w:rsidR="00430F99" w:rsidRPr="00FB60E5">
        <w:t xml:space="preserve">3.1 </w:t>
      </w:r>
      <w:r w:rsidRPr="00FB60E5">
        <w:t>for detailed information o</w:t>
      </w:r>
      <w:r w:rsidR="005D3B63">
        <w:t>f measures used in the report.)</w:t>
      </w:r>
    </w:p>
    <w:p w14:paraId="38A465E8" w14:textId="77777777" w:rsidR="00CA7A60" w:rsidRPr="00FB60E5" w:rsidRDefault="00CA7A60" w:rsidP="005D3B63">
      <w:pPr>
        <w:pStyle w:val="Heading3"/>
      </w:pPr>
      <w:r w:rsidRPr="00FB60E5">
        <w:t>Data Linkage Manipulation and Analysis</w:t>
      </w:r>
    </w:p>
    <w:p w14:paraId="38A465E9" w14:textId="620D2A0A" w:rsidR="00CA7A60" w:rsidRPr="00FB60E5" w:rsidRDefault="005D3B63" w:rsidP="005D3B63">
      <w:pPr>
        <w:pStyle w:val="Heading4"/>
      </w:pPr>
      <w:r>
        <w:t>Data linkage</w:t>
      </w:r>
    </w:p>
    <w:p w14:paraId="2CC295C6" w14:textId="77777777" w:rsidR="002C27A8" w:rsidRDefault="00CA7A60" w:rsidP="00FB60E5">
      <w:pPr>
        <w:ind w:left="0"/>
      </w:pPr>
      <w:r w:rsidRPr="00FB60E5">
        <w:t>The linkage of the three selected datasets (ADIS, VEMD, and VAED) involved a series of processes designed to maximise the number of cases linked, but minimise the risk of incorrectly linked unrelated cases across the service settings included</w:t>
      </w:r>
      <w:r w:rsidR="002C27A8">
        <w:t>.</w:t>
      </w:r>
    </w:p>
    <w:p w14:paraId="3D016973" w14:textId="77777777" w:rsidR="002C27A8" w:rsidRDefault="00CA7A60" w:rsidP="00FB60E5">
      <w:pPr>
        <w:ind w:left="0"/>
      </w:pPr>
      <w:r w:rsidRPr="00FB60E5">
        <w:t xml:space="preserve">The Victorian Data Linkages (VDL) at Department of Health (DH) linked all three datasets (of which the DH is the data custodians). Linkage involved a probabilistic and deterministic </w:t>
      </w:r>
      <w:r w:rsidRPr="00FB60E5">
        <w:lastRenderedPageBreak/>
        <w:t>matching, in a two-step process at VDL. First, the VEMD and VAED datasets underwent data cleaning via probabilistic matching, where multiple ED presentations or hospitalisations were identified for a single client. Second, deterministic matching was used to link ADIS to VEMD and VAED</w:t>
      </w:r>
      <w:r w:rsidR="002C27A8">
        <w:t>.</w:t>
      </w:r>
    </w:p>
    <w:p w14:paraId="38A465EC" w14:textId="75F3EA14" w:rsidR="00CA7A60" w:rsidRPr="00FB60E5" w:rsidRDefault="00CA7A60" w:rsidP="00FB60E5">
      <w:pPr>
        <w:ind w:left="0"/>
      </w:pPr>
      <w:r w:rsidRPr="00FB60E5">
        <w:t xml:space="preserve">A statistical linkage key (SLK) was created based on aspects of family name, given name, date of birth and gender, with </w:t>
      </w:r>
      <w:r w:rsidR="00FF21E3" w:rsidRPr="00FB60E5">
        <w:t xml:space="preserve">actual </w:t>
      </w:r>
      <w:r w:rsidRPr="00FB60E5">
        <w:t>names and dates of birth omitted. VDL provided ADIS, VAED and VEMD records data files and SLK files separately to Turning Point via an online secure data exchange facility. VDL provided datasets were linked by Tur</w:t>
      </w:r>
      <w:r w:rsidR="009D5847">
        <w:t>ning Point staff in two stages:</w:t>
      </w:r>
    </w:p>
    <w:p w14:paraId="38A465ED" w14:textId="77777777" w:rsidR="00CA7A60" w:rsidRPr="00FB60E5" w:rsidRDefault="00CA7A60" w:rsidP="00882917">
      <w:pPr>
        <w:pStyle w:val="ListParagraph"/>
        <w:numPr>
          <w:ilvl w:val="0"/>
          <w:numId w:val="23"/>
        </w:numPr>
      </w:pPr>
      <w:r w:rsidRPr="00FB60E5">
        <w:t xml:space="preserve">Records datasets were linked with SLK files. </w:t>
      </w:r>
      <w:r w:rsidR="00FF21E3" w:rsidRPr="00FB60E5">
        <w:t xml:space="preserve">The </w:t>
      </w:r>
      <w:r w:rsidRPr="00FB60E5">
        <w:t xml:space="preserve">ADIS dataset was linked with </w:t>
      </w:r>
      <w:r w:rsidR="00FF21E3" w:rsidRPr="00FB60E5">
        <w:t xml:space="preserve">the </w:t>
      </w:r>
      <w:r w:rsidRPr="00FB60E5">
        <w:t xml:space="preserve">ADIS SLK file using ADIS outlet ID and ADIS episode ID. </w:t>
      </w:r>
      <w:r w:rsidR="00FF21E3" w:rsidRPr="00FB60E5">
        <w:t xml:space="preserve">The </w:t>
      </w:r>
      <w:r w:rsidRPr="00FB60E5">
        <w:t xml:space="preserve">VAED dataset was linked with </w:t>
      </w:r>
      <w:r w:rsidR="00FF21E3" w:rsidRPr="00FB60E5">
        <w:t xml:space="preserve">the </w:t>
      </w:r>
      <w:r w:rsidRPr="00FB60E5">
        <w:t xml:space="preserve">VAED SLK file using VAED ID. </w:t>
      </w:r>
      <w:r w:rsidR="00FF21E3" w:rsidRPr="00FB60E5">
        <w:t xml:space="preserve">The </w:t>
      </w:r>
      <w:r w:rsidRPr="00FB60E5">
        <w:t xml:space="preserve">VEMD dataset was linked with </w:t>
      </w:r>
      <w:r w:rsidR="00FF21E3" w:rsidRPr="00FB60E5">
        <w:t xml:space="preserve">the </w:t>
      </w:r>
      <w:r w:rsidRPr="00FB60E5">
        <w:t>VEMD SLK file using VEMD ID</w:t>
      </w:r>
    </w:p>
    <w:p w14:paraId="38A465EE" w14:textId="17045F39" w:rsidR="00CA7A60" w:rsidRPr="00FB60E5" w:rsidRDefault="00FF21E3" w:rsidP="00882917">
      <w:pPr>
        <w:pStyle w:val="ListParagraph"/>
        <w:numPr>
          <w:ilvl w:val="0"/>
          <w:numId w:val="23"/>
        </w:numPr>
      </w:pPr>
      <w:r w:rsidRPr="00FB60E5">
        <w:t xml:space="preserve">The </w:t>
      </w:r>
      <w:r w:rsidR="00CA7A60" w:rsidRPr="00FB60E5">
        <w:t>ADIS dataset was linked with VAED and VEMD separately u</w:t>
      </w:r>
      <w:r w:rsidR="009D5847">
        <w:t>sing SLK</w:t>
      </w:r>
    </w:p>
    <w:p w14:paraId="38A465EF" w14:textId="77777777" w:rsidR="00CA7A60" w:rsidRPr="00FB60E5" w:rsidRDefault="00CA7A60" w:rsidP="005D3B63">
      <w:pPr>
        <w:pStyle w:val="Heading4"/>
      </w:pPr>
      <w:r w:rsidRPr="00FB60E5">
        <w:t>Data cleaning</w:t>
      </w:r>
    </w:p>
    <w:p w14:paraId="38A465F0" w14:textId="77777777" w:rsidR="00CA7A60" w:rsidRPr="00FB60E5" w:rsidRDefault="00CA7A60" w:rsidP="00FB60E5">
      <w:pPr>
        <w:ind w:left="0"/>
      </w:pPr>
      <w:r w:rsidRPr="00FB60E5">
        <w:t>The research team at Turning Point undertook extensive data cleaning and preparation of ADIS, VEMD, and VAED datasets.</w:t>
      </w:r>
    </w:p>
    <w:p w14:paraId="274F6275" w14:textId="77777777" w:rsidR="002C27A8" w:rsidRDefault="00CA7A60" w:rsidP="00FB60E5">
      <w:pPr>
        <w:ind w:left="0"/>
      </w:pPr>
      <w:r w:rsidRPr="00FB60E5">
        <w:t>Al</w:t>
      </w:r>
      <w:r w:rsidR="00FA4534" w:rsidRPr="00FB60E5">
        <w:t>l</w:t>
      </w:r>
      <w:r w:rsidRPr="00FB60E5">
        <w:t xml:space="preserve"> data files received from VDL were first cleaned for missing values and </w:t>
      </w:r>
      <w:proofErr w:type="spellStart"/>
      <w:r w:rsidRPr="00FB60E5">
        <w:t>mis</w:t>
      </w:r>
      <w:proofErr w:type="spellEnd"/>
      <w:r w:rsidRPr="00FB60E5">
        <w:t>-coding (e.g. treatment start date was after treatment termination day). Then all data files were checked whether the record ID</w:t>
      </w:r>
      <w:r w:rsidR="00FF21E3" w:rsidRPr="00FB60E5">
        <w:t>s</w:t>
      </w:r>
      <w:r w:rsidRPr="00FB60E5">
        <w:t xml:space="preserve"> were </w:t>
      </w:r>
      <w:r w:rsidR="00FF21E3" w:rsidRPr="00FB60E5">
        <w:t xml:space="preserve">all </w:t>
      </w:r>
      <w:r w:rsidRPr="00FB60E5">
        <w:t>unique identifiers (ADIS outlet ID, ADIS episode ID, VAED ID and VEMD ID). Records with duplicate record ID</w:t>
      </w:r>
      <w:r w:rsidR="00FF21E3" w:rsidRPr="00FB60E5">
        <w:t>s</w:t>
      </w:r>
      <w:r w:rsidRPr="00FB60E5">
        <w:t xml:space="preserve"> were removed to ensure correct links of record data files with SLK files. After record data files were linked to SLK files, we were able to identify multiple records from one client</w:t>
      </w:r>
      <w:r w:rsidR="002C27A8">
        <w:t>.</w:t>
      </w:r>
    </w:p>
    <w:p w14:paraId="38A465F2" w14:textId="2CA3E9DC" w:rsidR="00CA7A60" w:rsidRPr="00FB60E5" w:rsidRDefault="00CA7A60" w:rsidP="00FB60E5">
      <w:pPr>
        <w:ind w:left="0"/>
      </w:pPr>
      <w:r w:rsidRPr="00FB60E5">
        <w:t xml:space="preserve">Data were then </w:t>
      </w:r>
      <w:r w:rsidR="00FF21E3" w:rsidRPr="00FB60E5">
        <w:t>checked</w:t>
      </w:r>
      <w:r w:rsidRPr="00FB60E5">
        <w:t xml:space="preserve"> for un-matched gender and age group</w:t>
      </w:r>
      <w:r w:rsidR="00FF21E3" w:rsidRPr="00FB60E5">
        <w:t xml:space="preserve"> codes</w:t>
      </w:r>
      <w:r w:rsidRPr="00FB60E5">
        <w:t xml:space="preserve"> for individual clients</w:t>
      </w:r>
      <w:r w:rsidR="00FF21E3" w:rsidRPr="00FB60E5">
        <w:t>,</w:t>
      </w:r>
      <w:r w:rsidRPr="00FB60E5">
        <w:t xml:space="preserve"> to reduce possible mismatched cases introduced by probabilistic matching. Consistent age and gender for patients were first checked in the ADIS dataset, including different genders, jump of client’s age groups in three years (e.g. client’s age group changed from 5-9 years old in 09/10 to 15-19 years old in 10/11) or client’s age in a year was older than the year after. Client records with mismatched age and gender were deleted in ADIS. The ADIS dataset was then linked with both VAED and VEMD using the SLK, and was used as a reference dataset for cleaning mismatched records in VAED and VEMD data (inconsistent gender and age group from multiple records of the same client). Patient characteristics, treatment types and drug use variables in ADIS dataset </w:t>
      </w:r>
      <w:r w:rsidR="00FF21E3" w:rsidRPr="00FB60E5">
        <w:t>were</w:t>
      </w:r>
      <w:r w:rsidRPr="00FB60E5">
        <w:t xml:space="preserve"> also re-grouped to reduce reporting groups contain numbers less than five (see Appendix </w:t>
      </w:r>
      <w:r w:rsidR="006E5906" w:rsidRPr="00FB60E5">
        <w:t>3.1).</w:t>
      </w:r>
    </w:p>
    <w:p w14:paraId="38A465F3" w14:textId="77777777" w:rsidR="00CA7A60" w:rsidRPr="00FB60E5" w:rsidRDefault="00CA7A60" w:rsidP="005D3B63">
      <w:pPr>
        <w:pStyle w:val="Heading4"/>
      </w:pPr>
      <w:bookmarkStart w:id="215" w:name="OLE_LINK6"/>
      <w:bookmarkStart w:id="216" w:name="OLE_LINK7"/>
      <w:bookmarkStart w:id="217" w:name="OLE_LINK8"/>
      <w:bookmarkStart w:id="218" w:name="OLE_LINK9"/>
      <w:r w:rsidRPr="00FB60E5">
        <w:t>Data analysis</w:t>
      </w:r>
    </w:p>
    <w:p w14:paraId="2E98BBE7" w14:textId="77777777" w:rsidR="002C27A8" w:rsidRDefault="00CA7A60" w:rsidP="00FB60E5">
      <w:pPr>
        <w:ind w:left="0"/>
      </w:pPr>
      <w:r w:rsidRPr="00FB60E5">
        <w:t xml:space="preserve">STATA 12 was used to conduct descriptive analysis. Chi square tests and associated p values were used to measure independence between variables. A categorical variable was created for each AOD client indicating whether the client had no ED presentation, presentation in a given year only (09/10, 10/11, 11/12) or </w:t>
      </w:r>
      <w:r w:rsidR="00FF21E3" w:rsidRPr="00FB60E5">
        <w:t xml:space="preserve">in </w:t>
      </w:r>
      <w:r w:rsidRPr="00FB60E5">
        <w:t>multiple years. Client sociodemographic, treatment type and drug using characteristics were compared against the created variable to indicate possible client subpopulations engaging with higher emergency services use. Number and percentage of AOD clients with ED presentations, median frequency of ED visit</w:t>
      </w:r>
      <w:r w:rsidR="00FF21E3" w:rsidRPr="00FB60E5">
        <w:t>s</w:t>
      </w:r>
      <w:r w:rsidRPr="00FB60E5">
        <w:t xml:space="preserve">, </w:t>
      </w:r>
      <w:proofErr w:type="gramStart"/>
      <w:r w:rsidRPr="00FB60E5">
        <w:t>median</w:t>
      </w:r>
      <w:proofErr w:type="gramEnd"/>
      <w:r w:rsidRPr="00FB60E5">
        <w:t xml:space="preserve"> length of stay in ED in each of three years were also described by client sociodemographic, treatment type and drug using characteristics. The same method is adopted for hospital admissions</w:t>
      </w:r>
      <w:r w:rsidR="002C27A8">
        <w:t>.</w:t>
      </w:r>
    </w:p>
    <w:p w14:paraId="38A465F5" w14:textId="5E5FF7C3" w:rsidR="00CA7A60" w:rsidRPr="00FB60E5" w:rsidRDefault="00CA7A60" w:rsidP="00FB60E5">
      <w:pPr>
        <w:ind w:left="0"/>
      </w:pPr>
      <w:r w:rsidRPr="00FB60E5">
        <w:lastRenderedPageBreak/>
        <w:t xml:space="preserve">Each ED presentation /hospital admission was categorized to alcohol-related acute conditions, other drugs-related acute conditions, alcohol-related chronic conditions and non-AOD-related conditions according to </w:t>
      </w:r>
      <w:r w:rsidR="00FF21E3" w:rsidRPr="00FB60E5">
        <w:t xml:space="preserve">the </w:t>
      </w:r>
      <w:r w:rsidRPr="00FB60E5">
        <w:t>ICD-10 code for principal diagnosis (</w:t>
      </w:r>
      <w:proofErr w:type="gramStart"/>
      <w:r w:rsidRPr="00FB60E5">
        <w:t xml:space="preserve">see </w:t>
      </w:r>
      <w:r w:rsidR="00381191" w:rsidRPr="00FB60E5">
        <w:fldChar w:fldCharType="begin"/>
      </w:r>
      <w:proofErr w:type="gramEnd"/>
      <w:r w:rsidR="00381191" w:rsidRPr="00FB60E5">
        <w:instrText xml:space="preserve"> REF _Ref387229638 \h  \* MERGEFORMAT </w:instrText>
      </w:r>
      <w:r w:rsidR="00381191" w:rsidRPr="00FB60E5">
        <w:fldChar w:fldCharType="separate"/>
      </w:r>
      <w:r w:rsidR="00552239">
        <w:fldChar w:fldCharType="begin"/>
      </w:r>
      <w:r w:rsidR="00552239">
        <w:instrText xml:space="preserve"> REF _Ref531624632 \h </w:instrText>
      </w:r>
      <w:r w:rsidR="00552239">
        <w:fldChar w:fldCharType="separate"/>
      </w:r>
      <w:r w:rsidR="00552239">
        <w:t xml:space="preserve">Table </w:t>
      </w:r>
      <w:r w:rsidR="00552239">
        <w:rPr>
          <w:noProof/>
        </w:rPr>
        <w:t>4</w:t>
      </w:r>
      <w:r w:rsidR="00552239">
        <w:t>.</w:t>
      </w:r>
      <w:r w:rsidR="00552239">
        <w:rPr>
          <w:noProof/>
        </w:rPr>
        <w:t>1</w:t>
      </w:r>
      <w:r w:rsidR="00552239">
        <w:fldChar w:fldCharType="end"/>
      </w:r>
      <w:r w:rsidR="00E150CA" w:rsidRPr="00FB60E5">
        <w:t xml:space="preserve"> </w:t>
      </w:r>
      <w:r w:rsidR="00381191" w:rsidRPr="00FB60E5">
        <w:fldChar w:fldCharType="end"/>
      </w:r>
      <w:r w:rsidR="006D29AE" w:rsidRPr="00FB60E5">
        <w:t xml:space="preserve">). </w:t>
      </w:r>
      <w:r w:rsidRPr="00FB60E5">
        <w:t xml:space="preserve">ED presentations with injury causes and hospital admissions with injury ICD-10 codes in other primary diagnoses (see </w:t>
      </w:r>
      <w:r w:rsidR="001B3CBD">
        <w:fldChar w:fldCharType="begin"/>
      </w:r>
      <w:r w:rsidR="001B3CBD">
        <w:instrText xml:space="preserve"> REF _Ref387229638 \h </w:instrText>
      </w:r>
      <w:r w:rsidR="001B3CBD">
        <w:fldChar w:fldCharType="separate"/>
      </w:r>
      <w:r w:rsidR="001B3CBD">
        <w:t xml:space="preserve">Table </w:t>
      </w:r>
      <w:r w:rsidR="001B3CBD">
        <w:rPr>
          <w:noProof/>
        </w:rPr>
        <w:t>4</w:t>
      </w:r>
      <w:r w:rsidR="001B3CBD">
        <w:t>.</w:t>
      </w:r>
      <w:r w:rsidR="001B3CBD">
        <w:rPr>
          <w:noProof/>
        </w:rPr>
        <w:t>1</w:t>
      </w:r>
      <w:r w:rsidR="001B3CBD">
        <w:fldChar w:fldCharType="end"/>
      </w:r>
      <w:r w:rsidRPr="00FB60E5">
        <w:t>) were categorized as injuries. Numbers and proportions of AOD client alcohol-related acute, other drugs-related acute, injuries alcohol-related, or chronic conditions and non-AOD-related ED presentations and hospital admissions in a given year were compared among clients with different treatment characteristics and primary drug of concern.</w:t>
      </w:r>
    </w:p>
    <w:p w14:paraId="38A465F6" w14:textId="51C8BA1B" w:rsidR="00CA7A60" w:rsidRPr="00FB60E5" w:rsidRDefault="00552239" w:rsidP="00552239">
      <w:pPr>
        <w:pStyle w:val="Caption"/>
      </w:pPr>
      <w:bookmarkStart w:id="219" w:name="_Ref387229638"/>
      <w:bookmarkStart w:id="220" w:name="_Ref531624632"/>
      <w:bookmarkStart w:id="221" w:name="_Toc387244625"/>
      <w:bookmarkStart w:id="222" w:name="_Toc531625798"/>
      <w:proofErr w:type="gramStart"/>
      <w:r>
        <w:t xml:space="preserve">Table </w:t>
      </w:r>
      <w:r>
        <w:fldChar w:fldCharType="begin"/>
      </w:r>
      <w:r>
        <w:instrText xml:space="preserve"> STYLEREF 1 \s </w:instrText>
      </w:r>
      <w:r>
        <w:fldChar w:fldCharType="separate"/>
      </w:r>
      <w:r>
        <w:rPr>
          <w:noProof/>
        </w:rPr>
        <w:t>4</w:t>
      </w:r>
      <w:r>
        <w:fldChar w:fldCharType="end"/>
      </w:r>
      <w:r>
        <w:t>.</w:t>
      </w:r>
      <w:proofErr w:type="gramEnd"/>
      <w:r>
        <w:fldChar w:fldCharType="begin"/>
      </w:r>
      <w:r>
        <w:instrText xml:space="preserve"> SEQ Table \* ARABIC \s 1 </w:instrText>
      </w:r>
      <w:r>
        <w:fldChar w:fldCharType="separate"/>
      </w:r>
      <w:r>
        <w:rPr>
          <w:noProof/>
        </w:rPr>
        <w:t>1</w:t>
      </w:r>
      <w:r>
        <w:fldChar w:fldCharType="end"/>
      </w:r>
      <w:bookmarkEnd w:id="219"/>
      <w:bookmarkEnd w:id="220"/>
      <w:r w:rsidR="002C27A8">
        <w:t xml:space="preserve"> </w:t>
      </w:r>
      <w:r w:rsidR="00CA7A60" w:rsidRPr="00FB60E5">
        <w:t>Definition of disease categories for emergency department and</w:t>
      </w:r>
      <w:bookmarkEnd w:id="221"/>
      <w:r w:rsidR="00CA7A60" w:rsidRPr="00FB60E5">
        <w:t xml:space="preserve"> hospital diagnoses</w:t>
      </w:r>
      <w:bookmarkEnd w:id="222"/>
    </w:p>
    <w:tbl>
      <w:tblPr>
        <w:tblStyle w:val="LightList-Accent1"/>
        <w:tblW w:w="5000" w:type="pct"/>
        <w:tblLook w:val="04A0" w:firstRow="1" w:lastRow="0" w:firstColumn="1" w:lastColumn="0" w:noHBand="0" w:noVBand="1"/>
        <w:tblCaption w:val="Table 4.1  Definition of disease categories for emergency department and hospital diagnoses"/>
        <w:tblDescription w:val="Table 4.1  Definition of disease categories for emergency department and hospital diagnoses"/>
      </w:tblPr>
      <w:tblGrid>
        <w:gridCol w:w="3268"/>
        <w:gridCol w:w="5974"/>
      </w:tblGrid>
      <w:tr w:rsidR="00CA7A60" w:rsidRPr="00FB60E5" w14:paraId="38A465F9" w14:textId="77777777" w:rsidTr="00DB03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68" w:type="pct"/>
          </w:tcPr>
          <w:p w14:paraId="38A465F7" w14:textId="77777777" w:rsidR="00CA7A60" w:rsidRPr="00FB60E5" w:rsidRDefault="00CA7A60" w:rsidP="005D3B63">
            <w:pPr>
              <w:pStyle w:val="TableHeading"/>
            </w:pPr>
            <w:r w:rsidRPr="00FB60E5">
              <w:t>Disease categories</w:t>
            </w:r>
          </w:p>
        </w:tc>
        <w:tc>
          <w:tcPr>
            <w:tcW w:w="3232" w:type="pct"/>
          </w:tcPr>
          <w:p w14:paraId="38A465F8" w14:textId="77777777" w:rsidR="00CA7A60" w:rsidRPr="00FB60E5" w:rsidRDefault="00CA7A60" w:rsidP="005D3B63">
            <w:pPr>
              <w:pStyle w:val="TableHeading"/>
              <w:cnfStyle w:val="100000000000" w:firstRow="1" w:lastRow="0" w:firstColumn="0" w:lastColumn="0" w:oddVBand="0" w:evenVBand="0" w:oddHBand="0" w:evenHBand="0" w:firstRowFirstColumn="0" w:firstRowLastColumn="0" w:lastRowFirstColumn="0" w:lastRowLastColumn="0"/>
            </w:pPr>
            <w:r w:rsidRPr="00FB60E5">
              <w:t>ICD-10</w:t>
            </w:r>
          </w:p>
        </w:tc>
      </w:tr>
      <w:tr w:rsidR="00CA7A60" w:rsidRPr="00FB60E5" w14:paraId="38A465FC" w14:textId="77777777" w:rsidTr="00DB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pct"/>
          </w:tcPr>
          <w:p w14:paraId="38A465FA" w14:textId="77777777" w:rsidR="00CA7A60" w:rsidRPr="009D5847" w:rsidRDefault="00CA7A60" w:rsidP="005D3B63">
            <w:pPr>
              <w:pStyle w:val="tabletext"/>
              <w:rPr>
                <w:b w:val="0"/>
              </w:rPr>
            </w:pPr>
            <w:r w:rsidRPr="009D5847">
              <w:rPr>
                <w:b w:val="0"/>
              </w:rPr>
              <w:t>Alcohol-related acute conditions</w:t>
            </w:r>
          </w:p>
        </w:tc>
        <w:tc>
          <w:tcPr>
            <w:tcW w:w="3232" w:type="pct"/>
          </w:tcPr>
          <w:p w14:paraId="38A465FB" w14:textId="77777777" w:rsidR="00CA7A60" w:rsidRPr="00FB60E5" w:rsidRDefault="00CA7A60" w:rsidP="005D3B63">
            <w:pPr>
              <w:pStyle w:val="tabletext"/>
              <w:cnfStyle w:val="000000100000" w:firstRow="0" w:lastRow="0" w:firstColumn="0" w:lastColumn="0" w:oddVBand="0" w:evenVBand="0" w:oddHBand="1" w:evenHBand="0" w:firstRowFirstColumn="0" w:firstRowLastColumn="0" w:lastRowFirstColumn="0" w:lastRowLastColumn="0"/>
            </w:pPr>
            <w:r w:rsidRPr="00FB60E5">
              <w:t>Mental and behavioural disorders due to use of alcohol [F10], toxic effect of alcohol [T51.0, T51.1, T51.8, T51.9]</w:t>
            </w:r>
          </w:p>
        </w:tc>
      </w:tr>
      <w:tr w:rsidR="00CA7A60" w:rsidRPr="00FB60E5" w14:paraId="38A465FF" w14:textId="77777777" w:rsidTr="00DB0399">
        <w:tc>
          <w:tcPr>
            <w:cnfStyle w:val="001000000000" w:firstRow="0" w:lastRow="0" w:firstColumn="1" w:lastColumn="0" w:oddVBand="0" w:evenVBand="0" w:oddHBand="0" w:evenHBand="0" w:firstRowFirstColumn="0" w:firstRowLastColumn="0" w:lastRowFirstColumn="0" w:lastRowLastColumn="0"/>
            <w:tcW w:w="1768" w:type="pct"/>
          </w:tcPr>
          <w:p w14:paraId="38A465FD" w14:textId="77777777" w:rsidR="00CA7A60" w:rsidRPr="009D5847" w:rsidRDefault="00CA7A60" w:rsidP="005D3B63">
            <w:pPr>
              <w:pStyle w:val="tabletext"/>
              <w:rPr>
                <w:b w:val="0"/>
              </w:rPr>
            </w:pPr>
            <w:r w:rsidRPr="009D5847">
              <w:rPr>
                <w:b w:val="0"/>
              </w:rPr>
              <w:t>Other drugs-related acute conditions</w:t>
            </w:r>
          </w:p>
        </w:tc>
        <w:tc>
          <w:tcPr>
            <w:tcW w:w="3232" w:type="pct"/>
          </w:tcPr>
          <w:p w14:paraId="38A465FE" w14:textId="49D3A000" w:rsidR="00CA7A60" w:rsidRPr="00FB60E5" w:rsidRDefault="00CA7A60" w:rsidP="005D3B63">
            <w:pPr>
              <w:pStyle w:val="tabletext"/>
              <w:cnfStyle w:val="000000000000" w:firstRow="0" w:lastRow="0" w:firstColumn="0" w:lastColumn="0" w:oddVBand="0" w:evenVBand="0" w:oddHBand="0" w:evenHBand="0" w:firstRowFirstColumn="0" w:firstRowLastColumn="0" w:lastRowFirstColumn="0" w:lastRowLastColumn="0"/>
            </w:pPr>
            <w:r w:rsidRPr="00FB60E5">
              <w:t>Mental and behavioural disorders due to use of</w:t>
            </w:r>
            <w:r w:rsidR="002C27A8">
              <w:t xml:space="preserve"> </w:t>
            </w:r>
            <w:r w:rsidRPr="00FB60E5">
              <w:t>other drugs [F11-F19], toxic effect of other drugs [T36-T50]</w:t>
            </w:r>
          </w:p>
        </w:tc>
      </w:tr>
      <w:tr w:rsidR="00CA7A60" w:rsidRPr="00FB60E5" w14:paraId="38A46602" w14:textId="77777777" w:rsidTr="00DB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pct"/>
          </w:tcPr>
          <w:p w14:paraId="38A46600" w14:textId="77777777" w:rsidR="00CA7A60" w:rsidRPr="009D5847" w:rsidRDefault="00CA7A60" w:rsidP="005D3B63">
            <w:pPr>
              <w:pStyle w:val="tabletext"/>
              <w:rPr>
                <w:b w:val="0"/>
              </w:rPr>
            </w:pPr>
            <w:r w:rsidRPr="009D5847">
              <w:rPr>
                <w:b w:val="0"/>
              </w:rPr>
              <w:t>Alcohol-related chronic conditions</w:t>
            </w:r>
          </w:p>
        </w:tc>
        <w:tc>
          <w:tcPr>
            <w:tcW w:w="3232" w:type="pct"/>
          </w:tcPr>
          <w:p w14:paraId="38A46601" w14:textId="77777777" w:rsidR="00CA7A60" w:rsidRPr="00FB60E5" w:rsidRDefault="00CA7A60" w:rsidP="005D3B63">
            <w:pPr>
              <w:pStyle w:val="tabletext"/>
              <w:cnfStyle w:val="000000100000" w:firstRow="0" w:lastRow="0" w:firstColumn="0" w:lastColumn="0" w:oddVBand="0" w:evenVBand="0" w:oddHBand="1" w:evenHBand="0" w:firstRowFirstColumn="0" w:firstRowLastColumn="0" w:lastRowFirstColumn="0" w:lastRowLastColumn="0"/>
            </w:pPr>
            <w:r w:rsidRPr="00FB60E5">
              <w:t>Breast cancer [C50], colon cancer [C18], larynx cancer [C32], Liver cancer [C22], oesophagus cancer [C15], oral cavity and pharynx cancer [C00-C14], rectum cancer [C19-21], alcohol cardiomyopathy [I42.6], cardiac arrhythmias [I47-I49], haemorrhagic stroke [I60-I62, I69.0, I69.1, I69.2], hypertensive disease [I10-I15], ischaemic heart disease [I20-I25], ischaemic stroke</w:t>
            </w:r>
            <w:r w:rsidRPr="00FB60E5">
              <w:tab/>
              <w:t>[I63-I67, I69.3], alcoholic gastritis [K29.2], liver Cirrhosis [K70, K73-K74], pancreatitis [K85, K86.0, K86.1], HIV [B20-B24], lower respiratory infections [J10-J22], tuberculosis [A15-A19, B90]</w:t>
            </w:r>
          </w:p>
        </w:tc>
      </w:tr>
      <w:tr w:rsidR="00CA7A60" w:rsidRPr="00FB60E5" w14:paraId="38A46605" w14:textId="77777777" w:rsidTr="00DB0399">
        <w:tc>
          <w:tcPr>
            <w:cnfStyle w:val="001000000000" w:firstRow="0" w:lastRow="0" w:firstColumn="1" w:lastColumn="0" w:oddVBand="0" w:evenVBand="0" w:oddHBand="0" w:evenHBand="0" w:firstRowFirstColumn="0" w:firstRowLastColumn="0" w:lastRowFirstColumn="0" w:lastRowLastColumn="0"/>
            <w:tcW w:w="1768" w:type="pct"/>
          </w:tcPr>
          <w:p w14:paraId="38A46603" w14:textId="77777777" w:rsidR="00CA7A60" w:rsidRPr="009D5847" w:rsidRDefault="00CA7A60" w:rsidP="005D3B63">
            <w:pPr>
              <w:pStyle w:val="tabletext"/>
              <w:rPr>
                <w:b w:val="0"/>
              </w:rPr>
            </w:pPr>
            <w:r w:rsidRPr="009D5847">
              <w:rPr>
                <w:b w:val="0"/>
              </w:rPr>
              <w:t>Injuries</w:t>
            </w:r>
          </w:p>
        </w:tc>
        <w:tc>
          <w:tcPr>
            <w:tcW w:w="3232" w:type="pct"/>
          </w:tcPr>
          <w:p w14:paraId="38A46604" w14:textId="6A8A67F5" w:rsidR="00CA7A60" w:rsidRPr="00FB60E5" w:rsidRDefault="00CA7A60" w:rsidP="005D3B63">
            <w:pPr>
              <w:pStyle w:val="tabletext"/>
              <w:cnfStyle w:val="000000000000" w:firstRow="0" w:lastRow="0" w:firstColumn="0" w:lastColumn="0" w:oddVBand="0" w:evenVBand="0" w:oddHBand="0" w:evenHBand="0" w:firstRowFirstColumn="0" w:firstRowLastColumn="0" w:lastRowFirstColumn="0" w:lastRowLastColumn="0"/>
            </w:pPr>
            <w:r w:rsidRPr="00FB60E5">
              <w:t>Transport accidents [V01-V99], falls[W00-W19], drowning [W65-W74], fires [X00-X09], poisonings [X40-X49,Y10-Y14,Y16-Y19], Self-inflected injuries [X60-X64, X66-X84, Y87.0], violence [X85-Y09,Y87.1],</w:t>
            </w:r>
            <w:r w:rsidR="002C27A8">
              <w:t xml:space="preserve"> </w:t>
            </w:r>
            <w:r w:rsidRPr="00FB60E5">
              <w:t xml:space="preserve">other unintentional injuries [W20-W64, W75-W99, X10-X39, X50-X59, Y40-Y86, Y88, and Y89], other intentional injury [Y35], other injures with unknown intent [Y20-Y34] (ICD-10 code for injuries is not included in VEMD data and injuries were extracted from injury cause) </w:t>
            </w:r>
          </w:p>
        </w:tc>
      </w:tr>
      <w:tr w:rsidR="00CA7A60" w:rsidRPr="00FB60E5" w14:paraId="38A46608" w14:textId="77777777" w:rsidTr="00DB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pct"/>
          </w:tcPr>
          <w:p w14:paraId="38A46606" w14:textId="77777777" w:rsidR="00CA7A60" w:rsidRPr="009D5847" w:rsidRDefault="00CA7A60" w:rsidP="005D3B63">
            <w:pPr>
              <w:pStyle w:val="tabletext"/>
              <w:rPr>
                <w:b w:val="0"/>
              </w:rPr>
            </w:pPr>
            <w:r w:rsidRPr="009D5847">
              <w:rPr>
                <w:b w:val="0"/>
              </w:rPr>
              <w:t>Non-AOD-related conditions</w:t>
            </w:r>
          </w:p>
        </w:tc>
        <w:tc>
          <w:tcPr>
            <w:tcW w:w="3232" w:type="pct"/>
          </w:tcPr>
          <w:p w14:paraId="38A46607" w14:textId="6E8570F1" w:rsidR="00CA7A60" w:rsidRPr="00FB60E5" w:rsidRDefault="00CA7A60" w:rsidP="005D3B63">
            <w:pPr>
              <w:pStyle w:val="tabletext"/>
              <w:cnfStyle w:val="000000100000" w:firstRow="0" w:lastRow="0" w:firstColumn="0" w:lastColumn="0" w:oddVBand="0" w:evenVBand="0" w:oddHBand="1" w:evenHBand="0" w:firstRowFirstColumn="0" w:firstRowLastColumn="0" w:lastRowFirstColumn="0" w:lastRowLastColumn="0"/>
            </w:pPr>
            <w:r w:rsidRPr="00FB60E5">
              <w:t>Othe</w:t>
            </w:r>
            <w:r w:rsidR="005D3B63">
              <w:t>r ICD-10 codes not listed above</w:t>
            </w:r>
          </w:p>
        </w:tc>
      </w:tr>
    </w:tbl>
    <w:p w14:paraId="38A4660B" w14:textId="7078EB71" w:rsidR="00CA7A60" w:rsidRPr="00FB60E5" w:rsidRDefault="00CA7A60" w:rsidP="00882917">
      <w:pPr>
        <w:pStyle w:val="Heading2"/>
        <w:numPr>
          <w:ilvl w:val="1"/>
          <w:numId w:val="9"/>
        </w:numPr>
      </w:pPr>
      <w:bookmarkStart w:id="223" w:name="_Toc387244619"/>
      <w:bookmarkStart w:id="224" w:name="_Toc398105055"/>
      <w:bookmarkStart w:id="225" w:name="_Toc531696254"/>
      <w:bookmarkEnd w:id="215"/>
      <w:bookmarkEnd w:id="216"/>
      <w:bookmarkEnd w:id="217"/>
      <w:bookmarkEnd w:id="218"/>
      <w:r w:rsidRPr="00FB60E5">
        <w:t>Results</w:t>
      </w:r>
      <w:bookmarkEnd w:id="223"/>
      <w:bookmarkEnd w:id="224"/>
      <w:bookmarkEnd w:id="225"/>
    </w:p>
    <w:p w14:paraId="38A4660C" w14:textId="77777777" w:rsidR="006D29AE" w:rsidRPr="00FB60E5" w:rsidRDefault="00CA7A60" w:rsidP="005D3B63">
      <w:pPr>
        <w:pStyle w:val="Heading3"/>
      </w:pPr>
      <w:r w:rsidRPr="00FB60E5">
        <w:t>Client characterstics and emergency department presentations</w:t>
      </w:r>
    </w:p>
    <w:p w14:paraId="4FACB9D9" w14:textId="77777777" w:rsidR="002C27A8" w:rsidRDefault="00BE3D19" w:rsidP="00FB60E5">
      <w:pPr>
        <w:ind w:left="0"/>
      </w:pPr>
      <w:r w:rsidRPr="00FB60E5">
        <w:fldChar w:fldCharType="begin"/>
      </w:r>
      <w:r w:rsidR="00CA7A60" w:rsidRPr="00FB60E5">
        <w:instrText xml:space="preserve"> REF _Ref345512122 \h </w:instrText>
      </w:r>
      <w:r w:rsidR="00FB60E5" w:rsidRPr="00FB60E5">
        <w:instrText xml:space="preserve"> \* MERGEFORMAT </w:instrText>
      </w:r>
      <w:r w:rsidRPr="00FB60E5">
        <w:fldChar w:fldCharType="separate"/>
      </w:r>
      <w:r w:rsidR="00E150CA" w:rsidRPr="00FB60E5">
        <w:t>Table 4.2</w:t>
      </w:r>
      <w:r w:rsidRPr="00FB60E5">
        <w:fldChar w:fldCharType="end"/>
      </w:r>
      <w:r w:rsidR="00CA7A60" w:rsidRPr="00FB60E5">
        <w:t xml:space="preserve"> shows the sociodemographic characteristics of AOD clients in 2010/11 (index year) and their ED engagement from 2009/10 to 2011/12. There were 25,229 AOD clients who started treatment in the index year. Over two-thirds (68%) were male, with the highest proportion of clients within the 25 to 34 year age group (29%). The majority of AOD clients were unemployed, living with family and residing in a private residence. Only half of the cohort resided in metropolitan Melbourne. While a minority of clients were either Aboriginal and/or Torres Strait Islander (7%), this is a higher proportion than the population distribution in Victoria</w:t>
      </w:r>
      <w:r w:rsidR="002C27A8">
        <w:t>.</w:t>
      </w:r>
    </w:p>
    <w:p w14:paraId="0F652D01" w14:textId="77777777" w:rsidR="002C27A8" w:rsidRDefault="00CA7A60" w:rsidP="00FB60E5">
      <w:pPr>
        <w:ind w:left="0"/>
      </w:pPr>
      <w:r w:rsidRPr="00FB60E5">
        <w:t>More than half (52%) of the AOD clients did not present to ED over the three years. However, almost one-quarter (23%) presented on multiple occasions over the three years. These patterns varied across sociodemographic groups. Of note, 26% of females had multiple ED presentations, while 2</w:t>
      </w:r>
      <w:r w:rsidR="00727B57" w:rsidRPr="00FB60E5">
        <w:t>2</w:t>
      </w:r>
      <w:r w:rsidRPr="00FB60E5">
        <w:t xml:space="preserve">% of males presented to ED on multiple occasions. The </w:t>
      </w:r>
      <w:r w:rsidR="00EF61D6" w:rsidRPr="00FB60E5">
        <w:lastRenderedPageBreak/>
        <w:t>un</w:t>
      </w:r>
      <w:r w:rsidRPr="00FB60E5">
        <w:t>employed had higher proportions of multiple ED presentations tha</w:t>
      </w:r>
      <w:r w:rsidR="00FF21E3" w:rsidRPr="00FB60E5">
        <w:t>n</w:t>
      </w:r>
      <w:r w:rsidRPr="00FB60E5">
        <w:t xml:space="preserve"> the employed. Those living alone had higher proportions of multiple ED presentations </w:t>
      </w:r>
      <w:r w:rsidR="00FA0968" w:rsidRPr="00FB60E5">
        <w:t>than</w:t>
      </w:r>
      <w:r w:rsidRPr="00FB60E5">
        <w:t xml:space="preserve"> those living with family or others. Being homeless was associated with higher proportions of multiple ED presentations, as was living in metropolitan Melbourne compared with the remainder of the state</w:t>
      </w:r>
      <w:r w:rsidR="002C27A8">
        <w:t>.</w:t>
      </w:r>
    </w:p>
    <w:p w14:paraId="25CD14AD" w14:textId="77777777" w:rsidR="002C27A8" w:rsidRDefault="00BE3D19" w:rsidP="00FB60E5">
      <w:pPr>
        <w:ind w:left="0"/>
      </w:pPr>
      <w:r w:rsidRPr="00FB60E5">
        <w:fldChar w:fldCharType="begin"/>
      </w:r>
      <w:r w:rsidR="00CA7A60" w:rsidRPr="00FB60E5">
        <w:instrText xml:space="preserve"> REF _Ref386792679 \h </w:instrText>
      </w:r>
      <w:r w:rsidR="00FB60E5" w:rsidRPr="00FB60E5">
        <w:instrText xml:space="preserve"> \* MERGEFORMAT </w:instrText>
      </w:r>
      <w:r w:rsidRPr="00FB60E5">
        <w:fldChar w:fldCharType="separate"/>
      </w:r>
      <w:r w:rsidR="00E150CA" w:rsidRPr="00FB60E5">
        <w:t>Table 4.3</w:t>
      </w:r>
      <w:r w:rsidRPr="00FB60E5">
        <w:fldChar w:fldCharType="end"/>
      </w:r>
      <w:r w:rsidR="00CA7A60" w:rsidRPr="00FB60E5">
        <w:t xml:space="preserve"> shows these same sociodemographic characteristics by ED presentation, and indicates changes pre- and post-treatment. In general, the proportions of pre-AOD treatment ED presentations (2009/10) were higher than the proportions of post-AOD treatment ED presentations (2011/12); this is true with respect to gender, age groups (with the exception of clients under 15 years), country of birth, Indigenous status, employment type (except ‘other’), living status, accommodation status (except for ‘in custody’), homeless status and region. Comparatively greater reductions in ED presentations were shown for AOD clients who were homeless than those with a home as well as for those with unstable accommodation than those living in a private residence</w:t>
      </w:r>
      <w:r w:rsidR="002C27A8">
        <w:t>.</w:t>
      </w:r>
    </w:p>
    <w:p w14:paraId="38A46610" w14:textId="509957E0" w:rsidR="00CA7A60" w:rsidRPr="00FB60E5" w:rsidRDefault="00CA7A60" w:rsidP="00FB60E5">
      <w:pPr>
        <w:ind w:left="0"/>
      </w:pPr>
    </w:p>
    <w:p w14:paraId="38A46611" w14:textId="77777777" w:rsidR="00CA7A60" w:rsidRPr="00FB60E5" w:rsidRDefault="00CA7A60" w:rsidP="00FB60E5">
      <w:pPr>
        <w:ind w:left="0"/>
        <w:sectPr w:rsidR="00CA7A60" w:rsidRPr="00FB60E5" w:rsidSect="00500201">
          <w:footerReference w:type="default" r:id="rId33"/>
          <w:pgSz w:w="11906" w:h="16838"/>
          <w:pgMar w:top="1440" w:right="1440" w:bottom="539" w:left="1440" w:header="708" w:footer="308" w:gutter="0"/>
          <w:pgNumType w:start="1"/>
          <w:cols w:space="708"/>
          <w:docGrid w:linePitch="360"/>
        </w:sectPr>
      </w:pPr>
    </w:p>
    <w:p w14:paraId="38A46612" w14:textId="09940446" w:rsidR="00CA7A60" w:rsidRPr="00FB60E5" w:rsidRDefault="00552239" w:rsidP="00552239">
      <w:pPr>
        <w:pStyle w:val="Caption"/>
      </w:pPr>
      <w:bookmarkStart w:id="226" w:name="_Ref345512122"/>
      <w:bookmarkStart w:id="227" w:name="_Ref386238734"/>
      <w:bookmarkStart w:id="228" w:name="_Toc387244626"/>
      <w:bookmarkStart w:id="229" w:name="_Toc531625799"/>
      <w:proofErr w:type="gramStart"/>
      <w:r>
        <w:lastRenderedPageBreak/>
        <w:t xml:space="preserve">Table </w:t>
      </w:r>
      <w:r>
        <w:fldChar w:fldCharType="begin"/>
      </w:r>
      <w:r>
        <w:instrText xml:space="preserve"> STYLEREF 1 \s </w:instrText>
      </w:r>
      <w:r>
        <w:fldChar w:fldCharType="separate"/>
      </w:r>
      <w:r>
        <w:rPr>
          <w:noProof/>
        </w:rPr>
        <w:t>4</w:t>
      </w:r>
      <w:r>
        <w:fldChar w:fldCharType="end"/>
      </w:r>
      <w:r>
        <w:t>.</w:t>
      </w:r>
      <w:proofErr w:type="gramEnd"/>
      <w:r>
        <w:fldChar w:fldCharType="begin"/>
      </w:r>
      <w:r>
        <w:instrText xml:space="preserve"> SEQ Table \* ARABIC \s 1 </w:instrText>
      </w:r>
      <w:r>
        <w:fldChar w:fldCharType="separate"/>
      </w:r>
      <w:r>
        <w:rPr>
          <w:noProof/>
        </w:rPr>
        <w:t>2</w:t>
      </w:r>
      <w:r>
        <w:fldChar w:fldCharType="end"/>
      </w:r>
      <w:bookmarkEnd w:id="226"/>
      <w:bookmarkEnd w:id="227"/>
      <w:r w:rsidR="002C27A8">
        <w:t xml:space="preserve"> </w:t>
      </w:r>
      <w:r w:rsidR="00CA7A60" w:rsidRPr="00FB60E5">
        <w:t>Sociodemographic characteristics by ED presentations, 2009/10 to 2011/12</w:t>
      </w:r>
      <w:bookmarkStart w:id="230" w:name="OLE_LINK14"/>
      <w:bookmarkStart w:id="231" w:name="OLE_LINK15"/>
      <w:bookmarkEnd w:id="228"/>
      <w:r w:rsidR="00FA0968" w:rsidRPr="00FB60E5">
        <w:t>, among those who were AOD clients in 2010/11</w:t>
      </w:r>
      <w:bookmarkEnd w:id="229"/>
    </w:p>
    <w:tbl>
      <w:tblPr>
        <w:tblStyle w:val="LightList-Accent1"/>
        <w:tblW w:w="5000" w:type="pct"/>
        <w:tblLook w:val="04A0" w:firstRow="1" w:lastRow="0" w:firstColumn="1" w:lastColumn="0" w:noHBand="0" w:noVBand="1"/>
        <w:tblDescription w:val="Table 4.2 is a list of the Sociodemographic characteristics by ED presentations, between 2009/10 to 2011/12 and among those who were AOD clients in 2010/11"/>
      </w:tblPr>
      <w:tblGrid>
        <w:gridCol w:w="5215"/>
        <w:gridCol w:w="1622"/>
        <w:gridCol w:w="1499"/>
        <w:gridCol w:w="1511"/>
        <w:gridCol w:w="1511"/>
        <w:gridCol w:w="1933"/>
        <w:gridCol w:w="883"/>
      </w:tblGrid>
      <w:tr w:rsidR="00CA7A60" w:rsidRPr="00FB60E5" w14:paraId="38A46615"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0" w:type="pct"/>
            <w:vMerge w:val="restart"/>
            <w:hideMark/>
          </w:tcPr>
          <w:p w14:paraId="38A46613" w14:textId="77777777" w:rsidR="00CA7A60" w:rsidRPr="00FB60E5" w:rsidRDefault="00CA7A60" w:rsidP="00FB60E5">
            <w:pPr>
              <w:ind w:left="0"/>
            </w:pPr>
            <w:r w:rsidRPr="00FB60E5">
              <w:t> </w:t>
            </w:r>
          </w:p>
        </w:tc>
        <w:tc>
          <w:tcPr>
            <w:tcW w:w="3160" w:type="pct"/>
            <w:gridSpan w:val="6"/>
            <w:noWrap/>
            <w:hideMark/>
          </w:tcPr>
          <w:p w14:paraId="38A46614" w14:textId="4019FD58"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Number of</w:t>
            </w:r>
            <w:r w:rsidR="002C27A8">
              <w:t xml:space="preserve"> </w:t>
            </w:r>
            <w:r w:rsidRPr="00FB60E5">
              <w:t xml:space="preserve">AOD clients </w:t>
            </w:r>
          </w:p>
        </w:tc>
      </w:tr>
      <w:tr w:rsidR="00CA7A60" w:rsidRPr="00FB60E5" w14:paraId="38A4661D"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0" w:type="pct"/>
            <w:vMerge/>
            <w:hideMark/>
          </w:tcPr>
          <w:p w14:paraId="38A46616" w14:textId="77777777" w:rsidR="00CA7A60" w:rsidRPr="00FB60E5" w:rsidRDefault="00CA7A60" w:rsidP="00FB60E5">
            <w:pPr>
              <w:ind w:left="0"/>
            </w:pPr>
          </w:p>
        </w:tc>
        <w:tc>
          <w:tcPr>
            <w:tcW w:w="572" w:type="pct"/>
            <w:hideMark/>
          </w:tcPr>
          <w:p w14:paraId="38A4661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No ED (%)</w:t>
            </w:r>
          </w:p>
        </w:tc>
        <w:tc>
          <w:tcPr>
            <w:tcW w:w="529" w:type="pct"/>
            <w:hideMark/>
          </w:tcPr>
          <w:p w14:paraId="38A4661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only (%)</w:t>
            </w:r>
          </w:p>
        </w:tc>
        <w:tc>
          <w:tcPr>
            <w:tcW w:w="533" w:type="pct"/>
            <w:hideMark/>
          </w:tcPr>
          <w:p w14:paraId="38A46619"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only (%)</w:t>
            </w:r>
          </w:p>
        </w:tc>
        <w:tc>
          <w:tcPr>
            <w:tcW w:w="533" w:type="pct"/>
            <w:hideMark/>
          </w:tcPr>
          <w:p w14:paraId="38A4661A"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only (%)</w:t>
            </w:r>
          </w:p>
        </w:tc>
        <w:tc>
          <w:tcPr>
            <w:tcW w:w="682" w:type="pct"/>
            <w:hideMark/>
          </w:tcPr>
          <w:p w14:paraId="38A4661B"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in multiple years (%)</w:t>
            </w:r>
          </w:p>
        </w:tc>
        <w:tc>
          <w:tcPr>
            <w:tcW w:w="311" w:type="pct"/>
            <w:hideMark/>
          </w:tcPr>
          <w:p w14:paraId="38A4661C"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p</w:t>
            </w:r>
          </w:p>
        </w:tc>
      </w:tr>
      <w:tr w:rsidR="00CA7A60" w:rsidRPr="00FB60E5" w14:paraId="38A4662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1E" w14:textId="77777777" w:rsidR="00CA7A60" w:rsidRPr="009D5847" w:rsidRDefault="00CA7A60" w:rsidP="00FB60E5">
            <w:pPr>
              <w:ind w:left="0"/>
              <w:rPr>
                <w:b w:val="0"/>
              </w:rPr>
            </w:pPr>
            <w:r w:rsidRPr="009D5847">
              <w:rPr>
                <w:b w:val="0"/>
              </w:rPr>
              <w:t>Total (n=25229)</w:t>
            </w:r>
          </w:p>
        </w:tc>
        <w:tc>
          <w:tcPr>
            <w:tcW w:w="572" w:type="pct"/>
            <w:noWrap/>
            <w:hideMark/>
          </w:tcPr>
          <w:p w14:paraId="38A466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13228 (52.4%)</w:t>
            </w:r>
          </w:p>
        </w:tc>
        <w:tc>
          <w:tcPr>
            <w:tcW w:w="529" w:type="pct"/>
            <w:noWrap/>
            <w:hideMark/>
          </w:tcPr>
          <w:p w14:paraId="38A466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2348 (9.3%)</w:t>
            </w:r>
          </w:p>
        </w:tc>
        <w:tc>
          <w:tcPr>
            <w:tcW w:w="533" w:type="pct"/>
            <w:noWrap/>
            <w:hideMark/>
          </w:tcPr>
          <w:p w14:paraId="38A4662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1958 (7.8%)</w:t>
            </w:r>
          </w:p>
        </w:tc>
        <w:tc>
          <w:tcPr>
            <w:tcW w:w="533" w:type="pct"/>
            <w:noWrap/>
            <w:hideMark/>
          </w:tcPr>
          <w:p w14:paraId="38A4662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1867 (7.4%)</w:t>
            </w:r>
          </w:p>
        </w:tc>
        <w:tc>
          <w:tcPr>
            <w:tcW w:w="682" w:type="pct"/>
            <w:noWrap/>
            <w:hideMark/>
          </w:tcPr>
          <w:p w14:paraId="38A4662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5828 (23.1%)</w:t>
            </w:r>
          </w:p>
        </w:tc>
        <w:tc>
          <w:tcPr>
            <w:tcW w:w="311" w:type="pct"/>
            <w:noWrap/>
            <w:hideMark/>
          </w:tcPr>
          <w:p w14:paraId="38A4662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 </w:t>
            </w:r>
          </w:p>
        </w:tc>
      </w:tr>
      <w:tr w:rsidR="00340424" w:rsidRPr="00FB60E5" w14:paraId="38A4662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62C" w14:textId="1CC2A66A" w:rsidR="00340424" w:rsidRPr="00340424" w:rsidRDefault="00340424" w:rsidP="00340424">
            <w:pPr>
              <w:ind w:left="0"/>
              <w:rPr>
                <w:b w:val="0"/>
                <w:bCs w:val="0"/>
              </w:rPr>
            </w:pPr>
            <w:r>
              <w:t>Gender</w:t>
            </w:r>
          </w:p>
        </w:tc>
      </w:tr>
      <w:tr w:rsidR="00CA7A60" w:rsidRPr="00FB60E5" w14:paraId="38A4663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2E" w14:textId="77777777" w:rsidR="00CA7A60" w:rsidRPr="009D5847" w:rsidRDefault="00CA7A60" w:rsidP="00FB60E5">
            <w:pPr>
              <w:ind w:left="0"/>
              <w:rPr>
                <w:b w:val="0"/>
              </w:rPr>
            </w:pPr>
            <w:r w:rsidRPr="009D5847">
              <w:rPr>
                <w:b w:val="0"/>
              </w:rPr>
              <w:t>Male (n=17198; 68.2%)</w:t>
            </w:r>
          </w:p>
        </w:tc>
        <w:tc>
          <w:tcPr>
            <w:tcW w:w="572" w:type="pct"/>
            <w:noWrap/>
            <w:hideMark/>
          </w:tcPr>
          <w:p w14:paraId="38A4662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9163 (53.3%)</w:t>
            </w:r>
          </w:p>
        </w:tc>
        <w:tc>
          <w:tcPr>
            <w:tcW w:w="529" w:type="pct"/>
            <w:noWrap/>
            <w:hideMark/>
          </w:tcPr>
          <w:p w14:paraId="38A4663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1662 (9.7%)</w:t>
            </w:r>
          </w:p>
        </w:tc>
        <w:tc>
          <w:tcPr>
            <w:tcW w:w="533" w:type="pct"/>
            <w:noWrap/>
            <w:hideMark/>
          </w:tcPr>
          <w:p w14:paraId="38A4663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1362 (7.9%)</w:t>
            </w:r>
          </w:p>
        </w:tc>
        <w:tc>
          <w:tcPr>
            <w:tcW w:w="533" w:type="pct"/>
            <w:noWrap/>
            <w:hideMark/>
          </w:tcPr>
          <w:p w14:paraId="38A4663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1293 (7.5%)</w:t>
            </w:r>
          </w:p>
        </w:tc>
        <w:tc>
          <w:tcPr>
            <w:tcW w:w="682" w:type="pct"/>
            <w:noWrap/>
            <w:hideMark/>
          </w:tcPr>
          <w:p w14:paraId="38A466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3718 (21.6%)</w:t>
            </w:r>
          </w:p>
        </w:tc>
        <w:tc>
          <w:tcPr>
            <w:tcW w:w="311" w:type="pct"/>
            <w:noWrap/>
            <w:hideMark/>
          </w:tcPr>
          <w:p w14:paraId="38A4663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FA4534" w:rsidRPr="00FB60E5" w14:paraId="38A4663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36" w14:textId="77777777" w:rsidR="00FA4534" w:rsidRPr="009D5847" w:rsidRDefault="00FA4534" w:rsidP="00FB60E5">
            <w:pPr>
              <w:ind w:left="0"/>
              <w:rPr>
                <w:b w:val="0"/>
              </w:rPr>
            </w:pPr>
            <w:r w:rsidRPr="009D5847">
              <w:rPr>
                <w:b w:val="0"/>
              </w:rPr>
              <w:t>Female (n=7982; 31.6%)</w:t>
            </w:r>
          </w:p>
        </w:tc>
        <w:tc>
          <w:tcPr>
            <w:tcW w:w="572" w:type="pct"/>
            <w:noWrap/>
            <w:hideMark/>
          </w:tcPr>
          <w:p w14:paraId="38A46637"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4016 (50.3%)</w:t>
            </w:r>
          </w:p>
        </w:tc>
        <w:tc>
          <w:tcPr>
            <w:tcW w:w="529" w:type="pct"/>
            <w:noWrap/>
            <w:hideMark/>
          </w:tcPr>
          <w:p w14:paraId="38A46638"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686 (8.6%)</w:t>
            </w:r>
          </w:p>
        </w:tc>
        <w:tc>
          <w:tcPr>
            <w:tcW w:w="533" w:type="pct"/>
            <w:noWrap/>
            <w:hideMark/>
          </w:tcPr>
          <w:p w14:paraId="38A46639"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596 (7.5%)</w:t>
            </w:r>
          </w:p>
        </w:tc>
        <w:tc>
          <w:tcPr>
            <w:tcW w:w="533" w:type="pct"/>
            <w:noWrap/>
            <w:hideMark/>
          </w:tcPr>
          <w:p w14:paraId="38A4663A"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574 (7.2%)</w:t>
            </w:r>
          </w:p>
        </w:tc>
        <w:tc>
          <w:tcPr>
            <w:tcW w:w="682" w:type="pct"/>
            <w:noWrap/>
            <w:hideMark/>
          </w:tcPr>
          <w:p w14:paraId="38A4663B"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2110 (26.4%)</w:t>
            </w:r>
          </w:p>
        </w:tc>
        <w:tc>
          <w:tcPr>
            <w:tcW w:w="311" w:type="pct"/>
            <w:noWrap/>
            <w:hideMark/>
          </w:tcPr>
          <w:p w14:paraId="38A4663C"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r w:rsidR="009D5847" w:rsidRPr="00FB60E5" w14:paraId="38A46645"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644" w14:textId="3EADD06E" w:rsidR="009D5847" w:rsidRPr="00FB60E5" w:rsidRDefault="009D5847" w:rsidP="00FB60E5">
            <w:pPr>
              <w:ind w:left="0"/>
            </w:pPr>
            <w:r w:rsidRPr="00FB60E5">
              <w:t>Age group</w:t>
            </w:r>
          </w:p>
        </w:tc>
      </w:tr>
      <w:tr w:rsidR="00CA7A60" w:rsidRPr="00FB60E5" w14:paraId="38A4664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46" w14:textId="77777777" w:rsidR="00CA7A60" w:rsidRPr="009D5847" w:rsidRDefault="00CA7A60" w:rsidP="00FB60E5">
            <w:pPr>
              <w:ind w:left="0"/>
              <w:rPr>
                <w:b w:val="0"/>
              </w:rPr>
            </w:pPr>
            <w:r w:rsidRPr="009D5847">
              <w:rPr>
                <w:b w:val="0"/>
              </w:rPr>
              <w:t>0-14 (n=340; 1.3%)</w:t>
            </w:r>
          </w:p>
        </w:tc>
        <w:tc>
          <w:tcPr>
            <w:tcW w:w="572" w:type="pct"/>
            <w:noWrap/>
            <w:hideMark/>
          </w:tcPr>
          <w:p w14:paraId="38A4664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202 (59.4%)</w:t>
            </w:r>
          </w:p>
        </w:tc>
        <w:tc>
          <w:tcPr>
            <w:tcW w:w="529" w:type="pct"/>
            <w:noWrap/>
            <w:hideMark/>
          </w:tcPr>
          <w:p w14:paraId="38A4664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(4.7%)</w:t>
            </w:r>
          </w:p>
        </w:tc>
        <w:tc>
          <w:tcPr>
            <w:tcW w:w="533" w:type="pct"/>
            <w:noWrap/>
            <w:hideMark/>
          </w:tcPr>
          <w:p w14:paraId="38A4664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 (8.5%)</w:t>
            </w:r>
          </w:p>
        </w:tc>
        <w:tc>
          <w:tcPr>
            <w:tcW w:w="533" w:type="pct"/>
            <w:noWrap/>
            <w:hideMark/>
          </w:tcPr>
          <w:p w14:paraId="38A4664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 (7.4%)</w:t>
            </w:r>
          </w:p>
        </w:tc>
        <w:tc>
          <w:tcPr>
            <w:tcW w:w="682" w:type="pct"/>
            <w:noWrap/>
            <w:hideMark/>
          </w:tcPr>
          <w:p w14:paraId="38A4664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68 (20.0%)</w:t>
            </w:r>
          </w:p>
        </w:tc>
        <w:tc>
          <w:tcPr>
            <w:tcW w:w="311" w:type="pct"/>
            <w:noWrap/>
            <w:hideMark/>
          </w:tcPr>
          <w:p w14:paraId="38A4664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65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4E" w14:textId="77777777" w:rsidR="00CA7A60" w:rsidRPr="009D5847" w:rsidRDefault="00CA7A60" w:rsidP="00FB60E5">
            <w:pPr>
              <w:ind w:left="0"/>
              <w:rPr>
                <w:b w:val="0"/>
              </w:rPr>
            </w:pPr>
            <w:r w:rsidRPr="009D5847">
              <w:rPr>
                <w:b w:val="0"/>
              </w:rPr>
              <w:t>15-24 (n=6654; 26.4%)</w:t>
            </w:r>
          </w:p>
        </w:tc>
        <w:tc>
          <w:tcPr>
            <w:tcW w:w="572" w:type="pct"/>
            <w:noWrap/>
            <w:hideMark/>
          </w:tcPr>
          <w:p w14:paraId="38A466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3485 (52.4%)</w:t>
            </w:r>
          </w:p>
        </w:tc>
        <w:tc>
          <w:tcPr>
            <w:tcW w:w="529" w:type="pct"/>
            <w:noWrap/>
            <w:hideMark/>
          </w:tcPr>
          <w:p w14:paraId="38A466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636 (9.6%)</w:t>
            </w:r>
          </w:p>
        </w:tc>
        <w:tc>
          <w:tcPr>
            <w:tcW w:w="533" w:type="pct"/>
            <w:noWrap/>
            <w:hideMark/>
          </w:tcPr>
          <w:p w14:paraId="38A466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504 (7.6%)</w:t>
            </w:r>
          </w:p>
        </w:tc>
        <w:tc>
          <w:tcPr>
            <w:tcW w:w="533" w:type="pct"/>
            <w:noWrap/>
            <w:hideMark/>
          </w:tcPr>
          <w:p w14:paraId="38A466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498 (7.5%)</w:t>
            </w:r>
          </w:p>
        </w:tc>
        <w:tc>
          <w:tcPr>
            <w:tcW w:w="682" w:type="pct"/>
            <w:noWrap/>
            <w:hideMark/>
          </w:tcPr>
          <w:p w14:paraId="38A466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1531 (23.0%)</w:t>
            </w:r>
          </w:p>
        </w:tc>
        <w:tc>
          <w:tcPr>
            <w:tcW w:w="311" w:type="pct"/>
            <w:noWrap/>
            <w:hideMark/>
          </w:tcPr>
          <w:p w14:paraId="38A4665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65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56" w14:textId="77777777" w:rsidR="00CA7A60" w:rsidRPr="009D5847" w:rsidRDefault="00CA7A60" w:rsidP="00FB60E5">
            <w:pPr>
              <w:ind w:left="0"/>
              <w:rPr>
                <w:b w:val="0"/>
              </w:rPr>
            </w:pPr>
            <w:r w:rsidRPr="009D5847">
              <w:rPr>
                <w:b w:val="0"/>
              </w:rPr>
              <w:t>25-34 (n=7334; 29.1%)</w:t>
            </w:r>
          </w:p>
        </w:tc>
        <w:tc>
          <w:tcPr>
            <w:tcW w:w="572" w:type="pct"/>
            <w:noWrap/>
            <w:hideMark/>
          </w:tcPr>
          <w:p w14:paraId="38A4665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3835 (52.3%)</w:t>
            </w:r>
          </w:p>
        </w:tc>
        <w:tc>
          <w:tcPr>
            <w:tcW w:w="529" w:type="pct"/>
            <w:noWrap/>
            <w:hideMark/>
          </w:tcPr>
          <w:p w14:paraId="38A4665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691 (9.4%)</w:t>
            </w:r>
          </w:p>
        </w:tc>
        <w:tc>
          <w:tcPr>
            <w:tcW w:w="533" w:type="pct"/>
            <w:noWrap/>
            <w:hideMark/>
          </w:tcPr>
          <w:p w14:paraId="38A4665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555 (7.6%)</w:t>
            </w:r>
          </w:p>
        </w:tc>
        <w:tc>
          <w:tcPr>
            <w:tcW w:w="533" w:type="pct"/>
            <w:noWrap/>
            <w:hideMark/>
          </w:tcPr>
          <w:p w14:paraId="38A4665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534 (7.3%)</w:t>
            </w:r>
          </w:p>
        </w:tc>
        <w:tc>
          <w:tcPr>
            <w:tcW w:w="682" w:type="pct"/>
            <w:noWrap/>
            <w:hideMark/>
          </w:tcPr>
          <w:p w14:paraId="38A4665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1719 (23.4%)</w:t>
            </w:r>
          </w:p>
        </w:tc>
        <w:tc>
          <w:tcPr>
            <w:tcW w:w="311" w:type="pct"/>
            <w:noWrap/>
            <w:hideMark/>
          </w:tcPr>
          <w:p w14:paraId="38A4665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66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5E" w14:textId="77777777" w:rsidR="00CA7A60" w:rsidRPr="009D5847" w:rsidRDefault="00CA7A60" w:rsidP="00FB60E5">
            <w:pPr>
              <w:ind w:left="0"/>
              <w:rPr>
                <w:b w:val="0"/>
              </w:rPr>
            </w:pPr>
            <w:r w:rsidRPr="009D5847">
              <w:rPr>
                <w:b w:val="0"/>
              </w:rPr>
              <w:t>35-44 (n=6220; 24.7%)</w:t>
            </w:r>
          </w:p>
        </w:tc>
        <w:tc>
          <w:tcPr>
            <w:tcW w:w="572" w:type="pct"/>
            <w:noWrap/>
            <w:hideMark/>
          </w:tcPr>
          <w:p w14:paraId="38A4665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3276 (52.7%)</w:t>
            </w:r>
          </w:p>
        </w:tc>
        <w:tc>
          <w:tcPr>
            <w:tcW w:w="529" w:type="pct"/>
            <w:noWrap/>
            <w:hideMark/>
          </w:tcPr>
          <w:p w14:paraId="38A4666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588 (9.5%)</w:t>
            </w:r>
          </w:p>
        </w:tc>
        <w:tc>
          <w:tcPr>
            <w:tcW w:w="533" w:type="pct"/>
            <w:noWrap/>
            <w:hideMark/>
          </w:tcPr>
          <w:p w14:paraId="38A4666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477 (7.7%)</w:t>
            </w:r>
          </w:p>
        </w:tc>
        <w:tc>
          <w:tcPr>
            <w:tcW w:w="533" w:type="pct"/>
            <w:noWrap/>
            <w:hideMark/>
          </w:tcPr>
          <w:p w14:paraId="38A4666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448 (7.2%)</w:t>
            </w:r>
          </w:p>
        </w:tc>
        <w:tc>
          <w:tcPr>
            <w:tcW w:w="682" w:type="pct"/>
            <w:noWrap/>
            <w:hideMark/>
          </w:tcPr>
          <w:p w14:paraId="38A466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1431 (23.0%)</w:t>
            </w:r>
          </w:p>
        </w:tc>
        <w:tc>
          <w:tcPr>
            <w:tcW w:w="311" w:type="pct"/>
            <w:noWrap/>
            <w:hideMark/>
          </w:tcPr>
          <w:p w14:paraId="38A4666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66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66" w14:textId="77777777" w:rsidR="00CA7A60" w:rsidRPr="009D5847" w:rsidRDefault="00CA7A60" w:rsidP="00FB60E5">
            <w:pPr>
              <w:ind w:left="0"/>
              <w:rPr>
                <w:b w:val="0"/>
              </w:rPr>
            </w:pPr>
            <w:r w:rsidRPr="009D5847">
              <w:rPr>
                <w:b w:val="0"/>
              </w:rPr>
              <w:t>45-54 (n=3202; 12.7%)</w:t>
            </w:r>
          </w:p>
        </w:tc>
        <w:tc>
          <w:tcPr>
            <w:tcW w:w="572" w:type="pct"/>
            <w:noWrap/>
            <w:hideMark/>
          </w:tcPr>
          <w:p w14:paraId="38A4666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1628 (50.8%)</w:t>
            </w:r>
          </w:p>
        </w:tc>
        <w:tc>
          <w:tcPr>
            <w:tcW w:w="529" w:type="pct"/>
            <w:noWrap/>
            <w:hideMark/>
          </w:tcPr>
          <w:p w14:paraId="38A466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300 (9.4%)</w:t>
            </w:r>
          </w:p>
        </w:tc>
        <w:tc>
          <w:tcPr>
            <w:tcW w:w="533" w:type="pct"/>
            <w:noWrap/>
            <w:hideMark/>
          </w:tcPr>
          <w:p w14:paraId="38A4666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268 (8.4%)</w:t>
            </w:r>
          </w:p>
        </w:tc>
        <w:tc>
          <w:tcPr>
            <w:tcW w:w="533" w:type="pct"/>
            <w:noWrap/>
            <w:hideMark/>
          </w:tcPr>
          <w:p w14:paraId="38A466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249 (7.8%)</w:t>
            </w:r>
          </w:p>
        </w:tc>
        <w:tc>
          <w:tcPr>
            <w:tcW w:w="682" w:type="pct"/>
            <w:noWrap/>
            <w:hideMark/>
          </w:tcPr>
          <w:p w14:paraId="38A4666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757 (23.6%)</w:t>
            </w:r>
          </w:p>
        </w:tc>
        <w:tc>
          <w:tcPr>
            <w:tcW w:w="311" w:type="pct"/>
            <w:noWrap/>
            <w:hideMark/>
          </w:tcPr>
          <w:p w14:paraId="38A4666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67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6E" w14:textId="77777777" w:rsidR="00CA7A60" w:rsidRPr="009D5847" w:rsidRDefault="00CA7A60" w:rsidP="00FB60E5">
            <w:pPr>
              <w:ind w:left="0"/>
              <w:rPr>
                <w:b w:val="0"/>
              </w:rPr>
            </w:pPr>
            <w:r w:rsidRPr="009D5847">
              <w:rPr>
                <w:b w:val="0"/>
              </w:rPr>
              <w:t>55-64 (n=1102; 4.4%)</w:t>
            </w:r>
          </w:p>
        </w:tc>
        <w:tc>
          <w:tcPr>
            <w:tcW w:w="572" w:type="pct"/>
            <w:noWrap/>
            <w:hideMark/>
          </w:tcPr>
          <w:p w14:paraId="38A466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580 (52.6%)</w:t>
            </w:r>
          </w:p>
        </w:tc>
        <w:tc>
          <w:tcPr>
            <w:tcW w:w="529" w:type="pct"/>
            <w:noWrap/>
            <w:hideMark/>
          </w:tcPr>
          <w:p w14:paraId="38A466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90 (8.2%)</w:t>
            </w:r>
          </w:p>
        </w:tc>
        <w:tc>
          <w:tcPr>
            <w:tcW w:w="533" w:type="pct"/>
            <w:noWrap/>
            <w:hideMark/>
          </w:tcPr>
          <w:p w14:paraId="38A466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98 (8.9%)</w:t>
            </w:r>
          </w:p>
        </w:tc>
        <w:tc>
          <w:tcPr>
            <w:tcW w:w="533" w:type="pct"/>
            <w:noWrap/>
            <w:hideMark/>
          </w:tcPr>
          <w:p w14:paraId="38A4667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88 (8.0%)</w:t>
            </w:r>
          </w:p>
        </w:tc>
        <w:tc>
          <w:tcPr>
            <w:tcW w:w="682" w:type="pct"/>
            <w:noWrap/>
            <w:hideMark/>
          </w:tcPr>
          <w:p w14:paraId="38A4667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246 (22.3%)</w:t>
            </w:r>
          </w:p>
        </w:tc>
        <w:tc>
          <w:tcPr>
            <w:tcW w:w="311" w:type="pct"/>
            <w:noWrap/>
            <w:hideMark/>
          </w:tcPr>
          <w:p w14:paraId="38A4667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67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76" w14:textId="77777777" w:rsidR="00CA7A60" w:rsidRPr="009D5847" w:rsidRDefault="00CA7A60" w:rsidP="00FB60E5">
            <w:pPr>
              <w:ind w:left="0"/>
              <w:rPr>
                <w:b w:val="0"/>
              </w:rPr>
            </w:pPr>
            <w:r w:rsidRPr="009D5847">
              <w:rPr>
                <w:b w:val="0"/>
              </w:rPr>
              <w:t>65+ (n=377; 1.5%)</w:t>
            </w:r>
          </w:p>
        </w:tc>
        <w:tc>
          <w:tcPr>
            <w:tcW w:w="572" w:type="pct"/>
            <w:noWrap/>
            <w:hideMark/>
          </w:tcPr>
          <w:p w14:paraId="38A4667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222 (58.9%)</w:t>
            </w:r>
          </w:p>
        </w:tc>
        <w:tc>
          <w:tcPr>
            <w:tcW w:w="529" w:type="pct"/>
            <w:noWrap/>
            <w:hideMark/>
          </w:tcPr>
          <w:p w14:paraId="38A4667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 (7.2%)</w:t>
            </w:r>
          </w:p>
        </w:tc>
        <w:tc>
          <w:tcPr>
            <w:tcW w:w="533" w:type="pct"/>
            <w:noWrap/>
            <w:hideMark/>
          </w:tcPr>
          <w:p w14:paraId="38A4667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 (7.2%)</w:t>
            </w:r>
          </w:p>
        </w:tc>
        <w:tc>
          <w:tcPr>
            <w:tcW w:w="533" w:type="pct"/>
            <w:noWrap/>
            <w:hideMark/>
          </w:tcPr>
          <w:p w14:paraId="38A4667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 (6.6%)</w:t>
            </w:r>
          </w:p>
        </w:tc>
        <w:tc>
          <w:tcPr>
            <w:tcW w:w="682" w:type="pct"/>
            <w:noWrap/>
            <w:hideMark/>
          </w:tcPr>
          <w:p w14:paraId="38A4667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76 (20.2%)</w:t>
            </w:r>
          </w:p>
        </w:tc>
        <w:tc>
          <w:tcPr>
            <w:tcW w:w="311" w:type="pct"/>
            <w:noWrap/>
            <w:hideMark/>
          </w:tcPr>
          <w:p w14:paraId="38A4667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0.183</w:t>
            </w:r>
          </w:p>
        </w:tc>
      </w:tr>
      <w:tr w:rsidR="00340424" w:rsidRPr="00FB60E5" w14:paraId="38A4668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684" w14:textId="5F9C9111" w:rsidR="00340424" w:rsidRPr="00340424" w:rsidRDefault="00340424" w:rsidP="00FB60E5">
            <w:pPr>
              <w:ind w:left="0"/>
              <w:rPr>
                <w:b w:val="0"/>
                <w:bCs w:val="0"/>
              </w:rPr>
            </w:pPr>
            <w:r w:rsidRPr="00FB60E5">
              <w:t>Country of birth</w:t>
            </w:r>
          </w:p>
        </w:tc>
      </w:tr>
      <w:tr w:rsidR="00CA7A60" w:rsidRPr="00FB60E5" w14:paraId="38A4668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86" w14:textId="77777777" w:rsidR="00CA7A60" w:rsidRPr="009D5847" w:rsidRDefault="00CA7A60" w:rsidP="00FB60E5">
            <w:pPr>
              <w:ind w:left="0"/>
              <w:rPr>
                <w:b w:val="0"/>
              </w:rPr>
            </w:pPr>
            <w:r w:rsidRPr="009D5847">
              <w:rPr>
                <w:b w:val="0"/>
              </w:rPr>
              <w:t>Australia (n=21501; 85.2%)</w:t>
            </w:r>
          </w:p>
        </w:tc>
        <w:tc>
          <w:tcPr>
            <w:tcW w:w="572" w:type="pct"/>
            <w:noWrap/>
            <w:hideMark/>
          </w:tcPr>
          <w:p w14:paraId="38A4668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11149 (51.9%)</w:t>
            </w:r>
          </w:p>
        </w:tc>
        <w:tc>
          <w:tcPr>
            <w:tcW w:w="529" w:type="pct"/>
            <w:noWrap/>
            <w:hideMark/>
          </w:tcPr>
          <w:p w14:paraId="38A4668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2010 (9.3%)</w:t>
            </w:r>
          </w:p>
        </w:tc>
        <w:tc>
          <w:tcPr>
            <w:tcW w:w="533" w:type="pct"/>
            <w:noWrap/>
            <w:hideMark/>
          </w:tcPr>
          <w:p w14:paraId="38A4668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1656 (7.7%)</w:t>
            </w:r>
          </w:p>
        </w:tc>
        <w:tc>
          <w:tcPr>
            <w:tcW w:w="533" w:type="pct"/>
            <w:noWrap/>
            <w:hideMark/>
          </w:tcPr>
          <w:p w14:paraId="38A4668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1565 (7.3%)</w:t>
            </w:r>
          </w:p>
        </w:tc>
        <w:tc>
          <w:tcPr>
            <w:tcW w:w="682" w:type="pct"/>
            <w:noWrap/>
            <w:hideMark/>
          </w:tcPr>
          <w:p w14:paraId="38A4668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5121 (23.8%)</w:t>
            </w:r>
          </w:p>
        </w:tc>
        <w:tc>
          <w:tcPr>
            <w:tcW w:w="311" w:type="pct"/>
            <w:noWrap/>
            <w:hideMark/>
          </w:tcPr>
          <w:p w14:paraId="38A4668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FA4534" w:rsidRPr="00FB60E5" w14:paraId="38A4669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8E" w14:textId="77777777" w:rsidR="00FA4534" w:rsidRPr="009D5847" w:rsidRDefault="00FA4534" w:rsidP="00FB60E5">
            <w:pPr>
              <w:ind w:left="0"/>
              <w:rPr>
                <w:b w:val="0"/>
              </w:rPr>
            </w:pPr>
            <w:r w:rsidRPr="009D5847">
              <w:rPr>
                <w:b w:val="0"/>
              </w:rPr>
              <w:t>Other (n=3728; 14.8%)</w:t>
            </w:r>
          </w:p>
        </w:tc>
        <w:tc>
          <w:tcPr>
            <w:tcW w:w="572" w:type="pct"/>
            <w:noWrap/>
            <w:hideMark/>
          </w:tcPr>
          <w:p w14:paraId="38A4668F"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2079 (55.8%)</w:t>
            </w:r>
          </w:p>
        </w:tc>
        <w:tc>
          <w:tcPr>
            <w:tcW w:w="529" w:type="pct"/>
            <w:noWrap/>
            <w:hideMark/>
          </w:tcPr>
          <w:p w14:paraId="38A46690"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338 (9.1%)</w:t>
            </w:r>
          </w:p>
        </w:tc>
        <w:tc>
          <w:tcPr>
            <w:tcW w:w="533" w:type="pct"/>
            <w:noWrap/>
            <w:hideMark/>
          </w:tcPr>
          <w:p w14:paraId="38A46691"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302 (8.1%)</w:t>
            </w:r>
          </w:p>
        </w:tc>
        <w:tc>
          <w:tcPr>
            <w:tcW w:w="533" w:type="pct"/>
            <w:noWrap/>
            <w:hideMark/>
          </w:tcPr>
          <w:p w14:paraId="38A46692"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302 (8.1%)</w:t>
            </w:r>
          </w:p>
        </w:tc>
        <w:tc>
          <w:tcPr>
            <w:tcW w:w="682" w:type="pct"/>
            <w:noWrap/>
            <w:hideMark/>
          </w:tcPr>
          <w:p w14:paraId="38A46693"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707 (19.0%)</w:t>
            </w:r>
          </w:p>
        </w:tc>
        <w:tc>
          <w:tcPr>
            <w:tcW w:w="311" w:type="pct"/>
            <w:noWrap/>
            <w:hideMark/>
          </w:tcPr>
          <w:p w14:paraId="38A46694"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340424" w:rsidRPr="00FB60E5" w14:paraId="38A4669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69C" w14:textId="2415C629" w:rsidR="00340424" w:rsidRPr="00340424" w:rsidRDefault="00340424" w:rsidP="00FB60E5">
            <w:pPr>
              <w:ind w:left="0"/>
              <w:rPr>
                <w:b w:val="0"/>
                <w:bCs w:val="0"/>
              </w:rPr>
            </w:pPr>
            <w:r w:rsidRPr="00FB60E5">
              <w:t>Indigenous status</w:t>
            </w:r>
          </w:p>
        </w:tc>
      </w:tr>
      <w:tr w:rsidR="00CA7A60" w:rsidRPr="00FB60E5" w14:paraId="38A466A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9E" w14:textId="77777777" w:rsidR="00CA7A60" w:rsidRPr="009D5847" w:rsidRDefault="00CA7A60" w:rsidP="00FB60E5">
            <w:pPr>
              <w:ind w:left="0"/>
              <w:rPr>
                <w:b w:val="0"/>
              </w:rPr>
            </w:pPr>
            <w:r w:rsidRPr="009D5847">
              <w:rPr>
                <w:b w:val="0"/>
              </w:rPr>
              <w:t>Aboriginal and/or TSI origin (n=1832; 7.3%)</w:t>
            </w:r>
          </w:p>
        </w:tc>
        <w:tc>
          <w:tcPr>
            <w:tcW w:w="572" w:type="pct"/>
            <w:noWrap/>
            <w:hideMark/>
          </w:tcPr>
          <w:p w14:paraId="38A4669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955 (52.1%)</w:t>
            </w:r>
          </w:p>
        </w:tc>
        <w:tc>
          <w:tcPr>
            <w:tcW w:w="529" w:type="pct"/>
            <w:noWrap/>
            <w:hideMark/>
          </w:tcPr>
          <w:p w14:paraId="38A466A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164 (9.0%)</w:t>
            </w:r>
          </w:p>
        </w:tc>
        <w:tc>
          <w:tcPr>
            <w:tcW w:w="533" w:type="pct"/>
            <w:noWrap/>
            <w:hideMark/>
          </w:tcPr>
          <w:p w14:paraId="38A466A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131 (7.2%)</w:t>
            </w:r>
          </w:p>
        </w:tc>
        <w:tc>
          <w:tcPr>
            <w:tcW w:w="533" w:type="pct"/>
            <w:noWrap/>
            <w:hideMark/>
          </w:tcPr>
          <w:p w14:paraId="38A466A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126 (6.9%)</w:t>
            </w:r>
          </w:p>
        </w:tc>
        <w:tc>
          <w:tcPr>
            <w:tcW w:w="682" w:type="pct"/>
            <w:noWrap/>
            <w:hideMark/>
          </w:tcPr>
          <w:p w14:paraId="38A466A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456 (24.9%)</w:t>
            </w:r>
          </w:p>
        </w:tc>
        <w:tc>
          <w:tcPr>
            <w:tcW w:w="311" w:type="pct"/>
            <w:noWrap/>
            <w:hideMark/>
          </w:tcPr>
          <w:p w14:paraId="38A466A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6A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A6" w14:textId="77777777" w:rsidR="00CA7A60" w:rsidRPr="009D5847" w:rsidRDefault="00CA7A60" w:rsidP="00FB60E5">
            <w:pPr>
              <w:ind w:left="0"/>
              <w:rPr>
                <w:b w:val="0"/>
              </w:rPr>
            </w:pPr>
            <w:r w:rsidRPr="009D5847">
              <w:rPr>
                <w:b w:val="0"/>
              </w:rPr>
              <w:t>Neither Aboriginal nor TSI origin (n=20927; 82.9%)</w:t>
            </w:r>
          </w:p>
        </w:tc>
        <w:tc>
          <w:tcPr>
            <w:tcW w:w="572" w:type="pct"/>
            <w:noWrap/>
            <w:hideMark/>
          </w:tcPr>
          <w:p w14:paraId="38A466A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10930 (52.2%)</w:t>
            </w:r>
          </w:p>
        </w:tc>
        <w:tc>
          <w:tcPr>
            <w:tcW w:w="529" w:type="pct"/>
            <w:noWrap/>
            <w:hideMark/>
          </w:tcPr>
          <w:p w14:paraId="38A466A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1969 (9.4%)</w:t>
            </w:r>
          </w:p>
        </w:tc>
        <w:tc>
          <w:tcPr>
            <w:tcW w:w="533" w:type="pct"/>
            <w:noWrap/>
            <w:hideMark/>
          </w:tcPr>
          <w:p w14:paraId="38A466A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1638 (7.8%)</w:t>
            </w:r>
          </w:p>
        </w:tc>
        <w:tc>
          <w:tcPr>
            <w:tcW w:w="533" w:type="pct"/>
            <w:noWrap/>
            <w:hideMark/>
          </w:tcPr>
          <w:p w14:paraId="38A466A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1521 (7.3%)</w:t>
            </w:r>
          </w:p>
        </w:tc>
        <w:tc>
          <w:tcPr>
            <w:tcW w:w="682" w:type="pct"/>
            <w:noWrap/>
            <w:hideMark/>
          </w:tcPr>
          <w:p w14:paraId="38A466A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4869 (23.3%)</w:t>
            </w:r>
          </w:p>
        </w:tc>
        <w:tc>
          <w:tcPr>
            <w:tcW w:w="311" w:type="pct"/>
            <w:noWrap/>
            <w:hideMark/>
          </w:tcPr>
          <w:p w14:paraId="38A466A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6B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AE" w14:textId="77777777" w:rsidR="00CA7A60" w:rsidRPr="009D5847" w:rsidRDefault="00CA7A60" w:rsidP="00FB60E5">
            <w:pPr>
              <w:ind w:left="0"/>
              <w:rPr>
                <w:b w:val="0"/>
              </w:rPr>
            </w:pPr>
            <w:r w:rsidRPr="009D5847">
              <w:rPr>
                <w:b w:val="0"/>
              </w:rPr>
              <w:t>Unknown (n=2470; 9.8%)</w:t>
            </w:r>
          </w:p>
        </w:tc>
        <w:tc>
          <w:tcPr>
            <w:tcW w:w="572" w:type="pct"/>
            <w:noWrap/>
            <w:hideMark/>
          </w:tcPr>
          <w:p w14:paraId="38A466A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1343 (54.4%)</w:t>
            </w:r>
          </w:p>
        </w:tc>
        <w:tc>
          <w:tcPr>
            <w:tcW w:w="529" w:type="pct"/>
            <w:noWrap/>
            <w:hideMark/>
          </w:tcPr>
          <w:p w14:paraId="38A466B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215 (8.7%)</w:t>
            </w:r>
          </w:p>
        </w:tc>
        <w:tc>
          <w:tcPr>
            <w:tcW w:w="533" w:type="pct"/>
            <w:noWrap/>
            <w:hideMark/>
          </w:tcPr>
          <w:p w14:paraId="38A466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189 (7.7%)</w:t>
            </w:r>
          </w:p>
        </w:tc>
        <w:tc>
          <w:tcPr>
            <w:tcW w:w="533" w:type="pct"/>
            <w:noWrap/>
            <w:hideMark/>
          </w:tcPr>
          <w:p w14:paraId="38A466B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220 (8.9%)</w:t>
            </w:r>
          </w:p>
        </w:tc>
        <w:tc>
          <w:tcPr>
            <w:tcW w:w="682" w:type="pct"/>
            <w:noWrap/>
            <w:hideMark/>
          </w:tcPr>
          <w:p w14:paraId="38A466B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503 (20.4%)</w:t>
            </w:r>
          </w:p>
        </w:tc>
        <w:tc>
          <w:tcPr>
            <w:tcW w:w="311" w:type="pct"/>
            <w:noWrap/>
            <w:hideMark/>
          </w:tcPr>
          <w:p w14:paraId="38A466B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0.002</w:t>
            </w:r>
          </w:p>
        </w:tc>
      </w:tr>
      <w:tr w:rsidR="00340424" w:rsidRPr="00FB60E5" w14:paraId="38A466B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6BC" w14:textId="3DA80775" w:rsidR="00340424" w:rsidRPr="00FB60E5" w:rsidRDefault="00340424" w:rsidP="00FB60E5">
            <w:pPr>
              <w:ind w:left="0"/>
            </w:pPr>
            <w:r w:rsidRPr="00FB60E5">
              <w:t>Employment</w:t>
            </w:r>
          </w:p>
        </w:tc>
      </w:tr>
      <w:tr w:rsidR="00CA7A60" w:rsidRPr="00FB60E5" w14:paraId="38A466C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BE" w14:textId="77777777" w:rsidR="00CA7A60" w:rsidRPr="009D5847" w:rsidRDefault="00CA7A60" w:rsidP="00FB60E5">
            <w:pPr>
              <w:ind w:left="0"/>
              <w:rPr>
                <w:b w:val="0"/>
              </w:rPr>
            </w:pPr>
            <w:r w:rsidRPr="009D5847">
              <w:rPr>
                <w:b w:val="0"/>
              </w:rPr>
              <w:t>Employed (n=6239; 24.7%)</w:t>
            </w:r>
          </w:p>
        </w:tc>
        <w:tc>
          <w:tcPr>
            <w:tcW w:w="572" w:type="pct"/>
            <w:noWrap/>
            <w:hideMark/>
          </w:tcPr>
          <w:p w14:paraId="38A466B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3576 (57.3%)</w:t>
            </w:r>
          </w:p>
        </w:tc>
        <w:tc>
          <w:tcPr>
            <w:tcW w:w="529" w:type="pct"/>
            <w:noWrap/>
            <w:hideMark/>
          </w:tcPr>
          <w:p w14:paraId="38A466C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560 (9.0%)</w:t>
            </w:r>
          </w:p>
        </w:tc>
        <w:tc>
          <w:tcPr>
            <w:tcW w:w="533" w:type="pct"/>
            <w:noWrap/>
            <w:hideMark/>
          </w:tcPr>
          <w:p w14:paraId="38A466C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496 (7.9%)</w:t>
            </w:r>
          </w:p>
        </w:tc>
        <w:tc>
          <w:tcPr>
            <w:tcW w:w="533" w:type="pct"/>
            <w:noWrap/>
            <w:hideMark/>
          </w:tcPr>
          <w:p w14:paraId="38A466C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472 (7.6%)</w:t>
            </w:r>
          </w:p>
        </w:tc>
        <w:tc>
          <w:tcPr>
            <w:tcW w:w="682" w:type="pct"/>
            <w:noWrap/>
            <w:hideMark/>
          </w:tcPr>
          <w:p w14:paraId="38A466C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1135 (18.2%)</w:t>
            </w:r>
          </w:p>
        </w:tc>
        <w:tc>
          <w:tcPr>
            <w:tcW w:w="311" w:type="pct"/>
            <w:noWrap/>
            <w:hideMark/>
          </w:tcPr>
          <w:p w14:paraId="38A466C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6C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C6" w14:textId="77777777" w:rsidR="00CA7A60" w:rsidRPr="009D5847" w:rsidRDefault="00CA7A60" w:rsidP="00FB60E5">
            <w:pPr>
              <w:ind w:left="0"/>
              <w:rPr>
                <w:b w:val="0"/>
              </w:rPr>
            </w:pPr>
            <w:r w:rsidRPr="009D5847">
              <w:rPr>
                <w:b w:val="0"/>
              </w:rPr>
              <w:t>Unemployed (n=13587; 53.9%)</w:t>
            </w:r>
          </w:p>
        </w:tc>
        <w:tc>
          <w:tcPr>
            <w:tcW w:w="572" w:type="pct"/>
            <w:noWrap/>
            <w:hideMark/>
          </w:tcPr>
          <w:p w14:paraId="38A466C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6728 (49.5%)</w:t>
            </w:r>
          </w:p>
        </w:tc>
        <w:tc>
          <w:tcPr>
            <w:tcW w:w="529" w:type="pct"/>
            <w:noWrap/>
            <w:hideMark/>
          </w:tcPr>
          <w:p w14:paraId="38A466C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1315 (9.7%)</w:t>
            </w:r>
          </w:p>
        </w:tc>
        <w:tc>
          <w:tcPr>
            <w:tcW w:w="533" w:type="pct"/>
            <w:noWrap/>
            <w:hideMark/>
          </w:tcPr>
          <w:p w14:paraId="38A466C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1050 (7.7%)</w:t>
            </w:r>
          </w:p>
        </w:tc>
        <w:tc>
          <w:tcPr>
            <w:tcW w:w="533" w:type="pct"/>
            <w:noWrap/>
            <w:hideMark/>
          </w:tcPr>
          <w:p w14:paraId="38A466C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959 (7.1%)</w:t>
            </w:r>
          </w:p>
        </w:tc>
        <w:tc>
          <w:tcPr>
            <w:tcW w:w="682" w:type="pct"/>
            <w:noWrap/>
            <w:hideMark/>
          </w:tcPr>
          <w:p w14:paraId="38A466C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3535 (26.0%)</w:t>
            </w:r>
          </w:p>
        </w:tc>
        <w:tc>
          <w:tcPr>
            <w:tcW w:w="311" w:type="pct"/>
            <w:noWrap/>
            <w:hideMark/>
          </w:tcPr>
          <w:p w14:paraId="38A466C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6D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CE" w14:textId="77777777" w:rsidR="00CA7A60" w:rsidRPr="009D5847" w:rsidRDefault="00CA7A60" w:rsidP="00FB60E5">
            <w:pPr>
              <w:ind w:left="0"/>
              <w:rPr>
                <w:b w:val="0"/>
              </w:rPr>
            </w:pPr>
            <w:r w:rsidRPr="009D5847">
              <w:rPr>
                <w:b w:val="0"/>
              </w:rPr>
              <w:t>Other (n=4297; 17.0%)</w:t>
            </w:r>
          </w:p>
        </w:tc>
        <w:tc>
          <w:tcPr>
            <w:tcW w:w="572" w:type="pct"/>
            <w:noWrap/>
            <w:hideMark/>
          </w:tcPr>
          <w:p w14:paraId="38A466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2299 (53.5%)</w:t>
            </w:r>
          </w:p>
        </w:tc>
        <w:tc>
          <w:tcPr>
            <w:tcW w:w="529" w:type="pct"/>
            <w:noWrap/>
            <w:hideMark/>
          </w:tcPr>
          <w:p w14:paraId="38A466D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371 (8.6%)</w:t>
            </w:r>
          </w:p>
        </w:tc>
        <w:tc>
          <w:tcPr>
            <w:tcW w:w="533" w:type="pct"/>
            <w:noWrap/>
            <w:hideMark/>
          </w:tcPr>
          <w:p w14:paraId="38A466D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329 (7.7%)</w:t>
            </w:r>
          </w:p>
        </w:tc>
        <w:tc>
          <w:tcPr>
            <w:tcW w:w="533" w:type="pct"/>
            <w:noWrap/>
            <w:hideMark/>
          </w:tcPr>
          <w:p w14:paraId="38A466D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358 (8.3%)</w:t>
            </w:r>
          </w:p>
        </w:tc>
        <w:tc>
          <w:tcPr>
            <w:tcW w:w="682" w:type="pct"/>
            <w:noWrap/>
            <w:hideMark/>
          </w:tcPr>
          <w:p w14:paraId="38A466D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940 (21.9%)</w:t>
            </w:r>
          </w:p>
        </w:tc>
        <w:tc>
          <w:tcPr>
            <w:tcW w:w="311" w:type="pct"/>
            <w:noWrap/>
            <w:hideMark/>
          </w:tcPr>
          <w:p w14:paraId="38A466D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FA4534" w:rsidRPr="00FB60E5" w14:paraId="38A466D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D6" w14:textId="77777777" w:rsidR="00FA4534" w:rsidRPr="009D5847" w:rsidRDefault="00FA4534" w:rsidP="00FB60E5">
            <w:pPr>
              <w:ind w:left="0"/>
              <w:rPr>
                <w:b w:val="0"/>
              </w:rPr>
            </w:pPr>
            <w:r w:rsidRPr="009D5847">
              <w:rPr>
                <w:b w:val="0"/>
              </w:rPr>
              <w:t>Unknown (n=1106; 4.4%)</w:t>
            </w:r>
          </w:p>
        </w:tc>
        <w:tc>
          <w:tcPr>
            <w:tcW w:w="572" w:type="pct"/>
            <w:noWrap/>
            <w:hideMark/>
          </w:tcPr>
          <w:p w14:paraId="38A466D7"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625 (56.5%)</w:t>
            </w:r>
          </w:p>
        </w:tc>
        <w:tc>
          <w:tcPr>
            <w:tcW w:w="529" w:type="pct"/>
            <w:noWrap/>
            <w:hideMark/>
          </w:tcPr>
          <w:p w14:paraId="38A466D8"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102 (9.2%)</w:t>
            </w:r>
          </w:p>
        </w:tc>
        <w:tc>
          <w:tcPr>
            <w:tcW w:w="533" w:type="pct"/>
            <w:noWrap/>
            <w:hideMark/>
          </w:tcPr>
          <w:p w14:paraId="38A466D9"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83 (7.5%)</w:t>
            </w:r>
          </w:p>
        </w:tc>
        <w:tc>
          <w:tcPr>
            <w:tcW w:w="533" w:type="pct"/>
            <w:noWrap/>
            <w:hideMark/>
          </w:tcPr>
          <w:p w14:paraId="38A466DA"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78 (7.1%)</w:t>
            </w:r>
          </w:p>
        </w:tc>
        <w:tc>
          <w:tcPr>
            <w:tcW w:w="682" w:type="pct"/>
            <w:noWrap/>
            <w:hideMark/>
          </w:tcPr>
          <w:p w14:paraId="38A466DB"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218 (19.7%)</w:t>
            </w:r>
          </w:p>
        </w:tc>
        <w:tc>
          <w:tcPr>
            <w:tcW w:w="311" w:type="pct"/>
            <w:noWrap/>
            <w:hideMark/>
          </w:tcPr>
          <w:p w14:paraId="38A466DC" w14:textId="77777777" w:rsidR="00FA4534" w:rsidRPr="00FB60E5" w:rsidRDefault="00FA4534"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r w:rsidR="00340424" w:rsidRPr="00FB60E5" w14:paraId="38A466E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6E4" w14:textId="72675B92" w:rsidR="00340424" w:rsidRPr="00340424" w:rsidRDefault="00340424" w:rsidP="00FB60E5">
            <w:pPr>
              <w:ind w:left="0"/>
              <w:rPr>
                <w:b w:val="0"/>
                <w:bCs w:val="0"/>
              </w:rPr>
            </w:pPr>
            <w:r w:rsidRPr="00FB60E5">
              <w:t>Living status</w:t>
            </w:r>
          </w:p>
        </w:tc>
      </w:tr>
      <w:tr w:rsidR="00CA7A60" w:rsidRPr="00FB60E5" w14:paraId="38A466E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E6" w14:textId="77777777" w:rsidR="00CA7A60" w:rsidRPr="009D5847" w:rsidRDefault="00CA7A60" w:rsidP="00FB60E5">
            <w:pPr>
              <w:ind w:left="0"/>
              <w:rPr>
                <w:b w:val="0"/>
              </w:rPr>
            </w:pPr>
            <w:r w:rsidRPr="009D5847">
              <w:rPr>
                <w:b w:val="0"/>
              </w:rPr>
              <w:lastRenderedPageBreak/>
              <w:t>Lives alone (n=4434; 17.6%)</w:t>
            </w:r>
          </w:p>
        </w:tc>
        <w:tc>
          <w:tcPr>
            <w:tcW w:w="572" w:type="pct"/>
            <w:noWrap/>
            <w:hideMark/>
          </w:tcPr>
          <w:p w14:paraId="38A466E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2173 (49.0%)</w:t>
            </w:r>
          </w:p>
        </w:tc>
        <w:tc>
          <w:tcPr>
            <w:tcW w:w="529" w:type="pct"/>
            <w:noWrap/>
            <w:hideMark/>
          </w:tcPr>
          <w:p w14:paraId="38A466E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411 (9.3%)</w:t>
            </w:r>
          </w:p>
        </w:tc>
        <w:tc>
          <w:tcPr>
            <w:tcW w:w="533" w:type="pct"/>
            <w:noWrap/>
            <w:hideMark/>
          </w:tcPr>
          <w:p w14:paraId="38A466E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359 (8.1%)</w:t>
            </w:r>
          </w:p>
        </w:tc>
        <w:tc>
          <w:tcPr>
            <w:tcW w:w="533" w:type="pct"/>
            <w:noWrap/>
            <w:hideMark/>
          </w:tcPr>
          <w:p w14:paraId="38A466E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325 (7.3%)</w:t>
            </w:r>
          </w:p>
        </w:tc>
        <w:tc>
          <w:tcPr>
            <w:tcW w:w="682" w:type="pct"/>
            <w:noWrap/>
            <w:hideMark/>
          </w:tcPr>
          <w:p w14:paraId="38A466E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1166 (26.3%)</w:t>
            </w:r>
          </w:p>
        </w:tc>
        <w:tc>
          <w:tcPr>
            <w:tcW w:w="311" w:type="pct"/>
            <w:noWrap/>
            <w:hideMark/>
          </w:tcPr>
          <w:p w14:paraId="38A466E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6F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EE" w14:textId="77777777" w:rsidR="00CA7A60" w:rsidRPr="009D5847" w:rsidRDefault="00CA7A60" w:rsidP="00FB60E5">
            <w:pPr>
              <w:ind w:left="0"/>
              <w:rPr>
                <w:b w:val="0"/>
              </w:rPr>
            </w:pPr>
            <w:r w:rsidRPr="009D5847">
              <w:rPr>
                <w:b w:val="0"/>
              </w:rPr>
              <w:t>Lives with family (n=13486; 53.5%)</w:t>
            </w:r>
          </w:p>
        </w:tc>
        <w:tc>
          <w:tcPr>
            <w:tcW w:w="572" w:type="pct"/>
            <w:noWrap/>
            <w:hideMark/>
          </w:tcPr>
          <w:p w14:paraId="38A466E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7323 (54.3%)</w:t>
            </w:r>
          </w:p>
        </w:tc>
        <w:tc>
          <w:tcPr>
            <w:tcW w:w="529" w:type="pct"/>
            <w:noWrap/>
            <w:hideMark/>
          </w:tcPr>
          <w:p w14:paraId="38A466F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1223 (9.1%)</w:t>
            </w:r>
          </w:p>
        </w:tc>
        <w:tc>
          <w:tcPr>
            <w:tcW w:w="533" w:type="pct"/>
            <w:noWrap/>
            <w:hideMark/>
          </w:tcPr>
          <w:p w14:paraId="38A466F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1063 (7.9%)</w:t>
            </w:r>
          </w:p>
        </w:tc>
        <w:tc>
          <w:tcPr>
            <w:tcW w:w="533" w:type="pct"/>
            <w:noWrap/>
            <w:hideMark/>
          </w:tcPr>
          <w:p w14:paraId="38A466F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973 (7.2%)</w:t>
            </w:r>
          </w:p>
        </w:tc>
        <w:tc>
          <w:tcPr>
            <w:tcW w:w="682" w:type="pct"/>
            <w:noWrap/>
            <w:hideMark/>
          </w:tcPr>
          <w:p w14:paraId="38A466F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2904 (21.5%)</w:t>
            </w:r>
          </w:p>
        </w:tc>
        <w:tc>
          <w:tcPr>
            <w:tcW w:w="311" w:type="pct"/>
            <w:noWrap/>
            <w:hideMark/>
          </w:tcPr>
          <w:p w14:paraId="38A466F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6F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F6" w14:textId="77777777" w:rsidR="00CA7A60" w:rsidRPr="009D5847" w:rsidRDefault="00CA7A60" w:rsidP="00FB60E5">
            <w:pPr>
              <w:ind w:left="0"/>
              <w:rPr>
                <w:b w:val="0"/>
              </w:rPr>
            </w:pPr>
            <w:r w:rsidRPr="009D5847">
              <w:rPr>
                <w:b w:val="0"/>
              </w:rPr>
              <w:t>Lives with others (n=5455; 21.6%)</w:t>
            </w:r>
          </w:p>
        </w:tc>
        <w:tc>
          <w:tcPr>
            <w:tcW w:w="572" w:type="pct"/>
            <w:noWrap/>
            <w:hideMark/>
          </w:tcPr>
          <w:p w14:paraId="38A466F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2722 (49.9%)</w:t>
            </w:r>
          </w:p>
        </w:tc>
        <w:tc>
          <w:tcPr>
            <w:tcW w:w="529" w:type="pct"/>
            <w:noWrap/>
            <w:hideMark/>
          </w:tcPr>
          <w:p w14:paraId="38A466F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547 (10.0%)</w:t>
            </w:r>
          </w:p>
        </w:tc>
        <w:tc>
          <w:tcPr>
            <w:tcW w:w="533" w:type="pct"/>
            <w:noWrap/>
            <w:hideMark/>
          </w:tcPr>
          <w:p w14:paraId="38A466F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397 (7.3%)</w:t>
            </w:r>
          </w:p>
        </w:tc>
        <w:tc>
          <w:tcPr>
            <w:tcW w:w="533" w:type="pct"/>
            <w:noWrap/>
            <w:hideMark/>
          </w:tcPr>
          <w:p w14:paraId="38A466F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411 (7.5%)</w:t>
            </w:r>
          </w:p>
        </w:tc>
        <w:tc>
          <w:tcPr>
            <w:tcW w:w="682" w:type="pct"/>
            <w:noWrap/>
            <w:hideMark/>
          </w:tcPr>
          <w:p w14:paraId="38A466F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1378 (25.3%)</w:t>
            </w:r>
          </w:p>
        </w:tc>
        <w:tc>
          <w:tcPr>
            <w:tcW w:w="311" w:type="pct"/>
            <w:noWrap/>
            <w:hideMark/>
          </w:tcPr>
          <w:p w14:paraId="38A466F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FA4534" w:rsidRPr="00FB60E5" w14:paraId="38A4670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6FE" w14:textId="77777777" w:rsidR="00FA4534" w:rsidRPr="009D5847" w:rsidRDefault="00FA4534" w:rsidP="00FB60E5">
            <w:pPr>
              <w:ind w:left="0"/>
              <w:rPr>
                <w:b w:val="0"/>
              </w:rPr>
            </w:pPr>
            <w:r w:rsidRPr="009D5847">
              <w:rPr>
                <w:b w:val="0"/>
              </w:rPr>
              <w:t>Unknown (n=1854; 7.3%)</w:t>
            </w:r>
          </w:p>
        </w:tc>
        <w:tc>
          <w:tcPr>
            <w:tcW w:w="572" w:type="pct"/>
            <w:noWrap/>
            <w:hideMark/>
          </w:tcPr>
          <w:p w14:paraId="38A466FF"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1010 (54.5%)</w:t>
            </w:r>
          </w:p>
        </w:tc>
        <w:tc>
          <w:tcPr>
            <w:tcW w:w="529" w:type="pct"/>
            <w:noWrap/>
            <w:hideMark/>
          </w:tcPr>
          <w:p w14:paraId="38A46700"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167 (9.0%)</w:t>
            </w:r>
          </w:p>
        </w:tc>
        <w:tc>
          <w:tcPr>
            <w:tcW w:w="533" w:type="pct"/>
            <w:noWrap/>
            <w:hideMark/>
          </w:tcPr>
          <w:p w14:paraId="38A46701"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139 (7.5%)</w:t>
            </w:r>
          </w:p>
        </w:tc>
        <w:tc>
          <w:tcPr>
            <w:tcW w:w="533" w:type="pct"/>
            <w:noWrap/>
            <w:hideMark/>
          </w:tcPr>
          <w:p w14:paraId="38A46702"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158 (8.5%)</w:t>
            </w:r>
          </w:p>
        </w:tc>
        <w:tc>
          <w:tcPr>
            <w:tcW w:w="682" w:type="pct"/>
            <w:noWrap/>
            <w:hideMark/>
          </w:tcPr>
          <w:p w14:paraId="38A46703"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380 (20.5%)</w:t>
            </w:r>
          </w:p>
        </w:tc>
        <w:tc>
          <w:tcPr>
            <w:tcW w:w="311" w:type="pct"/>
            <w:noWrap/>
            <w:hideMark/>
          </w:tcPr>
          <w:p w14:paraId="38A46704" w14:textId="77777777" w:rsidR="00FA4534" w:rsidRPr="00FB60E5" w:rsidRDefault="00FA4534"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340424" w:rsidRPr="00FB60E5" w14:paraId="38A4670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70C" w14:textId="1881504B" w:rsidR="00340424" w:rsidRPr="00FB60E5" w:rsidRDefault="00340424" w:rsidP="00FB60E5">
            <w:pPr>
              <w:ind w:left="0"/>
            </w:pPr>
            <w:r w:rsidRPr="00FB60E5">
              <w:t>Accommodation status</w:t>
            </w:r>
          </w:p>
        </w:tc>
      </w:tr>
      <w:tr w:rsidR="00CA7A60" w:rsidRPr="00FB60E5" w14:paraId="38A4671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0E" w14:textId="77777777" w:rsidR="00CA7A60" w:rsidRPr="009D5847" w:rsidRDefault="00CA7A60" w:rsidP="00FB60E5">
            <w:pPr>
              <w:ind w:left="0"/>
              <w:rPr>
                <w:b w:val="0"/>
              </w:rPr>
            </w:pPr>
            <w:r w:rsidRPr="009D5847">
              <w:rPr>
                <w:b w:val="0"/>
              </w:rPr>
              <w:t>Private residence (n=18325; 72.6%)</w:t>
            </w:r>
          </w:p>
        </w:tc>
        <w:tc>
          <w:tcPr>
            <w:tcW w:w="572" w:type="pct"/>
            <w:noWrap/>
            <w:hideMark/>
          </w:tcPr>
          <w:p w14:paraId="38A4670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9758 (53.2%)</w:t>
            </w:r>
          </w:p>
        </w:tc>
        <w:tc>
          <w:tcPr>
            <w:tcW w:w="529" w:type="pct"/>
            <w:noWrap/>
            <w:hideMark/>
          </w:tcPr>
          <w:p w14:paraId="38A4671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1667 (9.1%)</w:t>
            </w:r>
          </w:p>
        </w:tc>
        <w:tc>
          <w:tcPr>
            <w:tcW w:w="533" w:type="pct"/>
            <w:noWrap/>
            <w:hideMark/>
          </w:tcPr>
          <w:p w14:paraId="38A4671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1428 (7.8%)</w:t>
            </w:r>
          </w:p>
        </w:tc>
        <w:tc>
          <w:tcPr>
            <w:tcW w:w="533" w:type="pct"/>
            <w:noWrap/>
            <w:hideMark/>
          </w:tcPr>
          <w:p w14:paraId="38A4671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1342 (7.3%)</w:t>
            </w:r>
          </w:p>
        </w:tc>
        <w:tc>
          <w:tcPr>
            <w:tcW w:w="682" w:type="pct"/>
            <w:noWrap/>
            <w:hideMark/>
          </w:tcPr>
          <w:p w14:paraId="38A4671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4130 (22.5%)</w:t>
            </w:r>
          </w:p>
        </w:tc>
        <w:tc>
          <w:tcPr>
            <w:tcW w:w="311" w:type="pct"/>
            <w:noWrap/>
            <w:hideMark/>
          </w:tcPr>
          <w:p w14:paraId="38A4671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71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16" w14:textId="77777777" w:rsidR="00CA7A60" w:rsidRPr="009D5847" w:rsidRDefault="00CA7A60" w:rsidP="00FB60E5">
            <w:pPr>
              <w:ind w:left="0"/>
              <w:rPr>
                <w:b w:val="0"/>
              </w:rPr>
            </w:pPr>
            <w:r w:rsidRPr="009D5847">
              <w:rPr>
                <w:b w:val="0"/>
              </w:rPr>
              <w:t>Unstable (n=2456; 9.7%)</w:t>
            </w:r>
          </w:p>
        </w:tc>
        <w:tc>
          <w:tcPr>
            <w:tcW w:w="572" w:type="pct"/>
            <w:noWrap/>
            <w:hideMark/>
          </w:tcPr>
          <w:p w14:paraId="38A4671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1104 (45.0%)</w:t>
            </w:r>
          </w:p>
        </w:tc>
        <w:tc>
          <w:tcPr>
            <w:tcW w:w="529" w:type="pct"/>
            <w:noWrap/>
            <w:hideMark/>
          </w:tcPr>
          <w:p w14:paraId="38A4671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241 (9.8%)</w:t>
            </w:r>
          </w:p>
        </w:tc>
        <w:tc>
          <w:tcPr>
            <w:tcW w:w="533" w:type="pct"/>
            <w:noWrap/>
            <w:hideMark/>
          </w:tcPr>
          <w:p w14:paraId="38A4671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198 (8.1%)</w:t>
            </w:r>
          </w:p>
        </w:tc>
        <w:tc>
          <w:tcPr>
            <w:tcW w:w="533" w:type="pct"/>
            <w:noWrap/>
            <w:hideMark/>
          </w:tcPr>
          <w:p w14:paraId="38A4671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159 (6.5%)</w:t>
            </w:r>
          </w:p>
        </w:tc>
        <w:tc>
          <w:tcPr>
            <w:tcW w:w="682" w:type="pct"/>
            <w:noWrap/>
            <w:hideMark/>
          </w:tcPr>
          <w:p w14:paraId="38A4671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754 (30.7%)</w:t>
            </w:r>
          </w:p>
        </w:tc>
        <w:tc>
          <w:tcPr>
            <w:tcW w:w="311" w:type="pct"/>
            <w:noWrap/>
            <w:hideMark/>
          </w:tcPr>
          <w:p w14:paraId="38A4671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72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1E" w14:textId="77777777" w:rsidR="00CA7A60" w:rsidRPr="009D5847" w:rsidRDefault="00CA7A60" w:rsidP="00FB60E5">
            <w:pPr>
              <w:ind w:left="0"/>
              <w:rPr>
                <w:b w:val="0"/>
              </w:rPr>
            </w:pPr>
            <w:r w:rsidRPr="009D5847">
              <w:rPr>
                <w:b w:val="0"/>
              </w:rPr>
              <w:t>In custody (n=1253; 5.0%)</w:t>
            </w:r>
          </w:p>
        </w:tc>
        <w:tc>
          <w:tcPr>
            <w:tcW w:w="572" w:type="pct"/>
            <w:noWrap/>
            <w:hideMark/>
          </w:tcPr>
          <w:p w14:paraId="38A467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671 (53.6%)</w:t>
            </w:r>
          </w:p>
        </w:tc>
        <w:tc>
          <w:tcPr>
            <w:tcW w:w="529" w:type="pct"/>
            <w:noWrap/>
            <w:hideMark/>
          </w:tcPr>
          <w:p w14:paraId="38A467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138 (11.0%)</w:t>
            </w:r>
          </w:p>
        </w:tc>
        <w:tc>
          <w:tcPr>
            <w:tcW w:w="533" w:type="pct"/>
            <w:noWrap/>
            <w:hideMark/>
          </w:tcPr>
          <w:p w14:paraId="38A4672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79 (6.3%)</w:t>
            </w:r>
          </w:p>
        </w:tc>
        <w:tc>
          <w:tcPr>
            <w:tcW w:w="533" w:type="pct"/>
            <w:noWrap/>
            <w:hideMark/>
          </w:tcPr>
          <w:p w14:paraId="38A4672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135 (10.8%)</w:t>
            </w:r>
          </w:p>
        </w:tc>
        <w:tc>
          <w:tcPr>
            <w:tcW w:w="682" w:type="pct"/>
            <w:noWrap/>
            <w:hideMark/>
          </w:tcPr>
          <w:p w14:paraId="38A4672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230 (18.4%)</w:t>
            </w:r>
          </w:p>
        </w:tc>
        <w:tc>
          <w:tcPr>
            <w:tcW w:w="311" w:type="pct"/>
            <w:noWrap/>
            <w:hideMark/>
          </w:tcPr>
          <w:p w14:paraId="38A4672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72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26" w14:textId="77777777" w:rsidR="00CA7A60" w:rsidRPr="009D5847" w:rsidRDefault="00CA7A60" w:rsidP="00FB60E5">
            <w:pPr>
              <w:ind w:left="0"/>
              <w:rPr>
                <w:b w:val="0"/>
              </w:rPr>
            </w:pPr>
            <w:r w:rsidRPr="009D5847">
              <w:rPr>
                <w:b w:val="0"/>
              </w:rPr>
              <w:t>Other (n=1148; 4.6%)</w:t>
            </w:r>
          </w:p>
        </w:tc>
        <w:tc>
          <w:tcPr>
            <w:tcW w:w="572" w:type="pct"/>
            <w:noWrap/>
            <w:hideMark/>
          </w:tcPr>
          <w:p w14:paraId="38A4672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550 (47.9%)</w:t>
            </w:r>
          </w:p>
        </w:tc>
        <w:tc>
          <w:tcPr>
            <w:tcW w:w="529" w:type="pct"/>
            <w:noWrap/>
            <w:hideMark/>
          </w:tcPr>
          <w:p w14:paraId="38A4672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113 (9.8%)</w:t>
            </w:r>
          </w:p>
        </w:tc>
        <w:tc>
          <w:tcPr>
            <w:tcW w:w="533" w:type="pct"/>
            <w:noWrap/>
            <w:hideMark/>
          </w:tcPr>
          <w:p w14:paraId="38A4672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86 (7.5%)</w:t>
            </w:r>
          </w:p>
        </w:tc>
        <w:tc>
          <w:tcPr>
            <w:tcW w:w="533" w:type="pct"/>
            <w:noWrap/>
            <w:hideMark/>
          </w:tcPr>
          <w:p w14:paraId="38A4672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95 (8.3%)</w:t>
            </w:r>
          </w:p>
        </w:tc>
        <w:tc>
          <w:tcPr>
            <w:tcW w:w="682" w:type="pct"/>
            <w:noWrap/>
            <w:hideMark/>
          </w:tcPr>
          <w:p w14:paraId="38A4672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304 (26.5%)</w:t>
            </w:r>
          </w:p>
        </w:tc>
        <w:tc>
          <w:tcPr>
            <w:tcW w:w="311" w:type="pct"/>
            <w:noWrap/>
            <w:hideMark/>
          </w:tcPr>
          <w:p w14:paraId="38A4672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73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2E" w14:textId="77777777" w:rsidR="00CA7A60" w:rsidRPr="009D5847" w:rsidRDefault="00CA7A60" w:rsidP="00FB60E5">
            <w:pPr>
              <w:ind w:left="0"/>
              <w:rPr>
                <w:b w:val="0"/>
              </w:rPr>
            </w:pPr>
            <w:r w:rsidRPr="009D5847">
              <w:rPr>
                <w:b w:val="0"/>
              </w:rPr>
              <w:t>Unknown (n=2047; 8.1%)</w:t>
            </w:r>
          </w:p>
        </w:tc>
        <w:tc>
          <w:tcPr>
            <w:tcW w:w="572" w:type="pct"/>
            <w:noWrap/>
            <w:hideMark/>
          </w:tcPr>
          <w:p w14:paraId="38A4672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1145 (55.9%)</w:t>
            </w:r>
          </w:p>
        </w:tc>
        <w:tc>
          <w:tcPr>
            <w:tcW w:w="529" w:type="pct"/>
            <w:noWrap/>
            <w:hideMark/>
          </w:tcPr>
          <w:p w14:paraId="38A4673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189 (9.2%)</w:t>
            </w:r>
          </w:p>
        </w:tc>
        <w:tc>
          <w:tcPr>
            <w:tcW w:w="533" w:type="pct"/>
            <w:noWrap/>
            <w:hideMark/>
          </w:tcPr>
          <w:p w14:paraId="38A4673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167 (8.2%)</w:t>
            </w:r>
          </w:p>
        </w:tc>
        <w:tc>
          <w:tcPr>
            <w:tcW w:w="533" w:type="pct"/>
            <w:noWrap/>
            <w:hideMark/>
          </w:tcPr>
          <w:p w14:paraId="38A4673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136 (6.6%)</w:t>
            </w:r>
          </w:p>
        </w:tc>
        <w:tc>
          <w:tcPr>
            <w:tcW w:w="682" w:type="pct"/>
            <w:noWrap/>
            <w:hideMark/>
          </w:tcPr>
          <w:p w14:paraId="38A467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410 (20.0%)</w:t>
            </w:r>
          </w:p>
        </w:tc>
        <w:tc>
          <w:tcPr>
            <w:tcW w:w="311" w:type="pct"/>
            <w:noWrap/>
            <w:hideMark/>
          </w:tcPr>
          <w:p w14:paraId="38A46734" w14:textId="77777777" w:rsidR="00CA7A60" w:rsidRPr="00FB60E5" w:rsidRDefault="0090708D"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340424" w:rsidRPr="00FB60E5" w14:paraId="38A4673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73C" w14:textId="1BD9D054" w:rsidR="00340424" w:rsidRPr="00340424" w:rsidRDefault="00340424" w:rsidP="00FB60E5">
            <w:pPr>
              <w:ind w:left="0"/>
              <w:rPr>
                <w:b w:val="0"/>
                <w:bCs w:val="0"/>
              </w:rPr>
            </w:pPr>
            <w:r w:rsidRPr="00FB60E5">
              <w:t>Homeless status</w:t>
            </w:r>
          </w:p>
        </w:tc>
      </w:tr>
      <w:tr w:rsidR="00CA7A60" w:rsidRPr="00FB60E5" w14:paraId="38A4674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3E" w14:textId="77777777" w:rsidR="00CA7A60" w:rsidRPr="009D5847" w:rsidRDefault="00CA7A60" w:rsidP="00FB60E5">
            <w:pPr>
              <w:ind w:left="0"/>
              <w:rPr>
                <w:b w:val="0"/>
              </w:rPr>
            </w:pPr>
            <w:r w:rsidRPr="009D5847">
              <w:rPr>
                <w:b w:val="0"/>
              </w:rPr>
              <w:t>Homeless (n=1186; 4.7%)</w:t>
            </w:r>
          </w:p>
        </w:tc>
        <w:tc>
          <w:tcPr>
            <w:tcW w:w="572" w:type="pct"/>
            <w:noWrap/>
            <w:hideMark/>
          </w:tcPr>
          <w:p w14:paraId="38A467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523 (44.1%)</w:t>
            </w:r>
          </w:p>
        </w:tc>
        <w:tc>
          <w:tcPr>
            <w:tcW w:w="529" w:type="pct"/>
            <w:noWrap/>
            <w:hideMark/>
          </w:tcPr>
          <w:p w14:paraId="38A4674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105 (8.9%)</w:t>
            </w:r>
          </w:p>
        </w:tc>
        <w:tc>
          <w:tcPr>
            <w:tcW w:w="533" w:type="pct"/>
            <w:noWrap/>
            <w:hideMark/>
          </w:tcPr>
          <w:p w14:paraId="38A4674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97 (8.2%)</w:t>
            </w:r>
          </w:p>
        </w:tc>
        <w:tc>
          <w:tcPr>
            <w:tcW w:w="533" w:type="pct"/>
            <w:noWrap/>
            <w:hideMark/>
          </w:tcPr>
          <w:p w14:paraId="38A4674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 (6.0%)</w:t>
            </w:r>
          </w:p>
        </w:tc>
        <w:tc>
          <w:tcPr>
            <w:tcW w:w="682" w:type="pct"/>
            <w:noWrap/>
            <w:hideMark/>
          </w:tcPr>
          <w:p w14:paraId="38A4674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390 (32.9%)</w:t>
            </w:r>
          </w:p>
        </w:tc>
        <w:tc>
          <w:tcPr>
            <w:tcW w:w="311" w:type="pct"/>
            <w:noWrap/>
            <w:hideMark/>
          </w:tcPr>
          <w:p w14:paraId="38A4674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74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46" w14:textId="77777777" w:rsidR="00CA7A60" w:rsidRPr="009D5847" w:rsidRDefault="00CA7A60" w:rsidP="00FB60E5">
            <w:pPr>
              <w:ind w:left="0"/>
              <w:rPr>
                <w:b w:val="0"/>
              </w:rPr>
            </w:pPr>
            <w:r w:rsidRPr="009D5847">
              <w:rPr>
                <w:b w:val="0"/>
              </w:rPr>
              <w:t>Not homeless (n=23118; 91.6%)</w:t>
            </w:r>
          </w:p>
        </w:tc>
        <w:tc>
          <w:tcPr>
            <w:tcW w:w="572" w:type="pct"/>
            <w:noWrap/>
            <w:hideMark/>
          </w:tcPr>
          <w:p w14:paraId="38A4674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12173 (52.7%)</w:t>
            </w:r>
          </w:p>
        </w:tc>
        <w:tc>
          <w:tcPr>
            <w:tcW w:w="529" w:type="pct"/>
            <w:noWrap/>
            <w:hideMark/>
          </w:tcPr>
          <w:p w14:paraId="38A4674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2161 (9.3%)</w:t>
            </w:r>
          </w:p>
        </w:tc>
        <w:tc>
          <w:tcPr>
            <w:tcW w:w="533" w:type="pct"/>
            <w:noWrap/>
            <w:hideMark/>
          </w:tcPr>
          <w:p w14:paraId="38A4674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1785 (7.7%)</w:t>
            </w:r>
          </w:p>
        </w:tc>
        <w:tc>
          <w:tcPr>
            <w:tcW w:w="533" w:type="pct"/>
            <w:noWrap/>
            <w:hideMark/>
          </w:tcPr>
          <w:p w14:paraId="38A4674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1734 (7.5%)</w:t>
            </w:r>
          </w:p>
        </w:tc>
        <w:tc>
          <w:tcPr>
            <w:tcW w:w="682" w:type="pct"/>
            <w:noWrap/>
            <w:hideMark/>
          </w:tcPr>
          <w:p w14:paraId="38A4674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5265 (22.8%)</w:t>
            </w:r>
          </w:p>
        </w:tc>
        <w:tc>
          <w:tcPr>
            <w:tcW w:w="311" w:type="pct"/>
            <w:noWrap/>
            <w:hideMark/>
          </w:tcPr>
          <w:p w14:paraId="38A4674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75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4E" w14:textId="77777777" w:rsidR="00CA7A60" w:rsidRPr="009D5847" w:rsidRDefault="00CA7A60" w:rsidP="00FB60E5">
            <w:pPr>
              <w:ind w:left="0"/>
              <w:rPr>
                <w:b w:val="0"/>
              </w:rPr>
            </w:pPr>
            <w:r w:rsidRPr="009D5847">
              <w:rPr>
                <w:b w:val="0"/>
              </w:rPr>
              <w:t>Unknown (n=925; 3.7%)</w:t>
            </w:r>
          </w:p>
        </w:tc>
        <w:tc>
          <w:tcPr>
            <w:tcW w:w="572" w:type="pct"/>
            <w:noWrap/>
            <w:hideMark/>
          </w:tcPr>
          <w:p w14:paraId="38A467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532 (57.5%)</w:t>
            </w:r>
          </w:p>
        </w:tc>
        <w:tc>
          <w:tcPr>
            <w:tcW w:w="529" w:type="pct"/>
            <w:noWrap/>
            <w:hideMark/>
          </w:tcPr>
          <w:p w14:paraId="38A467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 (8.9%)</w:t>
            </w:r>
          </w:p>
        </w:tc>
        <w:tc>
          <w:tcPr>
            <w:tcW w:w="533" w:type="pct"/>
            <w:noWrap/>
            <w:hideMark/>
          </w:tcPr>
          <w:p w14:paraId="38A467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76 (8.2%)</w:t>
            </w:r>
          </w:p>
        </w:tc>
        <w:tc>
          <w:tcPr>
            <w:tcW w:w="533" w:type="pct"/>
            <w:noWrap/>
            <w:hideMark/>
          </w:tcPr>
          <w:p w14:paraId="38A467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62 (6.7%)</w:t>
            </w:r>
          </w:p>
        </w:tc>
        <w:tc>
          <w:tcPr>
            <w:tcW w:w="682" w:type="pct"/>
            <w:noWrap/>
            <w:hideMark/>
          </w:tcPr>
          <w:p w14:paraId="38A467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173 (18.7%)</w:t>
            </w:r>
          </w:p>
        </w:tc>
        <w:tc>
          <w:tcPr>
            <w:tcW w:w="311" w:type="pct"/>
            <w:noWrap/>
            <w:hideMark/>
          </w:tcPr>
          <w:p w14:paraId="38A46754" w14:textId="77777777" w:rsidR="00CA7A60" w:rsidRPr="00FB60E5" w:rsidRDefault="0090708D"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340424" w:rsidRPr="00FB60E5" w14:paraId="38A4675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75C" w14:textId="3BA4E6A9" w:rsidR="00340424" w:rsidRPr="00FB60E5" w:rsidRDefault="00340424" w:rsidP="00FB60E5">
            <w:pPr>
              <w:ind w:left="0"/>
            </w:pPr>
            <w:r w:rsidRPr="00FB60E5">
              <w:t>Region</w:t>
            </w:r>
          </w:p>
        </w:tc>
      </w:tr>
      <w:tr w:rsidR="00CA7A60" w:rsidRPr="00FB60E5" w14:paraId="38A4676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5E" w14:textId="77777777" w:rsidR="00CA7A60" w:rsidRPr="009D5847" w:rsidRDefault="00CA7A60" w:rsidP="00FB60E5">
            <w:pPr>
              <w:ind w:left="0"/>
              <w:rPr>
                <w:b w:val="0"/>
              </w:rPr>
            </w:pPr>
            <w:r w:rsidRPr="009D5847">
              <w:rPr>
                <w:b w:val="0"/>
              </w:rPr>
              <w:t>Metro</w:t>
            </w:r>
            <w:r w:rsidR="00727B57" w:rsidRPr="009D5847">
              <w:rPr>
                <w:b w:val="0"/>
              </w:rPr>
              <w:t>politan</w:t>
            </w:r>
            <w:r w:rsidRPr="009D5847">
              <w:rPr>
                <w:b w:val="0"/>
              </w:rPr>
              <w:t xml:space="preserve"> Melbourne (n=12346; 48.9%)</w:t>
            </w:r>
          </w:p>
        </w:tc>
        <w:tc>
          <w:tcPr>
            <w:tcW w:w="572" w:type="pct"/>
            <w:noWrap/>
            <w:hideMark/>
          </w:tcPr>
          <w:p w14:paraId="38A4675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6024 (48.8%)</w:t>
            </w:r>
          </w:p>
        </w:tc>
        <w:tc>
          <w:tcPr>
            <w:tcW w:w="529" w:type="pct"/>
            <w:noWrap/>
            <w:hideMark/>
          </w:tcPr>
          <w:p w14:paraId="38A4676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1203 (9.7%)</w:t>
            </w:r>
          </w:p>
        </w:tc>
        <w:tc>
          <w:tcPr>
            <w:tcW w:w="533" w:type="pct"/>
            <w:noWrap/>
            <w:hideMark/>
          </w:tcPr>
          <w:p w14:paraId="38A4676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1074 (8.7%)</w:t>
            </w:r>
          </w:p>
        </w:tc>
        <w:tc>
          <w:tcPr>
            <w:tcW w:w="533" w:type="pct"/>
            <w:noWrap/>
            <w:hideMark/>
          </w:tcPr>
          <w:p w14:paraId="38A4676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928 (7.5%)</w:t>
            </w:r>
          </w:p>
        </w:tc>
        <w:tc>
          <w:tcPr>
            <w:tcW w:w="682" w:type="pct"/>
            <w:noWrap/>
            <w:hideMark/>
          </w:tcPr>
          <w:p w14:paraId="38A467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3117 (25.2%)</w:t>
            </w:r>
          </w:p>
        </w:tc>
        <w:tc>
          <w:tcPr>
            <w:tcW w:w="311" w:type="pct"/>
            <w:noWrap/>
            <w:hideMark/>
          </w:tcPr>
          <w:p w14:paraId="38A4676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76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66" w14:textId="77777777" w:rsidR="00CA7A60" w:rsidRPr="009D5847" w:rsidRDefault="00CA7A60" w:rsidP="00FB60E5">
            <w:pPr>
              <w:ind w:left="0"/>
              <w:rPr>
                <w:b w:val="0"/>
              </w:rPr>
            </w:pPr>
            <w:r w:rsidRPr="009D5847">
              <w:rPr>
                <w:b w:val="0"/>
              </w:rPr>
              <w:t>Rest of V</w:t>
            </w:r>
            <w:r w:rsidR="00727B57" w:rsidRPr="009D5847">
              <w:rPr>
                <w:b w:val="0"/>
              </w:rPr>
              <w:t>ictoria</w:t>
            </w:r>
            <w:r w:rsidRPr="009D5847">
              <w:rPr>
                <w:b w:val="0"/>
              </w:rPr>
              <w:t xml:space="preserve"> (n=7875; 31.2%)</w:t>
            </w:r>
          </w:p>
        </w:tc>
        <w:tc>
          <w:tcPr>
            <w:tcW w:w="572" w:type="pct"/>
            <w:noWrap/>
            <w:hideMark/>
          </w:tcPr>
          <w:p w14:paraId="38A4676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4556 (57.9%)</w:t>
            </w:r>
          </w:p>
        </w:tc>
        <w:tc>
          <w:tcPr>
            <w:tcW w:w="529" w:type="pct"/>
            <w:noWrap/>
            <w:hideMark/>
          </w:tcPr>
          <w:p w14:paraId="38A467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633 (8.0%)</w:t>
            </w:r>
          </w:p>
        </w:tc>
        <w:tc>
          <w:tcPr>
            <w:tcW w:w="533" w:type="pct"/>
            <w:noWrap/>
            <w:hideMark/>
          </w:tcPr>
          <w:p w14:paraId="38A4676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513 (6.5%)</w:t>
            </w:r>
          </w:p>
        </w:tc>
        <w:tc>
          <w:tcPr>
            <w:tcW w:w="533" w:type="pct"/>
            <w:noWrap/>
            <w:hideMark/>
          </w:tcPr>
          <w:p w14:paraId="38A467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506 (6.4%)</w:t>
            </w:r>
          </w:p>
        </w:tc>
        <w:tc>
          <w:tcPr>
            <w:tcW w:w="682" w:type="pct"/>
            <w:noWrap/>
            <w:hideMark/>
          </w:tcPr>
          <w:p w14:paraId="38A4676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1667 (21.2%)</w:t>
            </w:r>
          </w:p>
        </w:tc>
        <w:tc>
          <w:tcPr>
            <w:tcW w:w="311" w:type="pct"/>
            <w:noWrap/>
            <w:hideMark/>
          </w:tcPr>
          <w:p w14:paraId="38A4676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77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6E" w14:textId="77777777" w:rsidR="00CA7A60" w:rsidRPr="009D5847" w:rsidRDefault="00CA7A60" w:rsidP="00FB60E5">
            <w:pPr>
              <w:ind w:left="0"/>
              <w:rPr>
                <w:b w:val="0"/>
              </w:rPr>
            </w:pPr>
            <w:r w:rsidRPr="009D5847">
              <w:rPr>
                <w:b w:val="0"/>
              </w:rPr>
              <w:t>Interstate (n=438; 1.7%)</w:t>
            </w:r>
          </w:p>
        </w:tc>
        <w:tc>
          <w:tcPr>
            <w:tcW w:w="572" w:type="pct"/>
            <w:noWrap/>
            <w:hideMark/>
          </w:tcPr>
          <w:p w14:paraId="38A467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228 (52.1%)</w:t>
            </w:r>
          </w:p>
        </w:tc>
        <w:tc>
          <w:tcPr>
            <w:tcW w:w="529" w:type="pct"/>
            <w:noWrap/>
            <w:hideMark/>
          </w:tcPr>
          <w:p w14:paraId="38A467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 (8.9%)</w:t>
            </w:r>
          </w:p>
        </w:tc>
        <w:tc>
          <w:tcPr>
            <w:tcW w:w="533" w:type="pct"/>
            <w:noWrap/>
            <w:hideMark/>
          </w:tcPr>
          <w:p w14:paraId="38A467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 (8.7%)</w:t>
            </w:r>
          </w:p>
        </w:tc>
        <w:tc>
          <w:tcPr>
            <w:tcW w:w="533" w:type="pct"/>
            <w:noWrap/>
            <w:hideMark/>
          </w:tcPr>
          <w:p w14:paraId="38A4677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 (8.4%)</w:t>
            </w:r>
          </w:p>
        </w:tc>
        <w:tc>
          <w:tcPr>
            <w:tcW w:w="682" w:type="pct"/>
            <w:noWrap/>
            <w:hideMark/>
          </w:tcPr>
          <w:p w14:paraId="38A4677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96 (21.9%)</w:t>
            </w:r>
          </w:p>
        </w:tc>
        <w:tc>
          <w:tcPr>
            <w:tcW w:w="311" w:type="pct"/>
            <w:noWrap/>
            <w:hideMark/>
          </w:tcPr>
          <w:p w14:paraId="38A4677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77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776" w14:textId="77777777" w:rsidR="00CA7A60" w:rsidRPr="009D5847" w:rsidRDefault="00CA7A60" w:rsidP="00FB60E5">
            <w:pPr>
              <w:ind w:left="0"/>
              <w:rPr>
                <w:b w:val="0"/>
              </w:rPr>
            </w:pPr>
            <w:r w:rsidRPr="009D5847">
              <w:rPr>
                <w:b w:val="0"/>
              </w:rPr>
              <w:t>Unknown (n=4570; 18.1%)</w:t>
            </w:r>
          </w:p>
        </w:tc>
        <w:tc>
          <w:tcPr>
            <w:tcW w:w="572" w:type="pct"/>
            <w:noWrap/>
            <w:hideMark/>
          </w:tcPr>
          <w:p w14:paraId="38A4677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2420 (53.0%)</w:t>
            </w:r>
          </w:p>
        </w:tc>
        <w:tc>
          <w:tcPr>
            <w:tcW w:w="529" w:type="pct"/>
            <w:noWrap/>
            <w:hideMark/>
          </w:tcPr>
          <w:p w14:paraId="38A4677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473 (10.4%)</w:t>
            </w:r>
          </w:p>
        </w:tc>
        <w:tc>
          <w:tcPr>
            <w:tcW w:w="533" w:type="pct"/>
            <w:noWrap/>
            <w:hideMark/>
          </w:tcPr>
          <w:p w14:paraId="38A4677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333 (7.3%)</w:t>
            </w:r>
          </w:p>
        </w:tc>
        <w:tc>
          <w:tcPr>
            <w:tcW w:w="533" w:type="pct"/>
            <w:noWrap/>
            <w:hideMark/>
          </w:tcPr>
          <w:p w14:paraId="38A4677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396 (8.7%)</w:t>
            </w:r>
          </w:p>
        </w:tc>
        <w:tc>
          <w:tcPr>
            <w:tcW w:w="682" w:type="pct"/>
            <w:noWrap/>
            <w:hideMark/>
          </w:tcPr>
          <w:p w14:paraId="38A4677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948 (20.7%)</w:t>
            </w:r>
          </w:p>
        </w:tc>
        <w:tc>
          <w:tcPr>
            <w:tcW w:w="311" w:type="pct"/>
            <w:noWrap/>
            <w:hideMark/>
          </w:tcPr>
          <w:p w14:paraId="38A4677C" w14:textId="77777777" w:rsidR="00CA7A60" w:rsidRPr="00FB60E5" w:rsidRDefault="0090708D"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bookmarkEnd w:id="230"/>
      <w:bookmarkEnd w:id="231"/>
    </w:tbl>
    <w:p w14:paraId="38A4677E" w14:textId="77777777" w:rsidR="00CA7A60" w:rsidRPr="00FB60E5" w:rsidRDefault="00CA7A60" w:rsidP="00FB60E5">
      <w:pPr>
        <w:ind w:left="0"/>
        <w:sectPr w:rsidR="00CA7A60" w:rsidRPr="00FB60E5" w:rsidSect="00CA7A60">
          <w:pgSz w:w="16838" w:h="11906" w:orient="landscape"/>
          <w:pgMar w:top="1276" w:right="1440" w:bottom="1135" w:left="1440" w:header="708" w:footer="595" w:gutter="0"/>
          <w:cols w:space="708"/>
          <w:docGrid w:linePitch="360"/>
        </w:sectPr>
      </w:pPr>
    </w:p>
    <w:p w14:paraId="38A4677F" w14:textId="5AB2E97E" w:rsidR="00CA7A60" w:rsidRPr="00FB60E5" w:rsidRDefault="00CA7A60" w:rsidP="00552239">
      <w:pPr>
        <w:pStyle w:val="Caption"/>
      </w:pPr>
      <w:bookmarkStart w:id="232" w:name="_Ref386792679"/>
      <w:bookmarkStart w:id="233" w:name="_Toc387244627"/>
      <w:bookmarkStart w:id="234" w:name="_Toc531625800"/>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3</w:t>
      </w:r>
      <w:r w:rsidR="00552239">
        <w:fldChar w:fldCharType="end"/>
      </w:r>
      <w:bookmarkEnd w:id="232"/>
      <w:r w:rsidR="002C27A8">
        <w:t xml:space="preserve"> </w:t>
      </w:r>
      <w:r w:rsidRPr="00FB60E5">
        <w:t>Sociodemographic characteristics by ED presentations in 2009/10, 2010/11 and 2011/12</w:t>
      </w:r>
      <w:bookmarkEnd w:id="233"/>
      <w:bookmarkEnd w:id="234"/>
    </w:p>
    <w:tbl>
      <w:tblPr>
        <w:tblStyle w:val="LightList-Accent1"/>
        <w:tblW w:w="5000" w:type="pct"/>
        <w:tblLook w:val="04A0" w:firstRow="1" w:lastRow="0" w:firstColumn="1" w:lastColumn="0" w:noHBand="0" w:noVBand="1"/>
        <w:tblDescription w:val="Table 4.3 is a list of Sociodemographic characteristics by ED presentations in 2009/10, 2010/11 and 2011/12"/>
      </w:tblPr>
      <w:tblGrid>
        <w:gridCol w:w="4907"/>
        <w:gridCol w:w="1445"/>
        <w:gridCol w:w="1445"/>
        <w:gridCol w:w="1445"/>
      </w:tblGrid>
      <w:tr w:rsidR="00CA7A60" w:rsidRPr="00FB60E5" w14:paraId="38A46782"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77" w:type="pct"/>
            <w:vMerge w:val="restart"/>
            <w:noWrap/>
            <w:hideMark/>
          </w:tcPr>
          <w:p w14:paraId="38A46780" w14:textId="77777777" w:rsidR="00CA7A60" w:rsidRPr="00FB60E5" w:rsidRDefault="00CA7A60" w:rsidP="00FB60E5">
            <w:pPr>
              <w:ind w:left="0"/>
            </w:pPr>
            <w:r w:rsidRPr="00FB60E5">
              <w:t> </w:t>
            </w:r>
          </w:p>
        </w:tc>
        <w:tc>
          <w:tcPr>
            <w:tcW w:w="2323" w:type="pct"/>
            <w:gridSpan w:val="3"/>
            <w:hideMark/>
          </w:tcPr>
          <w:p w14:paraId="38A46781" w14:textId="0E19E250"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Number of</w:t>
            </w:r>
            <w:r w:rsidR="002C27A8">
              <w:t xml:space="preserve"> </w:t>
            </w:r>
            <w:r w:rsidRPr="00FB60E5">
              <w:t xml:space="preserve">AOD clients </w:t>
            </w:r>
          </w:p>
        </w:tc>
      </w:tr>
      <w:tr w:rsidR="00CA7A60" w:rsidRPr="00FB60E5" w14:paraId="38A46787"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77" w:type="pct"/>
            <w:vMerge/>
            <w:hideMark/>
          </w:tcPr>
          <w:p w14:paraId="38A46783" w14:textId="77777777" w:rsidR="00CA7A60" w:rsidRPr="00FB60E5" w:rsidRDefault="00CA7A60" w:rsidP="00FB60E5">
            <w:pPr>
              <w:ind w:left="0"/>
            </w:pPr>
          </w:p>
        </w:tc>
        <w:tc>
          <w:tcPr>
            <w:tcW w:w="774" w:type="pct"/>
            <w:hideMark/>
          </w:tcPr>
          <w:p w14:paraId="38A4678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74" w:type="pct"/>
            <w:hideMark/>
          </w:tcPr>
          <w:p w14:paraId="38A4678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74" w:type="pct"/>
            <w:hideMark/>
          </w:tcPr>
          <w:p w14:paraId="38A4678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78C"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88" w14:textId="77777777" w:rsidR="00CA7A60" w:rsidRPr="009D5847" w:rsidRDefault="00CA7A60" w:rsidP="00FB60E5">
            <w:pPr>
              <w:ind w:left="0"/>
              <w:rPr>
                <w:b w:val="0"/>
              </w:rPr>
            </w:pPr>
            <w:r w:rsidRPr="009D5847">
              <w:rPr>
                <w:b w:val="0"/>
              </w:rPr>
              <w:t>Total (n=25229)</w:t>
            </w:r>
          </w:p>
        </w:tc>
        <w:tc>
          <w:tcPr>
            <w:tcW w:w="774" w:type="pct"/>
            <w:noWrap/>
            <w:hideMark/>
          </w:tcPr>
          <w:p w14:paraId="38A4678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6890 (27.3%)</w:t>
            </w:r>
          </w:p>
        </w:tc>
        <w:tc>
          <w:tcPr>
            <w:tcW w:w="774" w:type="pct"/>
            <w:noWrap/>
            <w:hideMark/>
          </w:tcPr>
          <w:p w14:paraId="38A4678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6742 (26.7%)</w:t>
            </w:r>
          </w:p>
        </w:tc>
        <w:tc>
          <w:tcPr>
            <w:tcW w:w="774" w:type="pct"/>
            <w:noWrap/>
            <w:hideMark/>
          </w:tcPr>
          <w:p w14:paraId="38A467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6356 (25.2%)</w:t>
            </w:r>
          </w:p>
        </w:tc>
      </w:tr>
      <w:tr w:rsidR="00340424" w:rsidRPr="00FB60E5" w14:paraId="38A46791"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790" w14:textId="544F4C6A" w:rsidR="00340424" w:rsidRPr="00340424" w:rsidRDefault="00340424" w:rsidP="00FB60E5">
            <w:pPr>
              <w:ind w:left="0"/>
              <w:rPr>
                <w:b w:val="0"/>
                <w:bCs w:val="0"/>
              </w:rPr>
            </w:pPr>
            <w:r w:rsidRPr="00FB60E5">
              <w:t xml:space="preserve">Gender </w:t>
            </w:r>
          </w:p>
        </w:tc>
      </w:tr>
      <w:tr w:rsidR="00CA7A60" w:rsidRPr="00FB60E5" w14:paraId="38A46796"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92" w14:textId="77777777" w:rsidR="00CA7A60" w:rsidRPr="009D5847" w:rsidRDefault="00CA7A60" w:rsidP="00FB60E5">
            <w:pPr>
              <w:ind w:left="0"/>
              <w:rPr>
                <w:b w:val="0"/>
              </w:rPr>
            </w:pPr>
            <w:r w:rsidRPr="009D5847">
              <w:rPr>
                <w:b w:val="0"/>
              </w:rPr>
              <w:t>Male (n=17198; 68.2%)</w:t>
            </w:r>
          </w:p>
        </w:tc>
        <w:tc>
          <w:tcPr>
            <w:tcW w:w="774" w:type="pct"/>
            <w:noWrap/>
            <w:hideMark/>
          </w:tcPr>
          <w:p w14:paraId="38A4679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4514 (26.2%)</w:t>
            </w:r>
          </w:p>
        </w:tc>
        <w:tc>
          <w:tcPr>
            <w:tcW w:w="774" w:type="pct"/>
            <w:noWrap/>
            <w:hideMark/>
          </w:tcPr>
          <w:p w14:paraId="38A4679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4390 (25.5%)</w:t>
            </w:r>
          </w:p>
        </w:tc>
        <w:tc>
          <w:tcPr>
            <w:tcW w:w="774" w:type="pct"/>
            <w:noWrap/>
            <w:hideMark/>
          </w:tcPr>
          <w:p w14:paraId="38A467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4142 (24.1%)</w:t>
            </w:r>
          </w:p>
        </w:tc>
      </w:tr>
      <w:tr w:rsidR="00CA7A60" w:rsidRPr="00FB60E5" w14:paraId="38A4679B"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97" w14:textId="77777777" w:rsidR="00CA7A60" w:rsidRPr="009D5847" w:rsidRDefault="00CA7A60" w:rsidP="00FB60E5">
            <w:pPr>
              <w:ind w:left="0"/>
              <w:rPr>
                <w:b w:val="0"/>
              </w:rPr>
            </w:pPr>
            <w:r w:rsidRPr="009D5847">
              <w:rPr>
                <w:b w:val="0"/>
              </w:rPr>
              <w:t>Female (n=7982; 31.6%)</w:t>
            </w:r>
          </w:p>
        </w:tc>
        <w:tc>
          <w:tcPr>
            <w:tcW w:w="774" w:type="pct"/>
            <w:noWrap/>
            <w:hideMark/>
          </w:tcPr>
          <w:p w14:paraId="38A4679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2376 (29.8%)</w:t>
            </w:r>
          </w:p>
        </w:tc>
        <w:tc>
          <w:tcPr>
            <w:tcW w:w="774" w:type="pct"/>
            <w:noWrap/>
            <w:hideMark/>
          </w:tcPr>
          <w:p w14:paraId="38A4679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2352 (29.5%)</w:t>
            </w:r>
          </w:p>
        </w:tc>
        <w:tc>
          <w:tcPr>
            <w:tcW w:w="774" w:type="pct"/>
            <w:noWrap/>
            <w:hideMark/>
          </w:tcPr>
          <w:p w14:paraId="38A467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2214 (27.7%)</w:t>
            </w:r>
          </w:p>
        </w:tc>
      </w:tr>
      <w:tr w:rsidR="00340424" w:rsidRPr="00FB60E5" w14:paraId="38A467A0"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79F" w14:textId="523ABA0C" w:rsidR="00340424" w:rsidRPr="00FB60E5" w:rsidRDefault="00340424" w:rsidP="00FB60E5">
            <w:pPr>
              <w:ind w:left="0"/>
            </w:pPr>
            <w:r w:rsidRPr="00FB60E5">
              <w:t>Age group</w:t>
            </w:r>
          </w:p>
        </w:tc>
      </w:tr>
      <w:tr w:rsidR="00CA7A60" w:rsidRPr="00FB60E5" w14:paraId="38A467A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A1" w14:textId="77777777" w:rsidR="00CA7A60" w:rsidRPr="009D5847" w:rsidRDefault="00CA7A60" w:rsidP="00FB60E5">
            <w:pPr>
              <w:ind w:left="0"/>
              <w:rPr>
                <w:b w:val="0"/>
              </w:rPr>
            </w:pPr>
            <w:r w:rsidRPr="009D5847">
              <w:rPr>
                <w:b w:val="0"/>
              </w:rPr>
              <w:t>0-14 (n=340; 1.3%)</w:t>
            </w:r>
          </w:p>
        </w:tc>
        <w:tc>
          <w:tcPr>
            <w:tcW w:w="774" w:type="pct"/>
            <w:noWrap/>
            <w:hideMark/>
          </w:tcPr>
          <w:p w14:paraId="38A467A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62 (18.2%)</w:t>
            </w:r>
          </w:p>
        </w:tc>
        <w:tc>
          <w:tcPr>
            <w:tcW w:w="774" w:type="pct"/>
            <w:noWrap/>
            <w:hideMark/>
          </w:tcPr>
          <w:p w14:paraId="38A467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81 (23.8%)</w:t>
            </w:r>
          </w:p>
        </w:tc>
        <w:tc>
          <w:tcPr>
            <w:tcW w:w="774" w:type="pct"/>
            <w:noWrap/>
            <w:hideMark/>
          </w:tcPr>
          <w:p w14:paraId="38A467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83 (24.4%)</w:t>
            </w:r>
          </w:p>
        </w:tc>
      </w:tr>
      <w:tr w:rsidR="00CA7A60" w:rsidRPr="00FB60E5" w14:paraId="38A467AA"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A6" w14:textId="77777777" w:rsidR="00CA7A60" w:rsidRPr="009D5847" w:rsidRDefault="00CA7A60" w:rsidP="00FB60E5">
            <w:pPr>
              <w:ind w:left="0"/>
              <w:rPr>
                <w:b w:val="0"/>
              </w:rPr>
            </w:pPr>
            <w:r w:rsidRPr="009D5847">
              <w:rPr>
                <w:b w:val="0"/>
              </w:rPr>
              <w:t>15-24 (n=6654; 26.4%)</w:t>
            </w:r>
          </w:p>
        </w:tc>
        <w:tc>
          <w:tcPr>
            <w:tcW w:w="774" w:type="pct"/>
            <w:noWrap/>
            <w:hideMark/>
          </w:tcPr>
          <w:p w14:paraId="38A467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1822 (27.4%)</w:t>
            </w:r>
          </w:p>
        </w:tc>
        <w:tc>
          <w:tcPr>
            <w:tcW w:w="774" w:type="pct"/>
            <w:noWrap/>
            <w:hideMark/>
          </w:tcPr>
          <w:p w14:paraId="38A467A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1743 (26.2%)</w:t>
            </w:r>
          </w:p>
        </w:tc>
        <w:tc>
          <w:tcPr>
            <w:tcW w:w="774" w:type="pct"/>
            <w:noWrap/>
            <w:hideMark/>
          </w:tcPr>
          <w:p w14:paraId="38A467A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1693 (25.4%)</w:t>
            </w:r>
          </w:p>
        </w:tc>
      </w:tr>
      <w:tr w:rsidR="00CA7A60" w:rsidRPr="00FB60E5" w14:paraId="38A467AF"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AB" w14:textId="77777777" w:rsidR="00CA7A60" w:rsidRPr="009D5847" w:rsidRDefault="00CA7A60" w:rsidP="00FB60E5">
            <w:pPr>
              <w:ind w:left="0"/>
              <w:rPr>
                <w:b w:val="0"/>
              </w:rPr>
            </w:pPr>
            <w:r w:rsidRPr="009D5847">
              <w:rPr>
                <w:b w:val="0"/>
              </w:rPr>
              <w:t>25-34 (n=7334; 29.1%)</w:t>
            </w:r>
          </w:p>
        </w:tc>
        <w:tc>
          <w:tcPr>
            <w:tcW w:w="774" w:type="pct"/>
            <w:noWrap/>
            <w:hideMark/>
          </w:tcPr>
          <w:p w14:paraId="38A467A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2031 (27.7%)</w:t>
            </w:r>
          </w:p>
        </w:tc>
        <w:tc>
          <w:tcPr>
            <w:tcW w:w="774" w:type="pct"/>
            <w:noWrap/>
            <w:hideMark/>
          </w:tcPr>
          <w:p w14:paraId="38A467A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1957 (26.7%)</w:t>
            </w:r>
          </w:p>
        </w:tc>
        <w:tc>
          <w:tcPr>
            <w:tcW w:w="774" w:type="pct"/>
            <w:noWrap/>
            <w:hideMark/>
          </w:tcPr>
          <w:p w14:paraId="38A467A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1840 (25.1%)</w:t>
            </w:r>
          </w:p>
        </w:tc>
      </w:tr>
      <w:tr w:rsidR="00CA7A60" w:rsidRPr="00FB60E5" w14:paraId="38A467B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B0" w14:textId="77777777" w:rsidR="00CA7A60" w:rsidRPr="009D5847" w:rsidRDefault="00CA7A60" w:rsidP="00FB60E5">
            <w:pPr>
              <w:ind w:left="0"/>
              <w:rPr>
                <w:b w:val="0"/>
              </w:rPr>
            </w:pPr>
            <w:r w:rsidRPr="009D5847">
              <w:rPr>
                <w:b w:val="0"/>
              </w:rPr>
              <w:t>35-44 (n=6220; 24.7%)</w:t>
            </w:r>
          </w:p>
        </w:tc>
        <w:tc>
          <w:tcPr>
            <w:tcW w:w="774" w:type="pct"/>
            <w:noWrap/>
            <w:hideMark/>
          </w:tcPr>
          <w:p w14:paraId="38A467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1699 (27.3%)</w:t>
            </w:r>
          </w:p>
        </w:tc>
        <w:tc>
          <w:tcPr>
            <w:tcW w:w="774" w:type="pct"/>
            <w:noWrap/>
            <w:hideMark/>
          </w:tcPr>
          <w:p w14:paraId="38A467B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1652 (26.6%)</w:t>
            </w:r>
          </w:p>
        </w:tc>
        <w:tc>
          <w:tcPr>
            <w:tcW w:w="774" w:type="pct"/>
            <w:noWrap/>
            <w:hideMark/>
          </w:tcPr>
          <w:p w14:paraId="38A467B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1542 (24.8%)</w:t>
            </w:r>
          </w:p>
        </w:tc>
      </w:tr>
      <w:tr w:rsidR="00CA7A60" w:rsidRPr="00FB60E5" w14:paraId="38A467B9"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B5" w14:textId="77777777" w:rsidR="00CA7A60" w:rsidRPr="009D5847" w:rsidRDefault="00CA7A60" w:rsidP="00FB60E5">
            <w:pPr>
              <w:ind w:left="0"/>
              <w:rPr>
                <w:b w:val="0"/>
              </w:rPr>
            </w:pPr>
            <w:r w:rsidRPr="009D5847">
              <w:rPr>
                <w:b w:val="0"/>
              </w:rPr>
              <w:t>45-54 (n=3202; 12.7%)</w:t>
            </w:r>
          </w:p>
        </w:tc>
        <w:tc>
          <w:tcPr>
            <w:tcW w:w="774" w:type="pct"/>
            <w:noWrap/>
            <w:hideMark/>
          </w:tcPr>
          <w:p w14:paraId="38A467B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898 (28.0%)</w:t>
            </w:r>
          </w:p>
        </w:tc>
        <w:tc>
          <w:tcPr>
            <w:tcW w:w="774" w:type="pct"/>
            <w:noWrap/>
            <w:hideMark/>
          </w:tcPr>
          <w:p w14:paraId="38A467B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903 (28.2%)</w:t>
            </w:r>
          </w:p>
        </w:tc>
        <w:tc>
          <w:tcPr>
            <w:tcW w:w="774" w:type="pct"/>
            <w:noWrap/>
            <w:hideMark/>
          </w:tcPr>
          <w:p w14:paraId="38A467B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835 (26.1%)</w:t>
            </w:r>
          </w:p>
        </w:tc>
      </w:tr>
      <w:tr w:rsidR="00CA7A60" w:rsidRPr="00FB60E5" w14:paraId="38A467BE"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BA" w14:textId="77777777" w:rsidR="00CA7A60" w:rsidRPr="009D5847" w:rsidRDefault="00CA7A60" w:rsidP="00FB60E5">
            <w:pPr>
              <w:ind w:left="0"/>
              <w:rPr>
                <w:b w:val="0"/>
              </w:rPr>
            </w:pPr>
            <w:r w:rsidRPr="009D5847">
              <w:rPr>
                <w:b w:val="0"/>
              </w:rPr>
              <w:t>55-64 (n=1102; 4.4%)</w:t>
            </w:r>
          </w:p>
        </w:tc>
        <w:tc>
          <w:tcPr>
            <w:tcW w:w="774" w:type="pct"/>
            <w:noWrap/>
            <w:hideMark/>
          </w:tcPr>
          <w:p w14:paraId="38A467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286 (26.0%)</w:t>
            </w:r>
          </w:p>
        </w:tc>
        <w:tc>
          <w:tcPr>
            <w:tcW w:w="774" w:type="pct"/>
            <w:noWrap/>
            <w:hideMark/>
          </w:tcPr>
          <w:p w14:paraId="38A467B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313 (28.4%)</w:t>
            </w:r>
          </w:p>
        </w:tc>
        <w:tc>
          <w:tcPr>
            <w:tcW w:w="774" w:type="pct"/>
            <w:noWrap/>
            <w:hideMark/>
          </w:tcPr>
          <w:p w14:paraId="38A467B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283 (25.7%)</w:t>
            </w:r>
          </w:p>
        </w:tc>
      </w:tr>
      <w:tr w:rsidR="00CA7A60" w:rsidRPr="00FB60E5" w14:paraId="38A467C3"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BF" w14:textId="77777777" w:rsidR="00CA7A60" w:rsidRPr="009D5847" w:rsidRDefault="00CA7A60" w:rsidP="00FB60E5">
            <w:pPr>
              <w:ind w:left="0"/>
              <w:rPr>
                <w:b w:val="0"/>
              </w:rPr>
            </w:pPr>
            <w:r w:rsidRPr="009D5847">
              <w:rPr>
                <w:b w:val="0"/>
              </w:rPr>
              <w:t>65+ (n=377; 1.5%)</w:t>
            </w:r>
          </w:p>
        </w:tc>
        <w:tc>
          <w:tcPr>
            <w:tcW w:w="774" w:type="pct"/>
            <w:noWrap/>
            <w:hideMark/>
          </w:tcPr>
          <w:p w14:paraId="38A467C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92 (24.4%)</w:t>
            </w:r>
          </w:p>
        </w:tc>
        <w:tc>
          <w:tcPr>
            <w:tcW w:w="774" w:type="pct"/>
            <w:noWrap/>
            <w:hideMark/>
          </w:tcPr>
          <w:p w14:paraId="38A467C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93 (24.7%)</w:t>
            </w:r>
          </w:p>
        </w:tc>
        <w:tc>
          <w:tcPr>
            <w:tcW w:w="774" w:type="pct"/>
            <w:noWrap/>
            <w:hideMark/>
          </w:tcPr>
          <w:p w14:paraId="38A467C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80 (21.2%)</w:t>
            </w:r>
          </w:p>
        </w:tc>
      </w:tr>
      <w:tr w:rsidR="00340424" w:rsidRPr="00FB60E5" w14:paraId="38A467C8"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7C7" w14:textId="5C5EDF6E" w:rsidR="00340424" w:rsidRPr="00340424" w:rsidRDefault="00340424" w:rsidP="00FB60E5">
            <w:pPr>
              <w:ind w:left="0"/>
              <w:rPr>
                <w:b w:val="0"/>
                <w:bCs w:val="0"/>
              </w:rPr>
            </w:pPr>
            <w:r w:rsidRPr="00FB60E5">
              <w:t>Country of birth</w:t>
            </w:r>
          </w:p>
        </w:tc>
      </w:tr>
      <w:tr w:rsidR="00CA7A60" w:rsidRPr="00FB60E5" w14:paraId="38A467C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C9" w14:textId="77777777" w:rsidR="00CA7A60" w:rsidRPr="009D5847" w:rsidRDefault="00CA7A60" w:rsidP="00FB60E5">
            <w:pPr>
              <w:ind w:left="0"/>
              <w:rPr>
                <w:b w:val="0"/>
              </w:rPr>
            </w:pPr>
            <w:r w:rsidRPr="009D5847">
              <w:rPr>
                <w:b w:val="0"/>
              </w:rPr>
              <w:t>Australia (n=21501; 85.2%)</w:t>
            </w:r>
          </w:p>
        </w:tc>
        <w:tc>
          <w:tcPr>
            <w:tcW w:w="774" w:type="pct"/>
            <w:noWrap/>
            <w:hideMark/>
          </w:tcPr>
          <w:p w14:paraId="38A467C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6005 (27.9%)</w:t>
            </w:r>
          </w:p>
        </w:tc>
        <w:tc>
          <w:tcPr>
            <w:tcW w:w="774" w:type="pct"/>
            <w:noWrap/>
            <w:hideMark/>
          </w:tcPr>
          <w:p w14:paraId="38A467C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5871 (27.3%)</w:t>
            </w:r>
          </w:p>
        </w:tc>
        <w:tc>
          <w:tcPr>
            <w:tcW w:w="774" w:type="pct"/>
            <w:noWrap/>
            <w:hideMark/>
          </w:tcPr>
          <w:p w14:paraId="38A467C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5523 (25.7%)</w:t>
            </w:r>
          </w:p>
        </w:tc>
      </w:tr>
      <w:tr w:rsidR="00CA7A60" w:rsidRPr="00FB60E5" w14:paraId="38A467D2"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CE" w14:textId="77777777" w:rsidR="00CA7A60" w:rsidRPr="009D5847" w:rsidRDefault="00CA7A60" w:rsidP="00FB60E5">
            <w:pPr>
              <w:ind w:left="0"/>
              <w:rPr>
                <w:b w:val="0"/>
              </w:rPr>
            </w:pPr>
            <w:r w:rsidRPr="009D5847">
              <w:rPr>
                <w:b w:val="0"/>
              </w:rPr>
              <w:t>Other (n=3728; 14.8%)</w:t>
            </w:r>
          </w:p>
        </w:tc>
        <w:tc>
          <w:tcPr>
            <w:tcW w:w="774" w:type="pct"/>
            <w:noWrap/>
            <w:hideMark/>
          </w:tcPr>
          <w:p w14:paraId="38A467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885 (23.7%)</w:t>
            </w:r>
          </w:p>
        </w:tc>
        <w:tc>
          <w:tcPr>
            <w:tcW w:w="774" w:type="pct"/>
            <w:noWrap/>
            <w:hideMark/>
          </w:tcPr>
          <w:p w14:paraId="38A467D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871 (23.4%)</w:t>
            </w:r>
          </w:p>
        </w:tc>
        <w:tc>
          <w:tcPr>
            <w:tcW w:w="774" w:type="pct"/>
            <w:noWrap/>
            <w:hideMark/>
          </w:tcPr>
          <w:p w14:paraId="38A467D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833 (22.3%)</w:t>
            </w:r>
          </w:p>
        </w:tc>
      </w:tr>
      <w:tr w:rsidR="00340424" w:rsidRPr="00FB60E5" w14:paraId="38A467D7"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7D6" w14:textId="31D8F65A" w:rsidR="00340424" w:rsidRPr="00340424" w:rsidRDefault="00340424" w:rsidP="00340424">
            <w:pPr>
              <w:ind w:left="0"/>
              <w:rPr>
                <w:b w:val="0"/>
                <w:bCs w:val="0"/>
              </w:rPr>
            </w:pPr>
            <w:r w:rsidRPr="00FB60E5">
              <w:t>Indigenous status</w:t>
            </w:r>
          </w:p>
        </w:tc>
      </w:tr>
      <w:tr w:rsidR="00CA7A60" w:rsidRPr="00FB60E5" w14:paraId="38A467DC"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D8" w14:textId="77777777" w:rsidR="00CA7A60" w:rsidRPr="009D5847" w:rsidRDefault="00CA7A60" w:rsidP="00FB60E5">
            <w:pPr>
              <w:ind w:left="0"/>
              <w:rPr>
                <w:b w:val="0"/>
              </w:rPr>
            </w:pPr>
            <w:r w:rsidRPr="009D5847">
              <w:rPr>
                <w:b w:val="0"/>
              </w:rPr>
              <w:t>Aboriginal and/or TSI origin (n=1832; 7.3%)</w:t>
            </w:r>
          </w:p>
        </w:tc>
        <w:tc>
          <w:tcPr>
            <w:tcW w:w="774" w:type="pct"/>
            <w:noWrap/>
            <w:hideMark/>
          </w:tcPr>
          <w:p w14:paraId="38A467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544 (29.7%)</w:t>
            </w:r>
          </w:p>
        </w:tc>
        <w:tc>
          <w:tcPr>
            <w:tcW w:w="774" w:type="pct"/>
            <w:noWrap/>
            <w:hideMark/>
          </w:tcPr>
          <w:p w14:paraId="38A467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499 (27.2%)</w:t>
            </w:r>
          </w:p>
        </w:tc>
        <w:tc>
          <w:tcPr>
            <w:tcW w:w="774" w:type="pct"/>
            <w:noWrap/>
            <w:hideMark/>
          </w:tcPr>
          <w:p w14:paraId="38A467D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486 (26.5%)</w:t>
            </w:r>
          </w:p>
        </w:tc>
      </w:tr>
      <w:tr w:rsidR="00CA7A60" w:rsidRPr="00FB60E5" w14:paraId="38A467E1"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DD" w14:textId="77777777" w:rsidR="00CA7A60" w:rsidRPr="009D5847" w:rsidRDefault="00CA7A60" w:rsidP="00FB60E5">
            <w:pPr>
              <w:ind w:left="0"/>
              <w:rPr>
                <w:b w:val="0"/>
              </w:rPr>
            </w:pPr>
            <w:r w:rsidRPr="009D5847">
              <w:rPr>
                <w:b w:val="0"/>
              </w:rPr>
              <w:t>Neither Aboriginal nor TSI origin (n=20927; 82.9%)</w:t>
            </w:r>
          </w:p>
        </w:tc>
        <w:tc>
          <w:tcPr>
            <w:tcW w:w="774" w:type="pct"/>
            <w:noWrap/>
            <w:hideMark/>
          </w:tcPr>
          <w:p w14:paraId="38A467D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5743 (27.4%)</w:t>
            </w:r>
          </w:p>
        </w:tc>
        <w:tc>
          <w:tcPr>
            <w:tcW w:w="774" w:type="pct"/>
            <w:noWrap/>
            <w:hideMark/>
          </w:tcPr>
          <w:p w14:paraId="38A467D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5645 (27.0%)</w:t>
            </w:r>
          </w:p>
        </w:tc>
        <w:tc>
          <w:tcPr>
            <w:tcW w:w="774" w:type="pct"/>
            <w:noWrap/>
            <w:hideMark/>
          </w:tcPr>
          <w:p w14:paraId="38A467E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5274 (25.2%)</w:t>
            </w:r>
          </w:p>
        </w:tc>
      </w:tr>
      <w:tr w:rsidR="00CA7A60" w:rsidRPr="00FB60E5" w14:paraId="38A467E6"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E2" w14:textId="77777777" w:rsidR="00CA7A60" w:rsidRPr="009D5847" w:rsidRDefault="00CA7A60" w:rsidP="00FB60E5">
            <w:pPr>
              <w:ind w:left="0"/>
              <w:rPr>
                <w:b w:val="0"/>
              </w:rPr>
            </w:pPr>
            <w:r w:rsidRPr="009D5847">
              <w:rPr>
                <w:b w:val="0"/>
              </w:rPr>
              <w:t>Unknown (n=2470; 9.8%)</w:t>
            </w:r>
          </w:p>
        </w:tc>
        <w:tc>
          <w:tcPr>
            <w:tcW w:w="774" w:type="pct"/>
            <w:noWrap/>
            <w:hideMark/>
          </w:tcPr>
          <w:p w14:paraId="38A467E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603 (24.4%)</w:t>
            </w:r>
          </w:p>
        </w:tc>
        <w:tc>
          <w:tcPr>
            <w:tcW w:w="774" w:type="pct"/>
            <w:noWrap/>
            <w:hideMark/>
          </w:tcPr>
          <w:p w14:paraId="38A467E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598 (24.2%)</w:t>
            </w:r>
          </w:p>
        </w:tc>
        <w:tc>
          <w:tcPr>
            <w:tcW w:w="774" w:type="pct"/>
            <w:noWrap/>
            <w:hideMark/>
          </w:tcPr>
          <w:p w14:paraId="38A467E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596 (24.1%)</w:t>
            </w:r>
          </w:p>
        </w:tc>
      </w:tr>
      <w:tr w:rsidR="00340424" w:rsidRPr="00FB60E5" w14:paraId="38A467EB"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7EA" w14:textId="725742B7" w:rsidR="00340424" w:rsidRPr="00FB60E5" w:rsidRDefault="00340424" w:rsidP="00FB60E5">
            <w:pPr>
              <w:ind w:left="0"/>
            </w:pPr>
            <w:r w:rsidRPr="00FB60E5">
              <w:t>Employment</w:t>
            </w:r>
          </w:p>
        </w:tc>
      </w:tr>
      <w:tr w:rsidR="00CA7A60" w:rsidRPr="00FB60E5" w14:paraId="38A467F0"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EC" w14:textId="77777777" w:rsidR="00CA7A60" w:rsidRPr="009D5847" w:rsidRDefault="00CA7A60" w:rsidP="00FB60E5">
            <w:pPr>
              <w:ind w:left="0"/>
              <w:rPr>
                <w:b w:val="0"/>
              </w:rPr>
            </w:pPr>
            <w:r w:rsidRPr="009D5847">
              <w:rPr>
                <w:b w:val="0"/>
              </w:rPr>
              <w:t>Employed (n=6239; 24.7%)</w:t>
            </w:r>
          </w:p>
        </w:tc>
        <w:tc>
          <w:tcPr>
            <w:tcW w:w="774" w:type="pct"/>
            <w:noWrap/>
            <w:hideMark/>
          </w:tcPr>
          <w:p w14:paraId="38A467E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1404 (22.5%)</w:t>
            </w:r>
          </w:p>
        </w:tc>
        <w:tc>
          <w:tcPr>
            <w:tcW w:w="774" w:type="pct"/>
            <w:noWrap/>
            <w:hideMark/>
          </w:tcPr>
          <w:p w14:paraId="38A467E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1402 (22.5%)</w:t>
            </w:r>
          </w:p>
        </w:tc>
        <w:tc>
          <w:tcPr>
            <w:tcW w:w="774" w:type="pct"/>
            <w:noWrap/>
            <w:hideMark/>
          </w:tcPr>
          <w:p w14:paraId="38A467E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1332 (21.3%)</w:t>
            </w:r>
          </w:p>
        </w:tc>
      </w:tr>
      <w:tr w:rsidR="00CA7A60" w:rsidRPr="00FB60E5" w14:paraId="38A467F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F1" w14:textId="77777777" w:rsidR="00CA7A60" w:rsidRPr="009D5847" w:rsidRDefault="00CA7A60" w:rsidP="00FB60E5">
            <w:pPr>
              <w:ind w:left="0"/>
              <w:rPr>
                <w:b w:val="0"/>
              </w:rPr>
            </w:pPr>
            <w:r w:rsidRPr="009D5847">
              <w:rPr>
                <w:b w:val="0"/>
              </w:rPr>
              <w:t>Unemployed (n=13587; 53.9%)</w:t>
            </w:r>
          </w:p>
        </w:tc>
        <w:tc>
          <w:tcPr>
            <w:tcW w:w="774" w:type="pct"/>
            <w:noWrap/>
            <w:hideMark/>
          </w:tcPr>
          <w:p w14:paraId="38A467F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4131 (30.4%)</w:t>
            </w:r>
          </w:p>
        </w:tc>
        <w:tc>
          <w:tcPr>
            <w:tcW w:w="774" w:type="pct"/>
            <w:noWrap/>
            <w:hideMark/>
          </w:tcPr>
          <w:p w14:paraId="38A467F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3988 (29.4%)</w:t>
            </w:r>
          </w:p>
        </w:tc>
        <w:tc>
          <w:tcPr>
            <w:tcW w:w="774" w:type="pct"/>
            <w:noWrap/>
            <w:hideMark/>
          </w:tcPr>
          <w:p w14:paraId="38A467F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3683 (27.1%)</w:t>
            </w:r>
          </w:p>
        </w:tc>
      </w:tr>
      <w:tr w:rsidR="00CA7A60" w:rsidRPr="00FB60E5" w14:paraId="38A467FA"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F6" w14:textId="77777777" w:rsidR="00CA7A60" w:rsidRPr="009D5847" w:rsidRDefault="00CA7A60" w:rsidP="00FB60E5">
            <w:pPr>
              <w:ind w:left="0"/>
              <w:rPr>
                <w:b w:val="0"/>
              </w:rPr>
            </w:pPr>
            <w:r w:rsidRPr="009D5847">
              <w:rPr>
                <w:b w:val="0"/>
              </w:rPr>
              <w:t>Other (n=4297; 17.0%)</w:t>
            </w:r>
          </w:p>
        </w:tc>
        <w:tc>
          <w:tcPr>
            <w:tcW w:w="774" w:type="pct"/>
            <w:noWrap/>
            <w:hideMark/>
          </w:tcPr>
          <w:p w14:paraId="38A467F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1080 (25.1%)</w:t>
            </w:r>
          </w:p>
        </w:tc>
        <w:tc>
          <w:tcPr>
            <w:tcW w:w="774" w:type="pct"/>
            <w:noWrap/>
            <w:hideMark/>
          </w:tcPr>
          <w:p w14:paraId="38A467F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1091 (25.4%)</w:t>
            </w:r>
          </w:p>
        </w:tc>
        <w:tc>
          <w:tcPr>
            <w:tcW w:w="774" w:type="pct"/>
            <w:noWrap/>
            <w:hideMark/>
          </w:tcPr>
          <w:p w14:paraId="38A467F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1101 (25.6%)</w:t>
            </w:r>
          </w:p>
        </w:tc>
      </w:tr>
      <w:tr w:rsidR="00CA7A60" w:rsidRPr="00FB60E5" w14:paraId="38A467FF"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7FB" w14:textId="77777777" w:rsidR="00CA7A60" w:rsidRPr="009D5847" w:rsidRDefault="00CA7A60" w:rsidP="00FB60E5">
            <w:pPr>
              <w:ind w:left="0"/>
              <w:rPr>
                <w:b w:val="0"/>
              </w:rPr>
            </w:pPr>
            <w:r w:rsidRPr="009D5847">
              <w:rPr>
                <w:b w:val="0"/>
              </w:rPr>
              <w:t>Unknown (n=1106; 4.4%)</w:t>
            </w:r>
          </w:p>
        </w:tc>
        <w:tc>
          <w:tcPr>
            <w:tcW w:w="774" w:type="pct"/>
            <w:noWrap/>
            <w:hideMark/>
          </w:tcPr>
          <w:p w14:paraId="38A467F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275 (24.9%)</w:t>
            </w:r>
          </w:p>
        </w:tc>
        <w:tc>
          <w:tcPr>
            <w:tcW w:w="774" w:type="pct"/>
            <w:noWrap/>
            <w:hideMark/>
          </w:tcPr>
          <w:p w14:paraId="38A467F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261 (23.6%)</w:t>
            </w:r>
          </w:p>
        </w:tc>
        <w:tc>
          <w:tcPr>
            <w:tcW w:w="774" w:type="pct"/>
            <w:noWrap/>
            <w:hideMark/>
          </w:tcPr>
          <w:p w14:paraId="38A467F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240 (21.7%)</w:t>
            </w:r>
          </w:p>
        </w:tc>
      </w:tr>
      <w:tr w:rsidR="00340424" w:rsidRPr="00FB60E5" w14:paraId="38A4680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803" w14:textId="0BCE1357" w:rsidR="00340424" w:rsidRPr="00340424" w:rsidRDefault="00340424" w:rsidP="00340424">
            <w:pPr>
              <w:ind w:left="0"/>
              <w:rPr>
                <w:b w:val="0"/>
                <w:bCs w:val="0"/>
              </w:rPr>
            </w:pPr>
            <w:r w:rsidRPr="00FB60E5">
              <w:t>Living status</w:t>
            </w:r>
          </w:p>
        </w:tc>
      </w:tr>
      <w:tr w:rsidR="00CA7A60" w:rsidRPr="00FB60E5" w14:paraId="38A46809"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05" w14:textId="77777777" w:rsidR="00CA7A60" w:rsidRPr="009D5847" w:rsidRDefault="00CA7A60" w:rsidP="00FB60E5">
            <w:pPr>
              <w:ind w:left="0"/>
              <w:rPr>
                <w:b w:val="0"/>
              </w:rPr>
            </w:pPr>
            <w:r w:rsidRPr="009D5847">
              <w:rPr>
                <w:b w:val="0"/>
              </w:rPr>
              <w:t>Lives alone (n=4434; 17.6%)</w:t>
            </w:r>
          </w:p>
        </w:tc>
        <w:tc>
          <w:tcPr>
            <w:tcW w:w="774" w:type="pct"/>
            <w:noWrap/>
            <w:hideMark/>
          </w:tcPr>
          <w:p w14:paraId="38A4680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1350 (30.4%)</w:t>
            </w:r>
          </w:p>
        </w:tc>
        <w:tc>
          <w:tcPr>
            <w:tcW w:w="774" w:type="pct"/>
            <w:noWrap/>
            <w:hideMark/>
          </w:tcPr>
          <w:p w14:paraId="38A4680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1367 (30.8%)</w:t>
            </w:r>
          </w:p>
        </w:tc>
        <w:tc>
          <w:tcPr>
            <w:tcW w:w="774" w:type="pct"/>
            <w:noWrap/>
            <w:hideMark/>
          </w:tcPr>
          <w:p w14:paraId="38A4680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1220 (27.5%)</w:t>
            </w:r>
          </w:p>
        </w:tc>
      </w:tr>
      <w:tr w:rsidR="00CA7A60" w:rsidRPr="00FB60E5" w14:paraId="38A4680E"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0A" w14:textId="77777777" w:rsidR="00CA7A60" w:rsidRPr="009D5847" w:rsidRDefault="00CA7A60" w:rsidP="00FB60E5">
            <w:pPr>
              <w:ind w:left="0"/>
              <w:rPr>
                <w:b w:val="0"/>
              </w:rPr>
            </w:pPr>
            <w:r w:rsidRPr="009D5847">
              <w:rPr>
                <w:b w:val="0"/>
              </w:rPr>
              <w:t>Lives with family (n=13486; 53.5%)</w:t>
            </w:r>
          </w:p>
        </w:tc>
        <w:tc>
          <w:tcPr>
            <w:tcW w:w="774" w:type="pct"/>
            <w:noWrap/>
            <w:hideMark/>
          </w:tcPr>
          <w:p w14:paraId="38A4680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3458 (25.6%)</w:t>
            </w:r>
          </w:p>
        </w:tc>
        <w:tc>
          <w:tcPr>
            <w:tcW w:w="774" w:type="pct"/>
            <w:noWrap/>
            <w:hideMark/>
          </w:tcPr>
          <w:p w14:paraId="38A4680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3417 (25.3%)</w:t>
            </w:r>
          </w:p>
        </w:tc>
        <w:tc>
          <w:tcPr>
            <w:tcW w:w="774" w:type="pct"/>
            <w:noWrap/>
            <w:hideMark/>
          </w:tcPr>
          <w:p w14:paraId="38A4680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3211 (23.8%)</w:t>
            </w:r>
          </w:p>
        </w:tc>
      </w:tr>
      <w:tr w:rsidR="00CA7A60" w:rsidRPr="00FB60E5" w14:paraId="38A46813"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0F" w14:textId="77777777" w:rsidR="00CA7A60" w:rsidRPr="009D5847" w:rsidRDefault="00CA7A60" w:rsidP="00FB60E5">
            <w:pPr>
              <w:ind w:left="0"/>
              <w:rPr>
                <w:b w:val="0"/>
              </w:rPr>
            </w:pPr>
            <w:r w:rsidRPr="009D5847">
              <w:rPr>
                <w:b w:val="0"/>
              </w:rPr>
              <w:t>Lives with others (n=5455; 21.6%)</w:t>
            </w:r>
          </w:p>
        </w:tc>
        <w:tc>
          <w:tcPr>
            <w:tcW w:w="774" w:type="pct"/>
            <w:noWrap/>
            <w:hideMark/>
          </w:tcPr>
          <w:p w14:paraId="38A4681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 xml:space="preserve">1622 </w:t>
            </w:r>
            <w:r w:rsidRPr="00FB60E5">
              <w:lastRenderedPageBreak/>
              <w:t>(29.7%)</w:t>
            </w:r>
          </w:p>
        </w:tc>
        <w:tc>
          <w:tcPr>
            <w:tcW w:w="774" w:type="pct"/>
            <w:noWrap/>
            <w:hideMark/>
          </w:tcPr>
          <w:p w14:paraId="38A4681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lastRenderedPageBreak/>
              <w:t xml:space="preserve">1521 </w:t>
            </w:r>
            <w:r w:rsidRPr="00FB60E5">
              <w:lastRenderedPageBreak/>
              <w:t>(27.9%)</w:t>
            </w:r>
          </w:p>
        </w:tc>
        <w:tc>
          <w:tcPr>
            <w:tcW w:w="774" w:type="pct"/>
            <w:noWrap/>
            <w:hideMark/>
          </w:tcPr>
          <w:p w14:paraId="38A4681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lastRenderedPageBreak/>
              <w:t xml:space="preserve">1463 </w:t>
            </w:r>
            <w:r w:rsidRPr="00FB60E5">
              <w:lastRenderedPageBreak/>
              <w:t>(26.8%)</w:t>
            </w:r>
          </w:p>
        </w:tc>
      </w:tr>
      <w:tr w:rsidR="00CA7A60" w:rsidRPr="00FB60E5" w14:paraId="38A46818"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14" w14:textId="77777777" w:rsidR="00CA7A60" w:rsidRPr="009D5847" w:rsidRDefault="00CA7A60" w:rsidP="00FB60E5">
            <w:pPr>
              <w:ind w:left="0"/>
              <w:rPr>
                <w:b w:val="0"/>
              </w:rPr>
            </w:pPr>
            <w:r w:rsidRPr="009D5847">
              <w:rPr>
                <w:b w:val="0"/>
              </w:rPr>
              <w:lastRenderedPageBreak/>
              <w:t>Unknown (n=1854; 7.3%)</w:t>
            </w:r>
          </w:p>
        </w:tc>
        <w:tc>
          <w:tcPr>
            <w:tcW w:w="774" w:type="pct"/>
            <w:noWrap/>
            <w:hideMark/>
          </w:tcPr>
          <w:p w14:paraId="38A4681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460 (24.8%)</w:t>
            </w:r>
          </w:p>
        </w:tc>
        <w:tc>
          <w:tcPr>
            <w:tcW w:w="774" w:type="pct"/>
            <w:noWrap/>
            <w:hideMark/>
          </w:tcPr>
          <w:p w14:paraId="38A4681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437 (23.6%)</w:t>
            </w:r>
          </w:p>
        </w:tc>
        <w:tc>
          <w:tcPr>
            <w:tcW w:w="774" w:type="pct"/>
            <w:noWrap/>
            <w:hideMark/>
          </w:tcPr>
          <w:p w14:paraId="38A4681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462 (24.9%)</w:t>
            </w:r>
          </w:p>
        </w:tc>
      </w:tr>
      <w:tr w:rsidR="00340424" w:rsidRPr="00FB60E5" w14:paraId="38A4681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81C" w14:textId="291953AB" w:rsidR="00340424" w:rsidRPr="00FB60E5" w:rsidRDefault="00340424" w:rsidP="00FB60E5">
            <w:pPr>
              <w:ind w:left="0"/>
            </w:pPr>
            <w:r w:rsidRPr="00FB60E5">
              <w:t>Accommodation status</w:t>
            </w:r>
          </w:p>
        </w:tc>
      </w:tr>
      <w:tr w:rsidR="00CA7A60" w:rsidRPr="00FB60E5" w14:paraId="38A46822"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1E" w14:textId="77777777" w:rsidR="00CA7A60" w:rsidRPr="009D5847" w:rsidRDefault="00CA7A60" w:rsidP="00FB60E5">
            <w:pPr>
              <w:ind w:left="0"/>
              <w:rPr>
                <w:b w:val="0"/>
              </w:rPr>
            </w:pPr>
            <w:r w:rsidRPr="009D5847">
              <w:rPr>
                <w:b w:val="0"/>
              </w:rPr>
              <w:t>Private residence (n=18325; 72.6%)</w:t>
            </w:r>
          </w:p>
        </w:tc>
        <w:tc>
          <w:tcPr>
            <w:tcW w:w="774" w:type="pct"/>
            <w:noWrap/>
            <w:hideMark/>
          </w:tcPr>
          <w:p w14:paraId="38A468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4874 (26.6%)</w:t>
            </w:r>
          </w:p>
        </w:tc>
        <w:tc>
          <w:tcPr>
            <w:tcW w:w="774" w:type="pct"/>
            <w:noWrap/>
            <w:hideMark/>
          </w:tcPr>
          <w:p w14:paraId="38A468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4822 (26.3%)</w:t>
            </w:r>
          </w:p>
        </w:tc>
        <w:tc>
          <w:tcPr>
            <w:tcW w:w="774" w:type="pct"/>
            <w:noWrap/>
            <w:hideMark/>
          </w:tcPr>
          <w:p w14:paraId="38A4682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4502 (24.6%)</w:t>
            </w:r>
          </w:p>
        </w:tc>
      </w:tr>
      <w:tr w:rsidR="00CA7A60" w:rsidRPr="00FB60E5" w14:paraId="38A46827"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23" w14:textId="77777777" w:rsidR="00CA7A60" w:rsidRPr="009D5847" w:rsidRDefault="00CA7A60" w:rsidP="00FB60E5">
            <w:pPr>
              <w:ind w:left="0"/>
              <w:rPr>
                <w:b w:val="0"/>
              </w:rPr>
            </w:pPr>
            <w:r w:rsidRPr="009D5847">
              <w:rPr>
                <w:b w:val="0"/>
              </w:rPr>
              <w:t>Unstable (n=2456; 9.7%)</w:t>
            </w:r>
          </w:p>
        </w:tc>
        <w:tc>
          <w:tcPr>
            <w:tcW w:w="774" w:type="pct"/>
            <w:noWrap/>
            <w:hideMark/>
          </w:tcPr>
          <w:p w14:paraId="38A4682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863 (35.1%)</w:t>
            </w:r>
          </w:p>
        </w:tc>
        <w:tc>
          <w:tcPr>
            <w:tcW w:w="774" w:type="pct"/>
            <w:noWrap/>
            <w:hideMark/>
          </w:tcPr>
          <w:p w14:paraId="38A4682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842 (34.3%)</w:t>
            </w:r>
          </w:p>
        </w:tc>
        <w:tc>
          <w:tcPr>
            <w:tcW w:w="774" w:type="pct"/>
            <w:noWrap/>
            <w:hideMark/>
          </w:tcPr>
          <w:p w14:paraId="38A4682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738 (30.0%)</w:t>
            </w:r>
          </w:p>
        </w:tc>
      </w:tr>
      <w:tr w:rsidR="00CA7A60" w:rsidRPr="00FB60E5" w14:paraId="38A4682C"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28" w14:textId="77777777" w:rsidR="00CA7A60" w:rsidRPr="009D5847" w:rsidRDefault="00CA7A60" w:rsidP="00FB60E5">
            <w:pPr>
              <w:ind w:left="0"/>
              <w:rPr>
                <w:b w:val="0"/>
              </w:rPr>
            </w:pPr>
            <w:r w:rsidRPr="009D5847">
              <w:rPr>
                <w:b w:val="0"/>
              </w:rPr>
              <w:t>In custody (n=1253; 5.0%)</w:t>
            </w:r>
          </w:p>
        </w:tc>
        <w:tc>
          <w:tcPr>
            <w:tcW w:w="774" w:type="pct"/>
            <w:noWrap/>
            <w:hideMark/>
          </w:tcPr>
          <w:p w14:paraId="38A4682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307 (24.5%)</w:t>
            </w:r>
          </w:p>
        </w:tc>
        <w:tc>
          <w:tcPr>
            <w:tcW w:w="774" w:type="pct"/>
            <w:noWrap/>
            <w:hideMark/>
          </w:tcPr>
          <w:p w14:paraId="38A4682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249 (19.9%)</w:t>
            </w:r>
          </w:p>
        </w:tc>
        <w:tc>
          <w:tcPr>
            <w:tcW w:w="774" w:type="pct"/>
            <w:noWrap/>
            <w:hideMark/>
          </w:tcPr>
          <w:p w14:paraId="38A4682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331 (26.4%)</w:t>
            </w:r>
          </w:p>
        </w:tc>
      </w:tr>
      <w:tr w:rsidR="00CA7A60" w:rsidRPr="00FB60E5" w14:paraId="38A46831"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2D" w14:textId="77777777" w:rsidR="00CA7A60" w:rsidRPr="009D5847" w:rsidRDefault="00CA7A60" w:rsidP="00FB60E5">
            <w:pPr>
              <w:ind w:left="0"/>
              <w:rPr>
                <w:b w:val="0"/>
              </w:rPr>
            </w:pPr>
            <w:r w:rsidRPr="009D5847">
              <w:rPr>
                <w:b w:val="0"/>
              </w:rPr>
              <w:t>Other (n=1148; 4.6%)</w:t>
            </w:r>
          </w:p>
        </w:tc>
        <w:tc>
          <w:tcPr>
            <w:tcW w:w="774" w:type="pct"/>
            <w:noWrap/>
            <w:hideMark/>
          </w:tcPr>
          <w:p w14:paraId="38A4682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348 (30.3%)</w:t>
            </w:r>
          </w:p>
        </w:tc>
        <w:tc>
          <w:tcPr>
            <w:tcW w:w="774" w:type="pct"/>
            <w:noWrap/>
            <w:hideMark/>
          </w:tcPr>
          <w:p w14:paraId="38A4682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330 (28.7%)</w:t>
            </w:r>
          </w:p>
        </w:tc>
        <w:tc>
          <w:tcPr>
            <w:tcW w:w="774" w:type="pct"/>
            <w:noWrap/>
            <w:hideMark/>
          </w:tcPr>
          <w:p w14:paraId="38A4683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337 (29.4%)</w:t>
            </w:r>
          </w:p>
        </w:tc>
      </w:tr>
      <w:tr w:rsidR="00CA7A60" w:rsidRPr="00FB60E5" w14:paraId="38A46836"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32" w14:textId="77777777" w:rsidR="00CA7A60" w:rsidRPr="009D5847" w:rsidRDefault="00CA7A60" w:rsidP="00FB60E5">
            <w:pPr>
              <w:ind w:left="0"/>
              <w:rPr>
                <w:b w:val="0"/>
              </w:rPr>
            </w:pPr>
            <w:r w:rsidRPr="009D5847">
              <w:rPr>
                <w:b w:val="0"/>
              </w:rPr>
              <w:t>Unknown (n=2047; 8.1%)</w:t>
            </w:r>
          </w:p>
        </w:tc>
        <w:tc>
          <w:tcPr>
            <w:tcW w:w="774" w:type="pct"/>
            <w:noWrap/>
            <w:hideMark/>
          </w:tcPr>
          <w:p w14:paraId="38A468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498 (24.3%)</w:t>
            </w:r>
          </w:p>
        </w:tc>
        <w:tc>
          <w:tcPr>
            <w:tcW w:w="774" w:type="pct"/>
            <w:noWrap/>
            <w:hideMark/>
          </w:tcPr>
          <w:p w14:paraId="38A4683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499 (24.4%)</w:t>
            </w:r>
          </w:p>
        </w:tc>
        <w:tc>
          <w:tcPr>
            <w:tcW w:w="774" w:type="pct"/>
            <w:noWrap/>
            <w:hideMark/>
          </w:tcPr>
          <w:p w14:paraId="38A4683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448 (21.9%)</w:t>
            </w:r>
          </w:p>
        </w:tc>
      </w:tr>
      <w:tr w:rsidR="00340424" w:rsidRPr="00FB60E5" w14:paraId="38A4683B"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83A" w14:textId="11493068" w:rsidR="00340424" w:rsidRPr="00340424" w:rsidRDefault="00340424" w:rsidP="00FB60E5">
            <w:pPr>
              <w:ind w:left="0"/>
              <w:rPr>
                <w:b w:val="0"/>
                <w:bCs w:val="0"/>
              </w:rPr>
            </w:pPr>
            <w:r w:rsidRPr="00FB60E5">
              <w:t>Homeless status</w:t>
            </w:r>
          </w:p>
        </w:tc>
      </w:tr>
      <w:tr w:rsidR="00CA7A60" w:rsidRPr="00FB60E5" w14:paraId="38A46840"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3C" w14:textId="77777777" w:rsidR="00CA7A60" w:rsidRPr="009D5847" w:rsidRDefault="00CA7A60" w:rsidP="00FB60E5">
            <w:pPr>
              <w:ind w:left="0"/>
              <w:rPr>
                <w:b w:val="0"/>
              </w:rPr>
            </w:pPr>
            <w:r w:rsidRPr="009D5847">
              <w:rPr>
                <w:b w:val="0"/>
              </w:rPr>
              <w:t>Homeless (n=1186; 4.7%)</w:t>
            </w:r>
          </w:p>
        </w:tc>
        <w:tc>
          <w:tcPr>
            <w:tcW w:w="774" w:type="pct"/>
            <w:noWrap/>
            <w:hideMark/>
          </w:tcPr>
          <w:p w14:paraId="38A4683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431 (36.3%)</w:t>
            </w:r>
          </w:p>
        </w:tc>
        <w:tc>
          <w:tcPr>
            <w:tcW w:w="774" w:type="pct"/>
            <w:noWrap/>
            <w:hideMark/>
          </w:tcPr>
          <w:p w14:paraId="38A468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438 (36.9%)</w:t>
            </w:r>
          </w:p>
        </w:tc>
        <w:tc>
          <w:tcPr>
            <w:tcW w:w="774" w:type="pct"/>
            <w:noWrap/>
            <w:hideMark/>
          </w:tcPr>
          <w:p w14:paraId="38A468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367 (30.9%)</w:t>
            </w:r>
          </w:p>
        </w:tc>
      </w:tr>
      <w:tr w:rsidR="00CA7A60" w:rsidRPr="00FB60E5" w14:paraId="38A4684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41" w14:textId="77777777" w:rsidR="00CA7A60" w:rsidRPr="009D5847" w:rsidRDefault="00CA7A60" w:rsidP="00FB60E5">
            <w:pPr>
              <w:ind w:left="0"/>
              <w:rPr>
                <w:b w:val="0"/>
              </w:rPr>
            </w:pPr>
            <w:r w:rsidRPr="009D5847">
              <w:rPr>
                <w:b w:val="0"/>
              </w:rPr>
              <w:t>Not homeless (n=23118; 91.6%)</w:t>
            </w:r>
          </w:p>
        </w:tc>
        <w:tc>
          <w:tcPr>
            <w:tcW w:w="774" w:type="pct"/>
            <w:noWrap/>
            <w:hideMark/>
          </w:tcPr>
          <w:p w14:paraId="38A4684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6243 (27.0%)</w:t>
            </w:r>
          </w:p>
        </w:tc>
        <w:tc>
          <w:tcPr>
            <w:tcW w:w="774" w:type="pct"/>
            <w:noWrap/>
            <w:hideMark/>
          </w:tcPr>
          <w:p w14:paraId="38A4684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6089 (26.3%)</w:t>
            </w:r>
          </w:p>
        </w:tc>
        <w:tc>
          <w:tcPr>
            <w:tcW w:w="774" w:type="pct"/>
            <w:noWrap/>
            <w:hideMark/>
          </w:tcPr>
          <w:p w14:paraId="38A4684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5797 (25.1%)</w:t>
            </w:r>
          </w:p>
        </w:tc>
      </w:tr>
      <w:tr w:rsidR="00CA7A60" w:rsidRPr="00FB60E5" w14:paraId="38A4684A"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46" w14:textId="77777777" w:rsidR="00CA7A60" w:rsidRPr="009D5847" w:rsidRDefault="00CA7A60" w:rsidP="00FB60E5">
            <w:pPr>
              <w:ind w:left="0"/>
              <w:rPr>
                <w:b w:val="0"/>
              </w:rPr>
            </w:pPr>
            <w:r w:rsidRPr="009D5847">
              <w:rPr>
                <w:b w:val="0"/>
              </w:rPr>
              <w:t>Unknown (n=925; 3.7%)</w:t>
            </w:r>
          </w:p>
        </w:tc>
        <w:tc>
          <w:tcPr>
            <w:tcW w:w="774" w:type="pct"/>
            <w:noWrap/>
            <w:hideMark/>
          </w:tcPr>
          <w:p w14:paraId="38A4684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216 (23.4%)</w:t>
            </w:r>
          </w:p>
        </w:tc>
        <w:tc>
          <w:tcPr>
            <w:tcW w:w="774" w:type="pct"/>
            <w:noWrap/>
            <w:hideMark/>
          </w:tcPr>
          <w:p w14:paraId="38A4684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215 (23.2%)</w:t>
            </w:r>
          </w:p>
        </w:tc>
        <w:tc>
          <w:tcPr>
            <w:tcW w:w="774" w:type="pct"/>
            <w:noWrap/>
            <w:hideMark/>
          </w:tcPr>
          <w:p w14:paraId="38A4684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192 (20.8%)</w:t>
            </w:r>
          </w:p>
        </w:tc>
      </w:tr>
      <w:tr w:rsidR="00340424" w:rsidRPr="00FB60E5" w14:paraId="38A4684F"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84E" w14:textId="10C236FF" w:rsidR="00340424" w:rsidRPr="00FB60E5" w:rsidRDefault="00340424" w:rsidP="00FB60E5">
            <w:pPr>
              <w:ind w:left="0"/>
            </w:pPr>
            <w:r w:rsidRPr="00FB60E5">
              <w:t>Region</w:t>
            </w:r>
          </w:p>
        </w:tc>
      </w:tr>
      <w:tr w:rsidR="00CA7A60" w:rsidRPr="00FB60E5" w14:paraId="38A4685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50" w14:textId="77777777" w:rsidR="00CA7A60" w:rsidRPr="009D5847" w:rsidRDefault="00CA7A60" w:rsidP="00FB60E5">
            <w:pPr>
              <w:ind w:left="0"/>
              <w:rPr>
                <w:b w:val="0"/>
              </w:rPr>
            </w:pPr>
            <w:r w:rsidRPr="009D5847">
              <w:rPr>
                <w:b w:val="0"/>
              </w:rPr>
              <w:t>Metro</w:t>
            </w:r>
            <w:r w:rsidR="00727B57" w:rsidRPr="009D5847">
              <w:rPr>
                <w:b w:val="0"/>
              </w:rPr>
              <w:t>politan</w:t>
            </w:r>
            <w:r w:rsidRPr="009D5847">
              <w:rPr>
                <w:b w:val="0"/>
              </w:rPr>
              <w:t xml:space="preserve"> Melbourne (n=12346; 48.9%)</w:t>
            </w:r>
          </w:p>
        </w:tc>
        <w:tc>
          <w:tcPr>
            <w:tcW w:w="774" w:type="pct"/>
            <w:noWrap/>
            <w:hideMark/>
          </w:tcPr>
          <w:p w14:paraId="38A468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3632 (29.4%)</w:t>
            </w:r>
          </w:p>
        </w:tc>
        <w:tc>
          <w:tcPr>
            <w:tcW w:w="774" w:type="pct"/>
            <w:noWrap/>
            <w:hideMark/>
          </w:tcPr>
          <w:p w14:paraId="38A468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3656 (29.6%)</w:t>
            </w:r>
          </w:p>
        </w:tc>
        <w:tc>
          <w:tcPr>
            <w:tcW w:w="774" w:type="pct"/>
            <w:noWrap/>
            <w:hideMark/>
          </w:tcPr>
          <w:p w14:paraId="38A468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3319 (26.9%)</w:t>
            </w:r>
          </w:p>
        </w:tc>
      </w:tr>
      <w:tr w:rsidR="00CA7A60" w:rsidRPr="00FB60E5" w14:paraId="38A46859"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55" w14:textId="77777777" w:rsidR="00CA7A60" w:rsidRPr="009D5847" w:rsidRDefault="00CA7A60" w:rsidP="00FB60E5">
            <w:pPr>
              <w:ind w:left="0"/>
              <w:rPr>
                <w:b w:val="0"/>
              </w:rPr>
            </w:pPr>
            <w:r w:rsidRPr="009D5847">
              <w:rPr>
                <w:b w:val="0"/>
              </w:rPr>
              <w:t>Rest of V</w:t>
            </w:r>
            <w:r w:rsidR="00727B57" w:rsidRPr="009D5847">
              <w:rPr>
                <w:b w:val="0"/>
              </w:rPr>
              <w:t>ictoria</w:t>
            </w:r>
            <w:r w:rsidRPr="009D5847">
              <w:rPr>
                <w:b w:val="0"/>
              </w:rPr>
              <w:t xml:space="preserve"> (n=7875; 31.2%)</w:t>
            </w:r>
          </w:p>
        </w:tc>
        <w:tc>
          <w:tcPr>
            <w:tcW w:w="774" w:type="pct"/>
            <w:noWrap/>
            <w:hideMark/>
          </w:tcPr>
          <w:p w14:paraId="38A4685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1932 (24.5%)</w:t>
            </w:r>
          </w:p>
        </w:tc>
        <w:tc>
          <w:tcPr>
            <w:tcW w:w="774" w:type="pct"/>
            <w:noWrap/>
            <w:hideMark/>
          </w:tcPr>
          <w:p w14:paraId="38A4685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1891 (24.0%)</w:t>
            </w:r>
          </w:p>
        </w:tc>
        <w:tc>
          <w:tcPr>
            <w:tcW w:w="774" w:type="pct"/>
            <w:noWrap/>
            <w:hideMark/>
          </w:tcPr>
          <w:p w14:paraId="38A4685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1801 (22.9%)</w:t>
            </w:r>
          </w:p>
        </w:tc>
      </w:tr>
      <w:tr w:rsidR="00CA7A60" w:rsidRPr="00FB60E5" w14:paraId="38A4685E"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5A" w14:textId="77777777" w:rsidR="00CA7A60" w:rsidRPr="009D5847" w:rsidRDefault="00CA7A60" w:rsidP="00FB60E5">
            <w:pPr>
              <w:ind w:left="0"/>
              <w:rPr>
                <w:b w:val="0"/>
              </w:rPr>
            </w:pPr>
            <w:r w:rsidRPr="009D5847">
              <w:rPr>
                <w:b w:val="0"/>
              </w:rPr>
              <w:t>Interstate (n=438; 1.7%)</w:t>
            </w:r>
          </w:p>
        </w:tc>
        <w:tc>
          <w:tcPr>
            <w:tcW w:w="774" w:type="pct"/>
            <w:noWrap/>
            <w:hideMark/>
          </w:tcPr>
          <w:p w14:paraId="38A468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120 (27.4%)</w:t>
            </w:r>
          </w:p>
        </w:tc>
        <w:tc>
          <w:tcPr>
            <w:tcW w:w="774" w:type="pct"/>
            <w:noWrap/>
            <w:hideMark/>
          </w:tcPr>
          <w:p w14:paraId="38A4685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115 (26.3%)</w:t>
            </w:r>
          </w:p>
        </w:tc>
        <w:tc>
          <w:tcPr>
            <w:tcW w:w="774" w:type="pct"/>
            <w:noWrap/>
            <w:hideMark/>
          </w:tcPr>
          <w:p w14:paraId="38A4685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102 (23.3%)</w:t>
            </w:r>
          </w:p>
        </w:tc>
      </w:tr>
      <w:tr w:rsidR="00CA7A60" w:rsidRPr="00FB60E5" w14:paraId="38A46863"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677" w:type="pct"/>
            <w:noWrap/>
            <w:hideMark/>
          </w:tcPr>
          <w:p w14:paraId="38A4685F" w14:textId="77777777" w:rsidR="00CA7A60" w:rsidRPr="009D5847" w:rsidRDefault="00CA7A60" w:rsidP="00FB60E5">
            <w:pPr>
              <w:ind w:left="0"/>
              <w:rPr>
                <w:b w:val="0"/>
              </w:rPr>
            </w:pPr>
            <w:r w:rsidRPr="009D5847">
              <w:rPr>
                <w:b w:val="0"/>
              </w:rPr>
              <w:t>Unknown (n=4570; 18.1%)</w:t>
            </w:r>
          </w:p>
        </w:tc>
        <w:tc>
          <w:tcPr>
            <w:tcW w:w="774" w:type="pct"/>
            <w:noWrap/>
            <w:hideMark/>
          </w:tcPr>
          <w:p w14:paraId="38A4686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1206 (26.4%)</w:t>
            </w:r>
          </w:p>
        </w:tc>
        <w:tc>
          <w:tcPr>
            <w:tcW w:w="774" w:type="pct"/>
            <w:noWrap/>
            <w:hideMark/>
          </w:tcPr>
          <w:p w14:paraId="38A4686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1080 (23.6%)</w:t>
            </w:r>
          </w:p>
        </w:tc>
        <w:tc>
          <w:tcPr>
            <w:tcW w:w="774" w:type="pct"/>
            <w:noWrap/>
            <w:hideMark/>
          </w:tcPr>
          <w:p w14:paraId="38A4686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1134 (24.8%)</w:t>
            </w:r>
          </w:p>
        </w:tc>
      </w:tr>
    </w:tbl>
    <w:p w14:paraId="03D8E0D2" w14:textId="77777777" w:rsidR="002C27A8" w:rsidRDefault="00BE3D19" w:rsidP="00FB60E5">
      <w:pPr>
        <w:ind w:left="0"/>
      </w:pPr>
      <w:r w:rsidRPr="00FB60E5">
        <w:fldChar w:fldCharType="begin"/>
      </w:r>
      <w:r w:rsidR="009F30FB" w:rsidRPr="00FB60E5">
        <w:instrText xml:space="preserve"> REF _Ref386239013 </w:instrText>
      </w:r>
      <w:r w:rsidR="00FB60E5" w:rsidRPr="00FB60E5">
        <w:instrText xml:space="preserve"> \* MERGEFORMAT </w:instrText>
      </w:r>
      <w:r w:rsidRPr="00FB60E5">
        <w:fldChar w:fldCharType="separate"/>
      </w:r>
      <w:r w:rsidR="00E150CA" w:rsidRPr="00FB60E5">
        <w:t>Table 4.4</w:t>
      </w:r>
      <w:r w:rsidRPr="00FB60E5">
        <w:fldChar w:fldCharType="end"/>
      </w:r>
      <w:r w:rsidR="00CA7A60" w:rsidRPr="00FB60E5">
        <w:t xml:space="preserve"> displays the service type and treatment characteristics of AOD clients by the pattern of their ED engagement from 2009/10 to 2011/12. In terms of service type, AOD clients most commonly received counselling (47%), followed by brokerage (15%) and other withdrawal services (10%). Overall, 74% completed their course of treatment</w:t>
      </w:r>
      <w:r w:rsidR="002C27A8">
        <w:t>.</w:t>
      </w:r>
    </w:p>
    <w:p w14:paraId="38A46866" w14:textId="6FE6C9CE" w:rsidR="00CA7A60" w:rsidRPr="00FB60E5" w:rsidRDefault="00CA7A60" w:rsidP="00FB60E5">
      <w:pPr>
        <w:ind w:left="0"/>
      </w:pPr>
      <w:r w:rsidRPr="00FB60E5">
        <w:t>There was some variability in patterns of ED utilisation across service types, with one-third of residential withdrawal clients, and over one-quarter of specialist pharmacotherapy clients presenting to emergency departments on multiple occasions over the three years presented.</w:t>
      </w:r>
    </w:p>
    <w:p w14:paraId="616253FE" w14:textId="57C72018" w:rsidR="002C27A8" w:rsidRDefault="001B3CBD" w:rsidP="00FB60E5">
      <w:pPr>
        <w:ind w:left="0"/>
      </w:pPr>
      <w:r>
        <w:fldChar w:fldCharType="begin"/>
      </w:r>
      <w:r>
        <w:instrText xml:space="preserve"> REF _Ref386796033 \h </w:instrText>
      </w:r>
      <w:r>
        <w:fldChar w:fldCharType="separate"/>
      </w:r>
      <w:r w:rsidRPr="00FB60E5">
        <w:t xml:space="preserve">Table </w:t>
      </w:r>
      <w:r>
        <w:rPr>
          <w:noProof/>
        </w:rPr>
        <w:t>4</w:t>
      </w:r>
      <w:r>
        <w:t>.</w:t>
      </w:r>
      <w:r>
        <w:rPr>
          <w:noProof/>
        </w:rPr>
        <w:t>5</w:t>
      </w:r>
      <w:r>
        <w:fldChar w:fldCharType="end"/>
      </w:r>
      <w:r w:rsidR="00CA7A60" w:rsidRPr="00FB60E5">
        <w:t xml:space="preserve"> shows service type and treatment characteristics for AOD clients by ED presentation by year to show whether there was a change in ED utilisation pre- and post-treatment. Proportions of pre-AOD treatment ED presentations (2009/10) were higher than the proportions post-AOD treatment (2011/12) for all service types, pharmacotherapy treatment types and treatment termination status reasons</w:t>
      </w:r>
      <w:r w:rsidR="002C27A8">
        <w:t>.</w:t>
      </w:r>
    </w:p>
    <w:p w14:paraId="38A46868" w14:textId="39FE0714" w:rsidR="00CA7A60" w:rsidRPr="00FB60E5" w:rsidRDefault="00CA7A60" w:rsidP="00FB60E5">
      <w:pPr>
        <w:ind w:left="0"/>
      </w:pPr>
    </w:p>
    <w:p w14:paraId="38A46869" w14:textId="77777777" w:rsidR="00CA7A60" w:rsidRPr="00FB60E5" w:rsidRDefault="00CA7A60" w:rsidP="00FB60E5">
      <w:pPr>
        <w:ind w:left="0"/>
        <w:sectPr w:rsidR="00CA7A60" w:rsidRPr="00FB60E5" w:rsidSect="00CA7A60">
          <w:pgSz w:w="11906" w:h="16838"/>
          <w:pgMar w:top="1440" w:right="1440" w:bottom="1440" w:left="1440" w:header="708" w:footer="595" w:gutter="0"/>
          <w:cols w:space="708"/>
          <w:docGrid w:linePitch="360"/>
        </w:sectPr>
      </w:pPr>
    </w:p>
    <w:p w14:paraId="38A4686A" w14:textId="576381B5" w:rsidR="00CA7A60" w:rsidRPr="00FB60E5" w:rsidRDefault="00CA7A60" w:rsidP="00552239">
      <w:pPr>
        <w:pStyle w:val="Caption"/>
      </w:pPr>
      <w:bookmarkStart w:id="235" w:name="_Ref386239013"/>
      <w:bookmarkStart w:id="236" w:name="_Toc387244628"/>
      <w:bookmarkStart w:id="237" w:name="_Toc531625801"/>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4</w:t>
      </w:r>
      <w:r w:rsidR="00552239">
        <w:fldChar w:fldCharType="end"/>
      </w:r>
      <w:bookmarkEnd w:id="235"/>
      <w:r w:rsidR="002C27A8">
        <w:t xml:space="preserve"> </w:t>
      </w:r>
      <w:r w:rsidR="00727B57" w:rsidRPr="00FB60E5">
        <w:t>Treatment</w:t>
      </w:r>
      <w:r w:rsidRPr="00FB60E5">
        <w:t xml:space="preserve"> type and treatment characteristics by ED presentation, 2009/10 to 2011/12</w:t>
      </w:r>
      <w:bookmarkEnd w:id="236"/>
      <w:bookmarkEnd w:id="237"/>
    </w:p>
    <w:tbl>
      <w:tblPr>
        <w:tblStyle w:val="LightList-Accent1"/>
        <w:tblW w:w="5000" w:type="pct"/>
        <w:tblLook w:val="04A0" w:firstRow="1" w:lastRow="0" w:firstColumn="1" w:lastColumn="0" w:noHBand="0" w:noVBand="1"/>
        <w:tblDescription w:val="Table 4.4 is a list of Treatment type and treatment characteristics by ED presentation, 2009/10 to 2011/12"/>
      </w:tblPr>
      <w:tblGrid>
        <w:gridCol w:w="4410"/>
        <w:gridCol w:w="1622"/>
        <w:gridCol w:w="1680"/>
        <w:gridCol w:w="1681"/>
        <w:gridCol w:w="1681"/>
        <w:gridCol w:w="2217"/>
        <w:gridCol w:w="883"/>
      </w:tblGrid>
      <w:tr w:rsidR="00CA7A60" w:rsidRPr="00FB60E5" w14:paraId="38A4686D"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6" w:type="pct"/>
            <w:vMerge w:val="restart"/>
            <w:hideMark/>
          </w:tcPr>
          <w:p w14:paraId="38A4686B" w14:textId="77777777" w:rsidR="00CA7A60" w:rsidRPr="00FB60E5" w:rsidRDefault="00CA7A60" w:rsidP="00FB60E5">
            <w:pPr>
              <w:ind w:left="0"/>
            </w:pPr>
          </w:p>
        </w:tc>
        <w:tc>
          <w:tcPr>
            <w:tcW w:w="3444" w:type="pct"/>
            <w:gridSpan w:val="6"/>
            <w:noWrap/>
            <w:hideMark/>
          </w:tcPr>
          <w:p w14:paraId="38A4686C" w14:textId="3FD2B1D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Number of</w:t>
            </w:r>
            <w:r w:rsidR="002C27A8">
              <w:t xml:space="preserve"> </w:t>
            </w:r>
            <w:r w:rsidRPr="00FB60E5">
              <w:t xml:space="preserve">AOD clients </w:t>
            </w:r>
          </w:p>
        </w:tc>
      </w:tr>
      <w:tr w:rsidR="00CA7A60" w:rsidRPr="00FB60E5" w14:paraId="38A46875" w14:textId="77777777" w:rsidTr="00042CE9">
        <w:trPr>
          <w:cnfStyle w:val="100000000000" w:firstRow="1" w:lastRow="0" w:firstColumn="0" w:lastColumn="0" w:oddVBand="0" w:evenVBand="0" w:oddHBand="0" w:evenHBand="0" w:firstRowFirstColumn="0" w:firstRowLastColumn="0" w:lastRowFirstColumn="0" w:lastRowLastColumn="0"/>
          <w:trHeight w:val="407"/>
          <w:tblHeader/>
        </w:trPr>
        <w:tc>
          <w:tcPr>
            <w:cnfStyle w:val="001000000000" w:firstRow="0" w:lastRow="0" w:firstColumn="1" w:lastColumn="0" w:oddVBand="0" w:evenVBand="0" w:oddHBand="0" w:evenHBand="0" w:firstRowFirstColumn="0" w:firstRowLastColumn="0" w:lastRowFirstColumn="0" w:lastRowLastColumn="0"/>
            <w:tcW w:w="1556" w:type="pct"/>
            <w:vMerge/>
            <w:hideMark/>
          </w:tcPr>
          <w:p w14:paraId="38A4686E" w14:textId="77777777" w:rsidR="00CA7A60" w:rsidRPr="00FB60E5" w:rsidRDefault="00CA7A60" w:rsidP="00FB60E5">
            <w:pPr>
              <w:ind w:left="0"/>
            </w:pPr>
          </w:p>
        </w:tc>
        <w:tc>
          <w:tcPr>
            <w:tcW w:w="572" w:type="pct"/>
            <w:hideMark/>
          </w:tcPr>
          <w:p w14:paraId="38A4686F"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No ED (%)</w:t>
            </w:r>
          </w:p>
        </w:tc>
        <w:tc>
          <w:tcPr>
            <w:tcW w:w="593" w:type="pct"/>
            <w:hideMark/>
          </w:tcPr>
          <w:p w14:paraId="38A46870"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only (%)</w:t>
            </w:r>
          </w:p>
        </w:tc>
        <w:tc>
          <w:tcPr>
            <w:tcW w:w="593" w:type="pct"/>
            <w:hideMark/>
          </w:tcPr>
          <w:p w14:paraId="38A46871"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only (%)</w:t>
            </w:r>
          </w:p>
        </w:tc>
        <w:tc>
          <w:tcPr>
            <w:tcW w:w="593" w:type="pct"/>
            <w:hideMark/>
          </w:tcPr>
          <w:p w14:paraId="38A46872"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only (%)</w:t>
            </w:r>
          </w:p>
        </w:tc>
        <w:tc>
          <w:tcPr>
            <w:tcW w:w="782" w:type="pct"/>
            <w:hideMark/>
          </w:tcPr>
          <w:p w14:paraId="38A46873"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in multiple years (%)</w:t>
            </w:r>
          </w:p>
        </w:tc>
        <w:tc>
          <w:tcPr>
            <w:tcW w:w="311" w:type="pct"/>
            <w:hideMark/>
          </w:tcPr>
          <w:p w14:paraId="38A4687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p</w:t>
            </w:r>
          </w:p>
        </w:tc>
      </w:tr>
      <w:tr w:rsidR="00CA7A60" w:rsidRPr="00FB60E5" w14:paraId="38A4687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76" w14:textId="77777777" w:rsidR="00CA7A60" w:rsidRPr="009D5847" w:rsidRDefault="00CA7A60" w:rsidP="00FB60E5">
            <w:pPr>
              <w:ind w:left="0"/>
              <w:rPr>
                <w:b w:val="0"/>
              </w:rPr>
            </w:pPr>
            <w:r w:rsidRPr="009D5847">
              <w:rPr>
                <w:b w:val="0"/>
              </w:rPr>
              <w:t>Total (n=25229)</w:t>
            </w:r>
          </w:p>
        </w:tc>
        <w:tc>
          <w:tcPr>
            <w:tcW w:w="572" w:type="pct"/>
            <w:noWrap/>
            <w:hideMark/>
          </w:tcPr>
          <w:p w14:paraId="38A4687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13228 (52.4%)</w:t>
            </w:r>
          </w:p>
        </w:tc>
        <w:tc>
          <w:tcPr>
            <w:tcW w:w="593" w:type="pct"/>
            <w:noWrap/>
            <w:hideMark/>
          </w:tcPr>
          <w:p w14:paraId="38A4687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2348 (9.3%)</w:t>
            </w:r>
          </w:p>
        </w:tc>
        <w:tc>
          <w:tcPr>
            <w:tcW w:w="593" w:type="pct"/>
            <w:noWrap/>
            <w:hideMark/>
          </w:tcPr>
          <w:p w14:paraId="38A4687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1958 (7.8%)</w:t>
            </w:r>
          </w:p>
        </w:tc>
        <w:tc>
          <w:tcPr>
            <w:tcW w:w="593" w:type="pct"/>
            <w:noWrap/>
            <w:hideMark/>
          </w:tcPr>
          <w:p w14:paraId="38A4687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1867 (7.4%)</w:t>
            </w:r>
          </w:p>
        </w:tc>
        <w:tc>
          <w:tcPr>
            <w:tcW w:w="782" w:type="pct"/>
            <w:noWrap/>
            <w:hideMark/>
          </w:tcPr>
          <w:p w14:paraId="38A4687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5828 (23.1%)</w:t>
            </w:r>
          </w:p>
        </w:tc>
        <w:tc>
          <w:tcPr>
            <w:tcW w:w="311" w:type="pct"/>
            <w:noWrap/>
            <w:hideMark/>
          </w:tcPr>
          <w:p w14:paraId="38A4687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 </w:t>
            </w:r>
          </w:p>
        </w:tc>
      </w:tr>
      <w:tr w:rsidR="00340424" w:rsidRPr="00FB60E5" w14:paraId="38A4688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884" w14:textId="49306A01" w:rsidR="00340424" w:rsidRPr="00340424" w:rsidRDefault="00340424" w:rsidP="00FB60E5">
            <w:pPr>
              <w:ind w:left="0"/>
              <w:rPr>
                <w:b w:val="0"/>
                <w:bCs w:val="0"/>
              </w:rPr>
            </w:pPr>
            <w:r w:rsidRPr="00FB60E5">
              <w:t>Treatment type</w:t>
            </w:r>
          </w:p>
        </w:tc>
      </w:tr>
      <w:tr w:rsidR="00CA7A60" w:rsidRPr="00FB60E5" w14:paraId="38A4688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86" w14:textId="77777777" w:rsidR="00CA7A60" w:rsidRPr="009D5847" w:rsidRDefault="00CA7A60" w:rsidP="00FB60E5">
            <w:pPr>
              <w:ind w:left="0"/>
              <w:rPr>
                <w:b w:val="0"/>
              </w:rPr>
            </w:pPr>
            <w:r w:rsidRPr="009D5847">
              <w:rPr>
                <w:b w:val="0"/>
              </w:rPr>
              <w:t>Counselling (n=11919; 47.2%)</w:t>
            </w:r>
          </w:p>
        </w:tc>
        <w:tc>
          <w:tcPr>
            <w:tcW w:w="572" w:type="pct"/>
            <w:noWrap/>
            <w:hideMark/>
          </w:tcPr>
          <w:p w14:paraId="38A4688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6376 (53.5%)</w:t>
            </w:r>
          </w:p>
        </w:tc>
        <w:tc>
          <w:tcPr>
            <w:tcW w:w="593" w:type="pct"/>
            <w:noWrap/>
            <w:hideMark/>
          </w:tcPr>
          <w:p w14:paraId="38A4688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1089 (9.1%)</w:t>
            </w:r>
          </w:p>
        </w:tc>
        <w:tc>
          <w:tcPr>
            <w:tcW w:w="593" w:type="pct"/>
            <w:noWrap/>
            <w:hideMark/>
          </w:tcPr>
          <w:p w14:paraId="38A4688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930 (7.8%)</w:t>
            </w:r>
          </w:p>
        </w:tc>
        <w:tc>
          <w:tcPr>
            <w:tcW w:w="593" w:type="pct"/>
            <w:noWrap/>
            <w:hideMark/>
          </w:tcPr>
          <w:p w14:paraId="38A4688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828 (6.9%)</w:t>
            </w:r>
          </w:p>
        </w:tc>
        <w:tc>
          <w:tcPr>
            <w:tcW w:w="782" w:type="pct"/>
            <w:noWrap/>
            <w:hideMark/>
          </w:tcPr>
          <w:p w14:paraId="38A468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2696 (22.6%)</w:t>
            </w:r>
          </w:p>
        </w:tc>
        <w:tc>
          <w:tcPr>
            <w:tcW w:w="311" w:type="pct"/>
            <w:noWrap/>
            <w:hideMark/>
          </w:tcPr>
          <w:p w14:paraId="38A4688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89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8E" w14:textId="77777777" w:rsidR="00CA7A60" w:rsidRPr="009D5847" w:rsidRDefault="00CA7A60" w:rsidP="00FB60E5">
            <w:pPr>
              <w:ind w:left="0"/>
              <w:rPr>
                <w:b w:val="0"/>
              </w:rPr>
            </w:pPr>
            <w:r w:rsidRPr="009D5847">
              <w:rPr>
                <w:b w:val="0"/>
              </w:rPr>
              <w:t>Residential withdrawal (n=1962; 7.8%)</w:t>
            </w:r>
          </w:p>
        </w:tc>
        <w:tc>
          <w:tcPr>
            <w:tcW w:w="572" w:type="pct"/>
            <w:noWrap/>
            <w:hideMark/>
          </w:tcPr>
          <w:p w14:paraId="38A4688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848 (43.2%)</w:t>
            </w:r>
          </w:p>
        </w:tc>
        <w:tc>
          <w:tcPr>
            <w:tcW w:w="593" w:type="pct"/>
            <w:noWrap/>
            <w:hideMark/>
          </w:tcPr>
          <w:p w14:paraId="38A4689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169 (8.6%)</w:t>
            </w:r>
          </w:p>
        </w:tc>
        <w:tc>
          <w:tcPr>
            <w:tcW w:w="593" w:type="pct"/>
            <w:noWrap/>
            <w:hideMark/>
          </w:tcPr>
          <w:p w14:paraId="38A4689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159 (8.1%)</w:t>
            </w:r>
          </w:p>
        </w:tc>
        <w:tc>
          <w:tcPr>
            <w:tcW w:w="593" w:type="pct"/>
            <w:noWrap/>
            <w:hideMark/>
          </w:tcPr>
          <w:p w14:paraId="38A4689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141 (7.2%)</w:t>
            </w:r>
          </w:p>
        </w:tc>
        <w:tc>
          <w:tcPr>
            <w:tcW w:w="782" w:type="pct"/>
            <w:noWrap/>
            <w:hideMark/>
          </w:tcPr>
          <w:p w14:paraId="38A4689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645 (32.9%)</w:t>
            </w:r>
          </w:p>
        </w:tc>
        <w:tc>
          <w:tcPr>
            <w:tcW w:w="311" w:type="pct"/>
            <w:noWrap/>
            <w:hideMark/>
          </w:tcPr>
          <w:p w14:paraId="38A4689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89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96" w14:textId="77777777" w:rsidR="00CA7A60" w:rsidRPr="009D5847" w:rsidRDefault="00CA7A60" w:rsidP="00FB60E5">
            <w:pPr>
              <w:ind w:left="0"/>
              <w:rPr>
                <w:b w:val="0"/>
              </w:rPr>
            </w:pPr>
            <w:r w:rsidRPr="009D5847">
              <w:rPr>
                <w:b w:val="0"/>
              </w:rPr>
              <w:t>Other withdrawal (n=2582; 10.2%)</w:t>
            </w:r>
          </w:p>
        </w:tc>
        <w:tc>
          <w:tcPr>
            <w:tcW w:w="572" w:type="pct"/>
            <w:noWrap/>
            <w:hideMark/>
          </w:tcPr>
          <w:p w14:paraId="38A4689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1419 (55.0%)</w:t>
            </w:r>
          </w:p>
        </w:tc>
        <w:tc>
          <w:tcPr>
            <w:tcW w:w="593" w:type="pct"/>
            <w:noWrap/>
            <w:hideMark/>
          </w:tcPr>
          <w:p w14:paraId="38A4689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215 (8.3%)</w:t>
            </w:r>
          </w:p>
        </w:tc>
        <w:tc>
          <w:tcPr>
            <w:tcW w:w="593" w:type="pct"/>
            <w:noWrap/>
            <w:hideMark/>
          </w:tcPr>
          <w:p w14:paraId="38A4689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218 (8.4%)</w:t>
            </w:r>
          </w:p>
        </w:tc>
        <w:tc>
          <w:tcPr>
            <w:tcW w:w="593" w:type="pct"/>
            <w:noWrap/>
            <w:hideMark/>
          </w:tcPr>
          <w:p w14:paraId="38A4689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162 (6.3%)</w:t>
            </w:r>
          </w:p>
        </w:tc>
        <w:tc>
          <w:tcPr>
            <w:tcW w:w="782" w:type="pct"/>
            <w:noWrap/>
            <w:hideMark/>
          </w:tcPr>
          <w:p w14:paraId="38A4689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568 (22.0%)</w:t>
            </w:r>
          </w:p>
        </w:tc>
        <w:tc>
          <w:tcPr>
            <w:tcW w:w="311" w:type="pct"/>
            <w:noWrap/>
            <w:hideMark/>
          </w:tcPr>
          <w:p w14:paraId="38A4689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8A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9E" w14:textId="77777777" w:rsidR="00CA7A60" w:rsidRPr="009D5847" w:rsidRDefault="00CA7A60" w:rsidP="00FB60E5">
            <w:pPr>
              <w:ind w:left="0"/>
              <w:rPr>
                <w:b w:val="0"/>
              </w:rPr>
            </w:pPr>
            <w:r w:rsidRPr="009D5847">
              <w:rPr>
                <w:b w:val="0"/>
              </w:rPr>
              <w:t>Outreach (n=2368; 9.4%)</w:t>
            </w:r>
          </w:p>
        </w:tc>
        <w:tc>
          <w:tcPr>
            <w:tcW w:w="572" w:type="pct"/>
            <w:noWrap/>
            <w:hideMark/>
          </w:tcPr>
          <w:p w14:paraId="38A4689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1205 (50.9%)</w:t>
            </w:r>
          </w:p>
        </w:tc>
        <w:tc>
          <w:tcPr>
            <w:tcW w:w="593" w:type="pct"/>
            <w:noWrap/>
            <w:hideMark/>
          </w:tcPr>
          <w:p w14:paraId="38A468A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230 (9.7%)</w:t>
            </w:r>
          </w:p>
        </w:tc>
        <w:tc>
          <w:tcPr>
            <w:tcW w:w="593" w:type="pct"/>
            <w:noWrap/>
            <w:hideMark/>
          </w:tcPr>
          <w:p w14:paraId="38A468A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192 (8.1%)</w:t>
            </w:r>
          </w:p>
        </w:tc>
        <w:tc>
          <w:tcPr>
            <w:tcW w:w="593" w:type="pct"/>
            <w:noWrap/>
            <w:hideMark/>
          </w:tcPr>
          <w:p w14:paraId="38A468A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193 (8.2%)</w:t>
            </w:r>
          </w:p>
        </w:tc>
        <w:tc>
          <w:tcPr>
            <w:tcW w:w="782" w:type="pct"/>
            <w:noWrap/>
            <w:hideMark/>
          </w:tcPr>
          <w:p w14:paraId="38A468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548 (23.1%)</w:t>
            </w:r>
          </w:p>
        </w:tc>
        <w:tc>
          <w:tcPr>
            <w:tcW w:w="311" w:type="pct"/>
            <w:noWrap/>
            <w:hideMark/>
          </w:tcPr>
          <w:p w14:paraId="38A468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8A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A6" w14:textId="77777777" w:rsidR="00CA7A60" w:rsidRPr="009D5847" w:rsidRDefault="00CA7A60" w:rsidP="00FB60E5">
            <w:pPr>
              <w:ind w:left="0"/>
              <w:rPr>
                <w:b w:val="0"/>
              </w:rPr>
            </w:pPr>
            <w:r w:rsidRPr="009D5847">
              <w:rPr>
                <w:b w:val="0"/>
              </w:rPr>
              <w:t>Brokerage (n=3904; 15.5%)</w:t>
            </w:r>
          </w:p>
        </w:tc>
        <w:tc>
          <w:tcPr>
            <w:tcW w:w="572" w:type="pct"/>
            <w:noWrap/>
            <w:hideMark/>
          </w:tcPr>
          <w:p w14:paraId="38A468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2066 (52.9%)</w:t>
            </w:r>
          </w:p>
        </w:tc>
        <w:tc>
          <w:tcPr>
            <w:tcW w:w="593" w:type="pct"/>
            <w:noWrap/>
            <w:hideMark/>
          </w:tcPr>
          <w:p w14:paraId="38A468A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422 (10.8%)</w:t>
            </w:r>
          </w:p>
        </w:tc>
        <w:tc>
          <w:tcPr>
            <w:tcW w:w="593" w:type="pct"/>
            <w:noWrap/>
            <w:hideMark/>
          </w:tcPr>
          <w:p w14:paraId="38A468A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269 (6.9%)</w:t>
            </w:r>
          </w:p>
        </w:tc>
        <w:tc>
          <w:tcPr>
            <w:tcW w:w="593" w:type="pct"/>
            <w:noWrap/>
            <w:hideMark/>
          </w:tcPr>
          <w:p w14:paraId="38A468A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350 (9.0%)</w:t>
            </w:r>
          </w:p>
        </w:tc>
        <w:tc>
          <w:tcPr>
            <w:tcW w:w="782" w:type="pct"/>
            <w:noWrap/>
            <w:hideMark/>
          </w:tcPr>
          <w:p w14:paraId="38A468A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797 (20.4%)</w:t>
            </w:r>
          </w:p>
        </w:tc>
        <w:tc>
          <w:tcPr>
            <w:tcW w:w="311" w:type="pct"/>
            <w:noWrap/>
            <w:hideMark/>
          </w:tcPr>
          <w:p w14:paraId="38A468A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8B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AE" w14:textId="77777777" w:rsidR="00CA7A60" w:rsidRPr="009D5847" w:rsidRDefault="00CA7A60" w:rsidP="00FB60E5">
            <w:pPr>
              <w:ind w:left="0"/>
              <w:rPr>
                <w:b w:val="0"/>
              </w:rPr>
            </w:pPr>
            <w:r w:rsidRPr="009D5847">
              <w:rPr>
                <w:b w:val="0"/>
              </w:rPr>
              <w:t>Aboriginal services (n=733; 2.9%)</w:t>
            </w:r>
          </w:p>
        </w:tc>
        <w:tc>
          <w:tcPr>
            <w:tcW w:w="572" w:type="pct"/>
            <w:noWrap/>
            <w:hideMark/>
          </w:tcPr>
          <w:p w14:paraId="38A468A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415 (56.6%)</w:t>
            </w:r>
          </w:p>
        </w:tc>
        <w:tc>
          <w:tcPr>
            <w:tcW w:w="593" w:type="pct"/>
            <w:noWrap/>
            <w:hideMark/>
          </w:tcPr>
          <w:p w14:paraId="38A468B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60 (8.2%)</w:t>
            </w:r>
          </w:p>
        </w:tc>
        <w:tc>
          <w:tcPr>
            <w:tcW w:w="593" w:type="pct"/>
            <w:noWrap/>
            <w:hideMark/>
          </w:tcPr>
          <w:p w14:paraId="38A468B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40 (5.5%)</w:t>
            </w:r>
          </w:p>
        </w:tc>
        <w:tc>
          <w:tcPr>
            <w:tcW w:w="593" w:type="pct"/>
            <w:noWrap/>
            <w:hideMark/>
          </w:tcPr>
          <w:p w14:paraId="38A468B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49 (6.7%)</w:t>
            </w:r>
          </w:p>
        </w:tc>
        <w:tc>
          <w:tcPr>
            <w:tcW w:w="782" w:type="pct"/>
            <w:noWrap/>
            <w:hideMark/>
          </w:tcPr>
          <w:p w14:paraId="38A468B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169 (23.1%)</w:t>
            </w:r>
          </w:p>
        </w:tc>
        <w:tc>
          <w:tcPr>
            <w:tcW w:w="311" w:type="pct"/>
            <w:noWrap/>
            <w:hideMark/>
          </w:tcPr>
          <w:p w14:paraId="38A468B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8B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B6" w14:textId="77777777" w:rsidR="00CA7A60" w:rsidRPr="009D5847" w:rsidRDefault="00CA7A60" w:rsidP="00FB60E5">
            <w:pPr>
              <w:ind w:left="0"/>
              <w:rPr>
                <w:b w:val="0"/>
              </w:rPr>
            </w:pPr>
            <w:r w:rsidRPr="009D5847">
              <w:rPr>
                <w:b w:val="0"/>
              </w:rPr>
              <w:t>Specialist pharmacotherapy (n=401; 1.6%)</w:t>
            </w:r>
          </w:p>
        </w:tc>
        <w:tc>
          <w:tcPr>
            <w:tcW w:w="572" w:type="pct"/>
            <w:noWrap/>
            <w:hideMark/>
          </w:tcPr>
          <w:p w14:paraId="38A468B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166 (41.4%)</w:t>
            </w:r>
          </w:p>
        </w:tc>
        <w:tc>
          <w:tcPr>
            <w:tcW w:w="593" w:type="pct"/>
            <w:noWrap/>
            <w:hideMark/>
          </w:tcPr>
          <w:p w14:paraId="38A468B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 (11.7%)</w:t>
            </w:r>
          </w:p>
        </w:tc>
        <w:tc>
          <w:tcPr>
            <w:tcW w:w="593" w:type="pct"/>
            <w:noWrap/>
            <w:hideMark/>
          </w:tcPr>
          <w:p w14:paraId="38A468B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 (9.2%)</w:t>
            </w:r>
          </w:p>
        </w:tc>
        <w:tc>
          <w:tcPr>
            <w:tcW w:w="593" w:type="pct"/>
            <w:noWrap/>
            <w:hideMark/>
          </w:tcPr>
          <w:p w14:paraId="38A468B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 (11.2%)</w:t>
            </w:r>
          </w:p>
        </w:tc>
        <w:tc>
          <w:tcPr>
            <w:tcW w:w="782" w:type="pct"/>
            <w:noWrap/>
            <w:hideMark/>
          </w:tcPr>
          <w:p w14:paraId="38A468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106 (26.4%)</w:t>
            </w:r>
          </w:p>
        </w:tc>
        <w:tc>
          <w:tcPr>
            <w:tcW w:w="311" w:type="pct"/>
            <w:noWrap/>
            <w:hideMark/>
          </w:tcPr>
          <w:p w14:paraId="38A468B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8C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BE" w14:textId="77777777" w:rsidR="00CA7A60" w:rsidRPr="009D5847" w:rsidRDefault="00CA7A60" w:rsidP="00FB60E5">
            <w:pPr>
              <w:ind w:left="0"/>
              <w:rPr>
                <w:b w:val="0"/>
              </w:rPr>
            </w:pPr>
            <w:r w:rsidRPr="009D5847">
              <w:rPr>
                <w:b w:val="0"/>
              </w:rPr>
              <w:t>Residential rehabilitation (n=176; 0.7%)</w:t>
            </w:r>
          </w:p>
        </w:tc>
        <w:tc>
          <w:tcPr>
            <w:tcW w:w="572" w:type="pct"/>
            <w:noWrap/>
            <w:hideMark/>
          </w:tcPr>
          <w:p w14:paraId="38A468B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91 (51.7%)</w:t>
            </w:r>
          </w:p>
        </w:tc>
        <w:tc>
          <w:tcPr>
            <w:tcW w:w="593" w:type="pct"/>
            <w:noWrap/>
            <w:hideMark/>
          </w:tcPr>
          <w:p w14:paraId="38A468C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 (10.2%)</w:t>
            </w:r>
          </w:p>
        </w:tc>
        <w:tc>
          <w:tcPr>
            <w:tcW w:w="593" w:type="pct"/>
            <w:noWrap/>
            <w:hideMark/>
          </w:tcPr>
          <w:p w14:paraId="38A468C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 (9.7%)</w:t>
            </w:r>
          </w:p>
        </w:tc>
        <w:tc>
          <w:tcPr>
            <w:tcW w:w="593" w:type="pct"/>
            <w:noWrap/>
            <w:hideMark/>
          </w:tcPr>
          <w:p w14:paraId="38A468C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 (6.3%)</w:t>
            </w:r>
          </w:p>
        </w:tc>
        <w:tc>
          <w:tcPr>
            <w:tcW w:w="782" w:type="pct"/>
            <w:noWrap/>
            <w:hideMark/>
          </w:tcPr>
          <w:p w14:paraId="38A468C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 (22.2%)</w:t>
            </w:r>
          </w:p>
        </w:tc>
        <w:tc>
          <w:tcPr>
            <w:tcW w:w="311" w:type="pct"/>
            <w:noWrap/>
            <w:hideMark/>
          </w:tcPr>
          <w:p w14:paraId="38A468C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8C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C6" w14:textId="77777777" w:rsidR="00CA7A60" w:rsidRPr="009D5847" w:rsidRDefault="00CA7A60" w:rsidP="00FB60E5">
            <w:pPr>
              <w:ind w:left="0"/>
              <w:rPr>
                <w:b w:val="0"/>
              </w:rPr>
            </w:pPr>
            <w:r w:rsidRPr="009D5847">
              <w:rPr>
                <w:b w:val="0"/>
              </w:rPr>
              <w:t>Supported accommodation (n=269; 1.1%)</w:t>
            </w:r>
          </w:p>
        </w:tc>
        <w:tc>
          <w:tcPr>
            <w:tcW w:w="572" w:type="pct"/>
            <w:noWrap/>
            <w:hideMark/>
          </w:tcPr>
          <w:p w14:paraId="38A468C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129 (48.0%)</w:t>
            </w:r>
          </w:p>
        </w:tc>
        <w:tc>
          <w:tcPr>
            <w:tcW w:w="593" w:type="pct"/>
            <w:noWrap/>
            <w:hideMark/>
          </w:tcPr>
          <w:p w14:paraId="38A468C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 (11.2%)</w:t>
            </w:r>
          </w:p>
        </w:tc>
        <w:tc>
          <w:tcPr>
            <w:tcW w:w="593" w:type="pct"/>
            <w:noWrap/>
            <w:hideMark/>
          </w:tcPr>
          <w:p w14:paraId="38A468C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 (7.1%)</w:t>
            </w:r>
          </w:p>
        </w:tc>
        <w:tc>
          <w:tcPr>
            <w:tcW w:w="593" w:type="pct"/>
            <w:noWrap/>
            <w:hideMark/>
          </w:tcPr>
          <w:p w14:paraId="38A468C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 (9.3%)</w:t>
            </w:r>
          </w:p>
        </w:tc>
        <w:tc>
          <w:tcPr>
            <w:tcW w:w="782" w:type="pct"/>
            <w:noWrap/>
            <w:hideMark/>
          </w:tcPr>
          <w:p w14:paraId="38A468C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66 (24.5%)</w:t>
            </w:r>
          </w:p>
        </w:tc>
        <w:tc>
          <w:tcPr>
            <w:tcW w:w="311" w:type="pct"/>
            <w:noWrap/>
            <w:hideMark/>
          </w:tcPr>
          <w:p w14:paraId="38A468C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8D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CE" w14:textId="77777777" w:rsidR="00CA7A60" w:rsidRPr="009D5847" w:rsidRDefault="00CA7A60" w:rsidP="00FB60E5">
            <w:pPr>
              <w:ind w:left="0"/>
              <w:rPr>
                <w:b w:val="0"/>
              </w:rPr>
            </w:pPr>
            <w:r w:rsidRPr="009D5847">
              <w:rPr>
                <w:b w:val="0"/>
              </w:rPr>
              <w:t>Post withdrawal linkage (n=256; 1.0%)</w:t>
            </w:r>
          </w:p>
        </w:tc>
        <w:tc>
          <w:tcPr>
            <w:tcW w:w="572" w:type="pct"/>
            <w:noWrap/>
            <w:hideMark/>
          </w:tcPr>
          <w:p w14:paraId="38A468C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158 (61.7%)</w:t>
            </w:r>
          </w:p>
        </w:tc>
        <w:tc>
          <w:tcPr>
            <w:tcW w:w="593" w:type="pct"/>
            <w:noWrap/>
            <w:hideMark/>
          </w:tcPr>
          <w:p w14:paraId="38A468D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 (7.8%)</w:t>
            </w:r>
          </w:p>
        </w:tc>
        <w:tc>
          <w:tcPr>
            <w:tcW w:w="593" w:type="pct"/>
            <w:noWrap/>
            <w:hideMark/>
          </w:tcPr>
          <w:p w14:paraId="38A468D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(6.3%)</w:t>
            </w:r>
          </w:p>
        </w:tc>
        <w:tc>
          <w:tcPr>
            <w:tcW w:w="593" w:type="pct"/>
            <w:noWrap/>
            <w:hideMark/>
          </w:tcPr>
          <w:p w14:paraId="38A468D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(6.3%)</w:t>
            </w:r>
          </w:p>
        </w:tc>
        <w:tc>
          <w:tcPr>
            <w:tcW w:w="782" w:type="pct"/>
            <w:noWrap/>
            <w:hideMark/>
          </w:tcPr>
          <w:p w14:paraId="38A468D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46 (18.0%)</w:t>
            </w:r>
          </w:p>
        </w:tc>
        <w:tc>
          <w:tcPr>
            <w:tcW w:w="311" w:type="pct"/>
            <w:noWrap/>
            <w:hideMark/>
          </w:tcPr>
          <w:p w14:paraId="38A468D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8D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D6" w14:textId="77777777" w:rsidR="00CA7A60" w:rsidRPr="009D5847" w:rsidRDefault="00CA7A60" w:rsidP="00FB60E5">
            <w:pPr>
              <w:ind w:left="0"/>
              <w:rPr>
                <w:b w:val="0"/>
              </w:rPr>
            </w:pPr>
            <w:r w:rsidRPr="009D5847">
              <w:rPr>
                <w:b w:val="0"/>
              </w:rPr>
              <w:t>Other/unknown (n=659; 2.6%)</w:t>
            </w:r>
          </w:p>
        </w:tc>
        <w:tc>
          <w:tcPr>
            <w:tcW w:w="572" w:type="pct"/>
            <w:noWrap/>
            <w:hideMark/>
          </w:tcPr>
          <w:p w14:paraId="38A468D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355 (53.9%)</w:t>
            </w:r>
          </w:p>
        </w:tc>
        <w:tc>
          <w:tcPr>
            <w:tcW w:w="593" w:type="pct"/>
            <w:noWrap/>
            <w:hideMark/>
          </w:tcPr>
          <w:p w14:paraId="38A468D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 (7.3%)</w:t>
            </w:r>
          </w:p>
        </w:tc>
        <w:tc>
          <w:tcPr>
            <w:tcW w:w="593" w:type="pct"/>
            <w:noWrap/>
            <w:hideMark/>
          </w:tcPr>
          <w:p w14:paraId="38A468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61 (9.3%)</w:t>
            </w:r>
          </w:p>
        </w:tc>
        <w:tc>
          <w:tcPr>
            <w:tcW w:w="593" w:type="pct"/>
            <w:noWrap/>
            <w:hideMark/>
          </w:tcPr>
          <w:p w14:paraId="38A468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 (7.1%)</w:t>
            </w:r>
          </w:p>
        </w:tc>
        <w:tc>
          <w:tcPr>
            <w:tcW w:w="782" w:type="pct"/>
            <w:noWrap/>
            <w:hideMark/>
          </w:tcPr>
          <w:p w14:paraId="38A468D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148 (22.5%)</w:t>
            </w:r>
          </w:p>
        </w:tc>
        <w:tc>
          <w:tcPr>
            <w:tcW w:w="311" w:type="pct"/>
            <w:noWrap/>
            <w:hideMark/>
          </w:tcPr>
          <w:p w14:paraId="38A468DC" w14:textId="77777777" w:rsidR="00CA7A60"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340424" w:rsidRPr="00FB60E5" w14:paraId="38A468E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8E4" w14:textId="53389FAC" w:rsidR="00340424" w:rsidRPr="00FB60E5" w:rsidRDefault="00340424" w:rsidP="00FB60E5">
            <w:pPr>
              <w:ind w:left="0"/>
            </w:pPr>
            <w:r w:rsidRPr="00FB60E5">
              <w:t>Pharmacotherapy treatment</w:t>
            </w:r>
          </w:p>
        </w:tc>
      </w:tr>
      <w:tr w:rsidR="00CA7A60" w:rsidRPr="00FB60E5" w14:paraId="38A468E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E6" w14:textId="77777777" w:rsidR="00CA7A60" w:rsidRPr="009D5847" w:rsidRDefault="00CA7A60" w:rsidP="00FB60E5">
            <w:pPr>
              <w:ind w:left="0"/>
              <w:rPr>
                <w:b w:val="0"/>
              </w:rPr>
            </w:pPr>
            <w:r w:rsidRPr="009D5847">
              <w:rPr>
                <w:b w:val="0"/>
              </w:rPr>
              <w:t>Methadone (n=2166; 8.6%)</w:t>
            </w:r>
          </w:p>
        </w:tc>
        <w:tc>
          <w:tcPr>
            <w:tcW w:w="572" w:type="pct"/>
            <w:noWrap/>
            <w:hideMark/>
          </w:tcPr>
          <w:p w14:paraId="38A468E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1068 (49.3%)</w:t>
            </w:r>
          </w:p>
        </w:tc>
        <w:tc>
          <w:tcPr>
            <w:tcW w:w="593" w:type="pct"/>
            <w:noWrap/>
            <w:hideMark/>
          </w:tcPr>
          <w:p w14:paraId="38A468E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227 (10.5%)</w:t>
            </w:r>
          </w:p>
        </w:tc>
        <w:tc>
          <w:tcPr>
            <w:tcW w:w="593" w:type="pct"/>
            <w:noWrap/>
            <w:hideMark/>
          </w:tcPr>
          <w:p w14:paraId="38A468E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180 (8.3%)</w:t>
            </w:r>
          </w:p>
        </w:tc>
        <w:tc>
          <w:tcPr>
            <w:tcW w:w="593" w:type="pct"/>
            <w:noWrap/>
            <w:hideMark/>
          </w:tcPr>
          <w:p w14:paraId="38A468E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156 (7.2%)</w:t>
            </w:r>
          </w:p>
        </w:tc>
        <w:tc>
          <w:tcPr>
            <w:tcW w:w="782" w:type="pct"/>
            <w:noWrap/>
            <w:hideMark/>
          </w:tcPr>
          <w:p w14:paraId="38A468E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535 (24.7%)</w:t>
            </w:r>
          </w:p>
        </w:tc>
        <w:tc>
          <w:tcPr>
            <w:tcW w:w="311" w:type="pct"/>
            <w:noWrap/>
            <w:hideMark/>
          </w:tcPr>
          <w:p w14:paraId="38A468E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8F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EE" w14:textId="77777777" w:rsidR="00CA7A60" w:rsidRPr="009D5847" w:rsidRDefault="00CA7A60" w:rsidP="00FB60E5">
            <w:pPr>
              <w:ind w:left="0"/>
              <w:rPr>
                <w:b w:val="0"/>
              </w:rPr>
            </w:pPr>
            <w:r w:rsidRPr="009D5847">
              <w:rPr>
                <w:b w:val="0"/>
              </w:rPr>
              <w:t>Buprenorphine (n=711; 2.8%)</w:t>
            </w:r>
          </w:p>
        </w:tc>
        <w:tc>
          <w:tcPr>
            <w:tcW w:w="572" w:type="pct"/>
            <w:noWrap/>
            <w:hideMark/>
          </w:tcPr>
          <w:p w14:paraId="38A468E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341 (48.0%)</w:t>
            </w:r>
          </w:p>
        </w:tc>
        <w:tc>
          <w:tcPr>
            <w:tcW w:w="593" w:type="pct"/>
            <w:noWrap/>
            <w:hideMark/>
          </w:tcPr>
          <w:p w14:paraId="38A468F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75 (10.5%)</w:t>
            </w:r>
          </w:p>
        </w:tc>
        <w:tc>
          <w:tcPr>
            <w:tcW w:w="593" w:type="pct"/>
            <w:noWrap/>
            <w:hideMark/>
          </w:tcPr>
          <w:p w14:paraId="38A468F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46 (6.5%)</w:t>
            </w:r>
          </w:p>
        </w:tc>
        <w:tc>
          <w:tcPr>
            <w:tcW w:w="593" w:type="pct"/>
            <w:noWrap/>
            <w:hideMark/>
          </w:tcPr>
          <w:p w14:paraId="38A468F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72 (10.1%)</w:t>
            </w:r>
          </w:p>
        </w:tc>
        <w:tc>
          <w:tcPr>
            <w:tcW w:w="782" w:type="pct"/>
            <w:noWrap/>
            <w:hideMark/>
          </w:tcPr>
          <w:p w14:paraId="38A468F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177 (24.9%)</w:t>
            </w:r>
          </w:p>
        </w:tc>
        <w:tc>
          <w:tcPr>
            <w:tcW w:w="311" w:type="pct"/>
            <w:noWrap/>
            <w:hideMark/>
          </w:tcPr>
          <w:p w14:paraId="38A468F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8F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F6" w14:textId="77777777" w:rsidR="00CA7A60" w:rsidRPr="009D5847" w:rsidRDefault="00CA7A60" w:rsidP="00FB60E5">
            <w:pPr>
              <w:ind w:left="0"/>
              <w:rPr>
                <w:b w:val="0"/>
              </w:rPr>
            </w:pPr>
            <w:r w:rsidRPr="009D5847">
              <w:rPr>
                <w:b w:val="0"/>
              </w:rPr>
              <w:t>Naltrexone (n=327; 1.3%)</w:t>
            </w:r>
          </w:p>
        </w:tc>
        <w:tc>
          <w:tcPr>
            <w:tcW w:w="572" w:type="pct"/>
            <w:noWrap/>
            <w:hideMark/>
          </w:tcPr>
          <w:p w14:paraId="38A468F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174 (53.2%)</w:t>
            </w:r>
          </w:p>
        </w:tc>
        <w:tc>
          <w:tcPr>
            <w:tcW w:w="593" w:type="pct"/>
            <w:noWrap/>
            <w:hideMark/>
          </w:tcPr>
          <w:p w14:paraId="38A468F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 (7.6%)</w:t>
            </w:r>
          </w:p>
        </w:tc>
        <w:tc>
          <w:tcPr>
            <w:tcW w:w="593" w:type="pct"/>
            <w:noWrap/>
            <w:hideMark/>
          </w:tcPr>
          <w:p w14:paraId="38A468F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 (6.1%)</w:t>
            </w:r>
          </w:p>
        </w:tc>
        <w:tc>
          <w:tcPr>
            <w:tcW w:w="593" w:type="pct"/>
            <w:noWrap/>
            <w:hideMark/>
          </w:tcPr>
          <w:p w14:paraId="38A468F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 (4.6%)</w:t>
            </w:r>
          </w:p>
        </w:tc>
        <w:tc>
          <w:tcPr>
            <w:tcW w:w="782" w:type="pct"/>
            <w:noWrap/>
            <w:hideMark/>
          </w:tcPr>
          <w:p w14:paraId="38A468F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93 (28.4%)</w:t>
            </w:r>
          </w:p>
        </w:tc>
        <w:tc>
          <w:tcPr>
            <w:tcW w:w="311" w:type="pct"/>
            <w:noWrap/>
            <w:hideMark/>
          </w:tcPr>
          <w:p w14:paraId="38A468F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90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8FE" w14:textId="77777777" w:rsidR="00CA7A60" w:rsidRPr="009D5847" w:rsidRDefault="00CA7A60" w:rsidP="00FB60E5">
            <w:pPr>
              <w:ind w:left="0"/>
              <w:rPr>
                <w:b w:val="0"/>
              </w:rPr>
            </w:pPr>
            <w:r w:rsidRPr="009D5847">
              <w:rPr>
                <w:b w:val="0"/>
              </w:rPr>
              <w:t>Other (n=1240; 4.9%)</w:t>
            </w:r>
          </w:p>
        </w:tc>
        <w:tc>
          <w:tcPr>
            <w:tcW w:w="572" w:type="pct"/>
            <w:noWrap/>
            <w:hideMark/>
          </w:tcPr>
          <w:p w14:paraId="38A468F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640 (51.6%)</w:t>
            </w:r>
          </w:p>
        </w:tc>
        <w:tc>
          <w:tcPr>
            <w:tcW w:w="593" w:type="pct"/>
            <w:noWrap/>
            <w:hideMark/>
          </w:tcPr>
          <w:p w14:paraId="38A4690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118 (9.5%)</w:t>
            </w:r>
          </w:p>
        </w:tc>
        <w:tc>
          <w:tcPr>
            <w:tcW w:w="593" w:type="pct"/>
            <w:noWrap/>
            <w:hideMark/>
          </w:tcPr>
          <w:p w14:paraId="38A4690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102 (8.2%)</w:t>
            </w:r>
          </w:p>
        </w:tc>
        <w:tc>
          <w:tcPr>
            <w:tcW w:w="593" w:type="pct"/>
            <w:noWrap/>
            <w:hideMark/>
          </w:tcPr>
          <w:p w14:paraId="38A4690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80 (6.5%)</w:t>
            </w:r>
          </w:p>
        </w:tc>
        <w:tc>
          <w:tcPr>
            <w:tcW w:w="782" w:type="pct"/>
            <w:noWrap/>
            <w:hideMark/>
          </w:tcPr>
          <w:p w14:paraId="38A4690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300 (24.2%)</w:t>
            </w:r>
          </w:p>
        </w:tc>
        <w:tc>
          <w:tcPr>
            <w:tcW w:w="311" w:type="pct"/>
            <w:noWrap/>
            <w:hideMark/>
          </w:tcPr>
          <w:p w14:paraId="38A4690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90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906" w14:textId="77777777" w:rsidR="00CA7A60" w:rsidRPr="009D5847" w:rsidRDefault="00CA7A60" w:rsidP="00FB60E5">
            <w:pPr>
              <w:ind w:left="0"/>
              <w:rPr>
                <w:b w:val="0"/>
              </w:rPr>
            </w:pPr>
            <w:r w:rsidRPr="009D5847">
              <w:rPr>
                <w:b w:val="0"/>
              </w:rPr>
              <w:t>None (n=20785; 82.4%)</w:t>
            </w:r>
          </w:p>
        </w:tc>
        <w:tc>
          <w:tcPr>
            <w:tcW w:w="572" w:type="pct"/>
            <w:noWrap/>
            <w:hideMark/>
          </w:tcPr>
          <w:p w14:paraId="38A4690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11005 (52.9%)</w:t>
            </w:r>
          </w:p>
        </w:tc>
        <w:tc>
          <w:tcPr>
            <w:tcW w:w="593" w:type="pct"/>
            <w:noWrap/>
            <w:hideMark/>
          </w:tcPr>
          <w:p w14:paraId="38A4690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1903 (9.2%)</w:t>
            </w:r>
          </w:p>
        </w:tc>
        <w:tc>
          <w:tcPr>
            <w:tcW w:w="593" w:type="pct"/>
            <w:noWrap/>
            <w:hideMark/>
          </w:tcPr>
          <w:p w14:paraId="38A4690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1610 (7.7%)</w:t>
            </w:r>
          </w:p>
        </w:tc>
        <w:tc>
          <w:tcPr>
            <w:tcW w:w="593" w:type="pct"/>
            <w:noWrap/>
            <w:hideMark/>
          </w:tcPr>
          <w:p w14:paraId="38A4690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1544 (7.4%)</w:t>
            </w:r>
          </w:p>
        </w:tc>
        <w:tc>
          <w:tcPr>
            <w:tcW w:w="782" w:type="pct"/>
            <w:noWrap/>
            <w:hideMark/>
          </w:tcPr>
          <w:p w14:paraId="38A4690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4723 (22.7%)</w:t>
            </w:r>
          </w:p>
        </w:tc>
        <w:tc>
          <w:tcPr>
            <w:tcW w:w="311" w:type="pct"/>
            <w:noWrap/>
            <w:hideMark/>
          </w:tcPr>
          <w:p w14:paraId="38A4690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0.001</w:t>
            </w:r>
          </w:p>
        </w:tc>
      </w:tr>
      <w:tr w:rsidR="00340424" w:rsidRPr="00FB60E5" w14:paraId="38A4691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914" w14:textId="1493E68F" w:rsidR="00340424" w:rsidRPr="00340424" w:rsidRDefault="00340424" w:rsidP="00FB60E5">
            <w:pPr>
              <w:ind w:left="0"/>
              <w:rPr>
                <w:b w:val="0"/>
                <w:bCs w:val="0"/>
              </w:rPr>
            </w:pPr>
            <w:r w:rsidRPr="00FB60E5">
              <w:t>Treatment termination status</w:t>
            </w:r>
          </w:p>
        </w:tc>
      </w:tr>
      <w:tr w:rsidR="00CA7A60" w:rsidRPr="00FB60E5" w14:paraId="38A4691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916" w14:textId="77777777" w:rsidR="00CA7A60" w:rsidRPr="009D5847" w:rsidRDefault="00CA7A60" w:rsidP="00FB60E5">
            <w:pPr>
              <w:ind w:left="0"/>
              <w:rPr>
                <w:b w:val="0"/>
              </w:rPr>
            </w:pPr>
            <w:r w:rsidRPr="009D5847">
              <w:rPr>
                <w:b w:val="0"/>
              </w:rPr>
              <w:t>Completed treatment (n=18690; 74.1%)</w:t>
            </w:r>
          </w:p>
        </w:tc>
        <w:tc>
          <w:tcPr>
            <w:tcW w:w="572" w:type="pct"/>
            <w:noWrap/>
            <w:hideMark/>
          </w:tcPr>
          <w:p w14:paraId="38A4691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9873 (52.8%)</w:t>
            </w:r>
          </w:p>
        </w:tc>
        <w:tc>
          <w:tcPr>
            <w:tcW w:w="593" w:type="pct"/>
            <w:noWrap/>
            <w:hideMark/>
          </w:tcPr>
          <w:p w14:paraId="38A4691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1757 (9.4%)</w:t>
            </w:r>
          </w:p>
        </w:tc>
        <w:tc>
          <w:tcPr>
            <w:tcW w:w="593" w:type="pct"/>
            <w:noWrap/>
            <w:hideMark/>
          </w:tcPr>
          <w:p w14:paraId="38A4691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1454 (7.8%)</w:t>
            </w:r>
          </w:p>
        </w:tc>
        <w:tc>
          <w:tcPr>
            <w:tcW w:w="593" w:type="pct"/>
            <w:noWrap/>
            <w:hideMark/>
          </w:tcPr>
          <w:p w14:paraId="38A4691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1430 (7.7%)</w:t>
            </w:r>
          </w:p>
        </w:tc>
        <w:tc>
          <w:tcPr>
            <w:tcW w:w="782" w:type="pct"/>
            <w:noWrap/>
            <w:hideMark/>
          </w:tcPr>
          <w:p w14:paraId="38A4691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4176 (22.3%)</w:t>
            </w:r>
          </w:p>
        </w:tc>
        <w:tc>
          <w:tcPr>
            <w:tcW w:w="311" w:type="pct"/>
            <w:noWrap/>
            <w:hideMark/>
          </w:tcPr>
          <w:p w14:paraId="38A4691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92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91E" w14:textId="77777777" w:rsidR="00CA7A60" w:rsidRPr="009D5847" w:rsidRDefault="00CA7A60" w:rsidP="00FB60E5">
            <w:pPr>
              <w:ind w:left="0"/>
              <w:rPr>
                <w:b w:val="0"/>
              </w:rPr>
            </w:pPr>
            <w:r w:rsidRPr="009D5847">
              <w:rPr>
                <w:b w:val="0"/>
              </w:rPr>
              <w:t>Not completed (n=6262; 24.8%)</w:t>
            </w:r>
          </w:p>
        </w:tc>
        <w:tc>
          <w:tcPr>
            <w:tcW w:w="572" w:type="pct"/>
            <w:noWrap/>
            <w:hideMark/>
          </w:tcPr>
          <w:p w14:paraId="38A4691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3214 (51.3%)</w:t>
            </w:r>
          </w:p>
        </w:tc>
        <w:tc>
          <w:tcPr>
            <w:tcW w:w="593" w:type="pct"/>
            <w:noWrap/>
            <w:hideMark/>
          </w:tcPr>
          <w:p w14:paraId="38A4692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558 (8.9%)</w:t>
            </w:r>
          </w:p>
        </w:tc>
        <w:tc>
          <w:tcPr>
            <w:tcW w:w="593" w:type="pct"/>
            <w:noWrap/>
            <w:hideMark/>
          </w:tcPr>
          <w:p w14:paraId="38A4692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483 (7.7%)</w:t>
            </w:r>
          </w:p>
        </w:tc>
        <w:tc>
          <w:tcPr>
            <w:tcW w:w="593" w:type="pct"/>
            <w:noWrap/>
            <w:hideMark/>
          </w:tcPr>
          <w:p w14:paraId="38A4692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420 (6.7%)</w:t>
            </w:r>
          </w:p>
        </w:tc>
        <w:tc>
          <w:tcPr>
            <w:tcW w:w="782" w:type="pct"/>
            <w:noWrap/>
            <w:hideMark/>
          </w:tcPr>
          <w:p w14:paraId="38A4692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1587 (25.3%)</w:t>
            </w:r>
          </w:p>
        </w:tc>
        <w:tc>
          <w:tcPr>
            <w:tcW w:w="311" w:type="pct"/>
            <w:noWrap/>
            <w:hideMark/>
          </w:tcPr>
          <w:p w14:paraId="38A4692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92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6926" w14:textId="77777777" w:rsidR="00CA7A60" w:rsidRPr="009D5847" w:rsidRDefault="00CA7A60" w:rsidP="00FB60E5">
            <w:pPr>
              <w:ind w:left="0"/>
              <w:rPr>
                <w:b w:val="0"/>
              </w:rPr>
            </w:pPr>
            <w:r w:rsidRPr="009D5847">
              <w:rPr>
                <w:b w:val="0"/>
              </w:rPr>
              <w:t>Unknown (n=277; 1.1%)</w:t>
            </w:r>
          </w:p>
        </w:tc>
        <w:tc>
          <w:tcPr>
            <w:tcW w:w="572" w:type="pct"/>
            <w:noWrap/>
            <w:hideMark/>
          </w:tcPr>
          <w:p w14:paraId="38A4692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141 (50.9%)</w:t>
            </w:r>
          </w:p>
        </w:tc>
        <w:tc>
          <w:tcPr>
            <w:tcW w:w="593" w:type="pct"/>
            <w:noWrap/>
            <w:hideMark/>
          </w:tcPr>
          <w:p w14:paraId="38A4692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 (11.9%)</w:t>
            </w:r>
          </w:p>
        </w:tc>
        <w:tc>
          <w:tcPr>
            <w:tcW w:w="593" w:type="pct"/>
            <w:noWrap/>
            <w:hideMark/>
          </w:tcPr>
          <w:p w14:paraId="38A4692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 (7.6%)</w:t>
            </w:r>
          </w:p>
        </w:tc>
        <w:tc>
          <w:tcPr>
            <w:tcW w:w="593" w:type="pct"/>
            <w:noWrap/>
            <w:hideMark/>
          </w:tcPr>
          <w:p w14:paraId="38A4692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 (6.1%)</w:t>
            </w:r>
          </w:p>
        </w:tc>
        <w:tc>
          <w:tcPr>
            <w:tcW w:w="782" w:type="pct"/>
            <w:noWrap/>
            <w:hideMark/>
          </w:tcPr>
          <w:p w14:paraId="38A4692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 (23.5%)</w:t>
            </w:r>
          </w:p>
        </w:tc>
        <w:tc>
          <w:tcPr>
            <w:tcW w:w="311" w:type="pct"/>
            <w:noWrap/>
            <w:hideMark/>
          </w:tcPr>
          <w:p w14:paraId="38A4692C" w14:textId="77777777" w:rsidR="00CA7A60"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bl>
    <w:p w14:paraId="38A4692F" w14:textId="77777777" w:rsidR="00CA7A60" w:rsidRPr="00FB60E5" w:rsidRDefault="00CA7A60" w:rsidP="00FB60E5">
      <w:pPr>
        <w:ind w:left="0"/>
        <w:sectPr w:rsidR="00CA7A60" w:rsidRPr="00FB60E5" w:rsidSect="00CA7A60">
          <w:pgSz w:w="16838" w:h="11906" w:orient="landscape"/>
          <w:pgMar w:top="1440" w:right="1440" w:bottom="1440" w:left="1440" w:header="708" w:footer="595" w:gutter="0"/>
          <w:cols w:space="708"/>
          <w:docGrid w:linePitch="360"/>
        </w:sectPr>
      </w:pPr>
    </w:p>
    <w:p w14:paraId="38A46930" w14:textId="1E059839" w:rsidR="00CA7A60" w:rsidRPr="00FB60E5" w:rsidRDefault="00CA7A60" w:rsidP="00552239">
      <w:pPr>
        <w:pStyle w:val="Caption"/>
      </w:pPr>
      <w:bookmarkStart w:id="238" w:name="_Ref386796033"/>
      <w:bookmarkStart w:id="239" w:name="_Toc387244629"/>
      <w:bookmarkStart w:id="240" w:name="_Toc531625802"/>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5</w:t>
      </w:r>
      <w:r w:rsidR="00552239">
        <w:fldChar w:fldCharType="end"/>
      </w:r>
      <w:bookmarkEnd w:id="238"/>
      <w:r w:rsidR="002C27A8">
        <w:t xml:space="preserve"> </w:t>
      </w:r>
      <w:r w:rsidR="00727B57" w:rsidRPr="00FB60E5">
        <w:t>Treatment</w:t>
      </w:r>
      <w:r w:rsidRPr="00FB60E5">
        <w:t xml:space="preserve"> type and treatment characteristics by ED presentations in 2009/10, 2010/11 and 2011/12</w:t>
      </w:r>
      <w:bookmarkEnd w:id="239"/>
      <w:bookmarkEnd w:id="240"/>
    </w:p>
    <w:tbl>
      <w:tblPr>
        <w:tblStyle w:val="LightList-Accent1"/>
        <w:tblW w:w="5000" w:type="pct"/>
        <w:tblLook w:val="04A0" w:firstRow="1" w:lastRow="0" w:firstColumn="1" w:lastColumn="0" w:noHBand="0" w:noVBand="1"/>
        <w:tblDescription w:val="Table 4.5 is a list of Treatment type and treatment characteristics by ED presentations in 2009/10, 2010/11 and 2011/12"/>
      </w:tblPr>
      <w:tblGrid>
        <w:gridCol w:w="4504"/>
        <w:gridCol w:w="1579"/>
        <w:gridCol w:w="1579"/>
        <w:gridCol w:w="1580"/>
      </w:tblGrid>
      <w:tr w:rsidR="00CA7A60" w:rsidRPr="00FB60E5" w14:paraId="38A46933"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37" w:type="pct"/>
            <w:vMerge w:val="restart"/>
            <w:noWrap/>
            <w:hideMark/>
          </w:tcPr>
          <w:p w14:paraId="38A46931" w14:textId="77777777" w:rsidR="00CA7A60" w:rsidRPr="00FB60E5" w:rsidRDefault="00CA7A60" w:rsidP="00FB60E5">
            <w:pPr>
              <w:ind w:left="0"/>
            </w:pPr>
            <w:r w:rsidRPr="00FB60E5">
              <w:t> </w:t>
            </w:r>
          </w:p>
        </w:tc>
        <w:tc>
          <w:tcPr>
            <w:tcW w:w="2563" w:type="pct"/>
            <w:gridSpan w:val="3"/>
            <w:noWrap/>
            <w:hideMark/>
          </w:tcPr>
          <w:p w14:paraId="38A46932" w14:textId="5DD8A95F"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Number of</w:t>
            </w:r>
            <w:r w:rsidR="002C27A8">
              <w:t xml:space="preserve"> </w:t>
            </w:r>
            <w:r w:rsidRPr="00FB60E5">
              <w:t xml:space="preserve">AOD clients </w:t>
            </w:r>
          </w:p>
        </w:tc>
      </w:tr>
      <w:tr w:rsidR="00CA7A60" w:rsidRPr="00FB60E5" w14:paraId="38A46938"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37" w:type="pct"/>
            <w:vMerge/>
            <w:hideMark/>
          </w:tcPr>
          <w:p w14:paraId="38A46934" w14:textId="77777777" w:rsidR="00CA7A60" w:rsidRPr="00FB60E5" w:rsidRDefault="00CA7A60" w:rsidP="00FB60E5">
            <w:pPr>
              <w:ind w:left="0"/>
            </w:pPr>
          </w:p>
        </w:tc>
        <w:tc>
          <w:tcPr>
            <w:tcW w:w="854" w:type="pct"/>
            <w:hideMark/>
          </w:tcPr>
          <w:p w14:paraId="38A4693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854" w:type="pct"/>
            <w:hideMark/>
          </w:tcPr>
          <w:p w14:paraId="38A4693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855" w:type="pct"/>
            <w:hideMark/>
          </w:tcPr>
          <w:p w14:paraId="38A4693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93D"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39" w14:textId="77777777" w:rsidR="00CA7A60" w:rsidRPr="009D5847" w:rsidRDefault="00CA7A60" w:rsidP="00FB60E5">
            <w:pPr>
              <w:ind w:left="0"/>
              <w:rPr>
                <w:b w:val="0"/>
              </w:rPr>
            </w:pPr>
            <w:r w:rsidRPr="009D5847">
              <w:rPr>
                <w:b w:val="0"/>
              </w:rPr>
              <w:t>Total (n=25229)</w:t>
            </w:r>
          </w:p>
        </w:tc>
        <w:tc>
          <w:tcPr>
            <w:tcW w:w="854" w:type="pct"/>
            <w:noWrap/>
            <w:hideMark/>
          </w:tcPr>
          <w:p w14:paraId="38A4693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6890 (27.3%)</w:t>
            </w:r>
          </w:p>
        </w:tc>
        <w:tc>
          <w:tcPr>
            <w:tcW w:w="854" w:type="pct"/>
            <w:noWrap/>
            <w:hideMark/>
          </w:tcPr>
          <w:p w14:paraId="38A4693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6742 (26.7%)</w:t>
            </w:r>
          </w:p>
        </w:tc>
        <w:tc>
          <w:tcPr>
            <w:tcW w:w="855" w:type="pct"/>
            <w:noWrap/>
            <w:hideMark/>
          </w:tcPr>
          <w:p w14:paraId="38A4693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6356 (25.2%)</w:t>
            </w:r>
          </w:p>
        </w:tc>
      </w:tr>
      <w:tr w:rsidR="00340424" w:rsidRPr="00FB60E5" w14:paraId="38A46942"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941" w14:textId="773B7156" w:rsidR="00340424" w:rsidRPr="00340424" w:rsidRDefault="00340424" w:rsidP="00340424">
            <w:pPr>
              <w:ind w:left="0"/>
              <w:rPr>
                <w:b w:val="0"/>
                <w:bCs w:val="0"/>
              </w:rPr>
            </w:pPr>
            <w:r w:rsidRPr="00FB60E5">
              <w:t>Treatment type</w:t>
            </w:r>
          </w:p>
        </w:tc>
      </w:tr>
      <w:tr w:rsidR="00CA7A60" w:rsidRPr="00FB60E5" w14:paraId="38A46947"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43" w14:textId="77777777" w:rsidR="00CA7A60" w:rsidRPr="009D5847" w:rsidRDefault="00CA7A60" w:rsidP="00FB60E5">
            <w:pPr>
              <w:ind w:left="0"/>
              <w:rPr>
                <w:b w:val="0"/>
              </w:rPr>
            </w:pPr>
            <w:r w:rsidRPr="009D5847">
              <w:rPr>
                <w:b w:val="0"/>
              </w:rPr>
              <w:t>Counselling (n=11919; 47.2%)</w:t>
            </w:r>
          </w:p>
        </w:tc>
        <w:tc>
          <w:tcPr>
            <w:tcW w:w="854" w:type="pct"/>
            <w:noWrap/>
            <w:hideMark/>
          </w:tcPr>
          <w:p w14:paraId="38A4694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3158 (26.5%)</w:t>
            </w:r>
          </w:p>
        </w:tc>
        <w:tc>
          <w:tcPr>
            <w:tcW w:w="854" w:type="pct"/>
            <w:noWrap/>
            <w:hideMark/>
          </w:tcPr>
          <w:p w14:paraId="38A4694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3172 (26.6%)</w:t>
            </w:r>
          </w:p>
        </w:tc>
        <w:tc>
          <w:tcPr>
            <w:tcW w:w="855" w:type="pct"/>
            <w:noWrap/>
            <w:hideMark/>
          </w:tcPr>
          <w:p w14:paraId="38A4694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2878 (24.1%)</w:t>
            </w:r>
          </w:p>
        </w:tc>
      </w:tr>
      <w:tr w:rsidR="00CA7A60" w:rsidRPr="00FB60E5" w14:paraId="38A4694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48" w14:textId="77777777" w:rsidR="00CA7A60" w:rsidRPr="009D5847" w:rsidRDefault="00CA7A60" w:rsidP="00FB60E5">
            <w:pPr>
              <w:ind w:left="0"/>
              <w:rPr>
                <w:b w:val="0"/>
              </w:rPr>
            </w:pPr>
            <w:r w:rsidRPr="009D5847">
              <w:rPr>
                <w:b w:val="0"/>
              </w:rPr>
              <w:t>Residential withdrawal (n=1962; 7.8%)</w:t>
            </w:r>
          </w:p>
        </w:tc>
        <w:tc>
          <w:tcPr>
            <w:tcW w:w="854" w:type="pct"/>
            <w:noWrap/>
            <w:hideMark/>
          </w:tcPr>
          <w:p w14:paraId="38A4694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685 (34.9%)</w:t>
            </w:r>
          </w:p>
        </w:tc>
        <w:tc>
          <w:tcPr>
            <w:tcW w:w="854" w:type="pct"/>
            <w:noWrap/>
            <w:hideMark/>
          </w:tcPr>
          <w:p w14:paraId="38A4694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705 (35.9%)</w:t>
            </w:r>
          </w:p>
        </w:tc>
        <w:tc>
          <w:tcPr>
            <w:tcW w:w="855" w:type="pct"/>
            <w:noWrap/>
            <w:hideMark/>
          </w:tcPr>
          <w:p w14:paraId="38A4694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644 (32.8%)</w:t>
            </w:r>
          </w:p>
        </w:tc>
      </w:tr>
      <w:tr w:rsidR="00CA7A60" w:rsidRPr="00FB60E5" w14:paraId="38A46951"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4D" w14:textId="77777777" w:rsidR="00CA7A60" w:rsidRPr="009D5847" w:rsidRDefault="00CA7A60" w:rsidP="00FB60E5">
            <w:pPr>
              <w:ind w:left="0"/>
              <w:rPr>
                <w:b w:val="0"/>
              </w:rPr>
            </w:pPr>
            <w:r w:rsidRPr="009D5847">
              <w:rPr>
                <w:b w:val="0"/>
              </w:rPr>
              <w:t>Other withdrawal (n=2582; 10.2%)</w:t>
            </w:r>
          </w:p>
        </w:tc>
        <w:tc>
          <w:tcPr>
            <w:tcW w:w="854" w:type="pct"/>
            <w:noWrap/>
            <w:hideMark/>
          </w:tcPr>
          <w:p w14:paraId="38A4694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655 (25.4%)</w:t>
            </w:r>
          </w:p>
        </w:tc>
        <w:tc>
          <w:tcPr>
            <w:tcW w:w="854" w:type="pct"/>
            <w:noWrap/>
            <w:hideMark/>
          </w:tcPr>
          <w:p w14:paraId="38A469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686 (26.6%)</w:t>
            </w:r>
          </w:p>
        </w:tc>
        <w:tc>
          <w:tcPr>
            <w:tcW w:w="855" w:type="pct"/>
            <w:noWrap/>
            <w:hideMark/>
          </w:tcPr>
          <w:p w14:paraId="38A469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609 (23.6%)</w:t>
            </w:r>
          </w:p>
        </w:tc>
      </w:tr>
      <w:tr w:rsidR="00CA7A60" w:rsidRPr="00FB60E5" w14:paraId="38A46956"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52" w14:textId="77777777" w:rsidR="00CA7A60" w:rsidRPr="009D5847" w:rsidRDefault="00CA7A60" w:rsidP="00FB60E5">
            <w:pPr>
              <w:ind w:left="0"/>
              <w:rPr>
                <w:b w:val="0"/>
              </w:rPr>
            </w:pPr>
            <w:r w:rsidRPr="009D5847">
              <w:rPr>
                <w:b w:val="0"/>
              </w:rPr>
              <w:t>Outreach (n=2368; 9.4%)</w:t>
            </w:r>
          </w:p>
        </w:tc>
        <w:tc>
          <w:tcPr>
            <w:tcW w:w="854" w:type="pct"/>
            <w:noWrap/>
            <w:hideMark/>
          </w:tcPr>
          <w:p w14:paraId="38A4695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658 (27.8%)</w:t>
            </w:r>
          </w:p>
        </w:tc>
        <w:tc>
          <w:tcPr>
            <w:tcW w:w="854" w:type="pct"/>
            <w:noWrap/>
            <w:hideMark/>
          </w:tcPr>
          <w:p w14:paraId="38A4695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637 (26.9%)</w:t>
            </w:r>
          </w:p>
        </w:tc>
        <w:tc>
          <w:tcPr>
            <w:tcW w:w="855" w:type="pct"/>
            <w:noWrap/>
            <w:hideMark/>
          </w:tcPr>
          <w:p w14:paraId="38A4695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614 (25.9%)</w:t>
            </w:r>
          </w:p>
        </w:tc>
      </w:tr>
      <w:tr w:rsidR="00CA7A60" w:rsidRPr="00FB60E5" w14:paraId="38A4695B"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57" w14:textId="77777777" w:rsidR="00CA7A60" w:rsidRPr="009D5847" w:rsidRDefault="00CA7A60" w:rsidP="00FB60E5">
            <w:pPr>
              <w:ind w:left="0"/>
              <w:rPr>
                <w:b w:val="0"/>
              </w:rPr>
            </w:pPr>
            <w:r w:rsidRPr="009D5847">
              <w:rPr>
                <w:b w:val="0"/>
              </w:rPr>
              <w:t>Brokerage (n=3904; 15.5%)</w:t>
            </w:r>
          </w:p>
        </w:tc>
        <w:tc>
          <w:tcPr>
            <w:tcW w:w="854" w:type="pct"/>
            <w:noWrap/>
            <w:hideMark/>
          </w:tcPr>
          <w:p w14:paraId="38A4695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1038 (26.6%)</w:t>
            </w:r>
          </w:p>
        </w:tc>
        <w:tc>
          <w:tcPr>
            <w:tcW w:w="854" w:type="pct"/>
            <w:noWrap/>
            <w:hideMark/>
          </w:tcPr>
          <w:p w14:paraId="38A4695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887 (22.7%)</w:t>
            </w:r>
          </w:p>
        </w:tc>
        <w:tc>
          <w:tcPr>
            <w:tcW w:w="855" w:type="pct"/>
            <w:noWrap/>
            <w:hideMark/>
          </w:tcPr>
          <w:p w14:paraId="38A4695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967 (24.8%)</w:t>
            </w:r>
          </w:p>
        </w:tc>
      </w:tr>
      <w:tr w:rsidR="00CA7A60" w:rsidRPr="00FB60E5" w14:paraId="38A46960"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5C" w14:textId="77777777" w:rsidR="00CA7A60" w:rsidRPr="009D5847" w:rsidRDefault="00CA7A60" w:rsidP="00FB60E5">
            <w:pPr>
              <w:ind w:left="0"/>
              <w:rPr>
                <w:b w:val="0"/>
              </w:rPr>
            </w:pPr>
            <w:r w:rsidRPr="009D5847">
              <w:rPr>
                <w:b w:val="0"/>
              </w:rPr>
              <w:t>Aboriginal services (n=733; 2.9%)</w:t>
            </w:r>
          </w:p>
        </w:tc>
        <w:tc>
          <w:tcPr>
            <w:tcW w:w="854" w:type="pct"/>
            <w:noWrap/>
            <w:hideMark/>
          </w:tcPr>
          <w:p w14:paraId="38A4695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195 (26.6%)</w:t>
            </w:r>
          </w:p>
        </w:tc>
        <w:tc>
          <w:tcPr>
            <w:tcW w:w="854" w:type="pct"/>
            <w:noWrap/>
            <w:hideMark/>
          </w:tcPr>
          <w:p w14:paraId="38A4695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176 (24.0%)</w:t>
            </w:r>
          </w:p>
        </w:tc>
        <w:tc>
          <w:tcPr>
            <w:tcW w:w="855" w:type="pct"/>
            <w:noWrap/>
            <w:hideMark/>
          </w:tcPr>
          <w:p w14:paraId="38A4695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188 (25.6%)</w:t>
            </w:r>
          </w:p>
        </w:tc>
      </w:tr>
      <w:tr w:rsidR="00CA7A60" w:rsidRPr="00FB60E5" w14:paraId="38A46965"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61" w14:textId="77777777" w:rsidR="00CA7A60" w:rsidRPr="009D5847" w:rsidRDefault="00CA7A60" w:rsidP="00FB60E5">
            <w:pPr>
              <w:ind w:left="0"/>
              <w:rPr>
                <w:b w:val="0"/>
              </w:rPr>
            </w:pPr>
            <w:r w:rsidRPr="009D5847">
              <w:rPr>
                <w:b w:val="0"/>
              </w:rPr>
              <w:t>Specialist pharmacotherapy (n=401; 1.6%)</w:t>
            </w:r>
          </w:p>
        </w:tc>
        <w:tc>
          <w:tcPr>
            <w:tcW w:w="854" w:type="pct"/>
            <w:noWrap/>
            <w:hideMark/>
          </w:tcPr>
          <w:p w14:paraId="38A4696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137 (34.2%)</w:t>
            </w:r>
          </w:p>
        </w:tc>
        <w:tc>
          <w:tcPr>
            <w:tcW w:w="854" w:type="pct"/>
            <w:noWrap/>
            <w:hideMark/>
          </w:tcPr>
          <w:p w14:paraId="38A469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122 (30.4%)</w:t>
            </w:r>
          </w:p>
        </w:tc>
        <w:tc>
          <w:tcPr>
            <w:tcW w:w="855" w:type="pct"/>
            <w:noWrap/>
            <w:hideMark/>
          </w:tcPr>
          <w:p w14:paraId="38A4696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130 (32.4%)</w:t>
            </w:r>
          </w:p>
        </w:tc>
      </w:tr>
      <w:tr w:rsidR="00CA7A60" w:rsidRPr="00FB60E5" w14:paraId="38A4696A"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66" w14:textId="77777777" w:rsidR="00CA7A60" w:rsidRPr="009D5847" w:rsidRDefault="00CA7A60" w:rsidP="00FB60E5">
            <w:pPr>
              <w:ind w:left="0"/>
              <w:rPr>
                <w:b w:val="0"/>
              </w:rPr>
            </w:pPr>
            <w:r w:rsidRPr="009D5847">
              <w:rPr>
                <w:b w:val="0"/>
              </w:rPr>
              <w:t>Residential rehabilitation (n=176; 0.7%)</w:t>
            </w:r>
          </w:p>
        </w:tc>
        <w:tc>
          <w:tcPr>
            <w:tcW w:w="854" w:type="pct"/>
            <w:noWrap/>
            <w:hideMark/>
          </w:tcPr>
          <w:p w14:paraId="38A4696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49 (27.8%)</w:t>
            </w:r>
          </w:p>
        </w:tc>
        <w:tc>
          <w:tcPr>
            <w:tcW w:w="854" w:type="pct"/>
            <w:noWrap/>
            <w:hideMark/>
          </w:tcPr>
          <w:p w14:paraId="38A469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 (23.9%)</w:t>
            </w:r>
          </w:p>
        </w:tc>
        <w:tc>
          <w:tcPr>
            <w:tcW w:w="855" w:type="pct"/>
            <w:noWrap/>
            <w:hideMark/>
          </w:tcPr>
          <w:p w14:paraId="38A4696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40 (22.7%)</w:t>
            </w:r>
          </w:p>
        </w:tc>
      </w:tr>
      <w:tr w:rsidR="00CA7A60" w:rsidRPr="00FB60E5" w14:paraId="38A4696F"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6B" w14:textId="77777777" w:rsidR="00CA7A60" w:rsidRPr="009D5847" w:rsidRDefault="00CA7A60" w:rsidP="00FB60E5">
            <w:pPr>
              <w:ind w:left="0"/>
              <w:rPr>
                <w:b w:val="0"/>
              </w:rPr>
            </w:pPr>
            <w:r w:rsidRPr="009D5847">
              <w:rPr>
                <w:b w:val="0"/>
              </w:rPr>
              <w:t>Supported accommodation (n=269; 1.1%)</w:t>
            </w:r>
          </w:p>
        </w:tc>
        <w:tc>
          <w:tcPr>
            <w:tcW w:w="854" w:type="pct"/>
            <w:noWrap/>
            <w:hideMark/>
          </w:tcPr>
          <w:p w14:paraId="38A4696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83 (30.9%)</w:t>
            </w:r>
          </w:p>
        </w:tc>
        <w:tc>
          <w:tcPr>
            <w:tcW w:w="854" w:type="pct"/>
            <w:noWrap/>
            <w:hideMark/>
          </w:tcPr>
          <w:p w14:paraId="38A4696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74 (27.5%)</w:t>
            </w:r>
          </w:p>
        </w:tc>
        <w:tc>
          <w:tcPr>
            <w:tcW w:w="855" w:type="pct"/>
            <w:noWrap/>
            <w:hideMark/>
          </w:tcPr>
          <w:p w14:paraId="38A4696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 (30.5%)</w:t>
            </w:r>
          </w:p>
        </w:tc>
      </w:tr>
      <w:tr w:rsidR="00CA7A60" w:rsidRPr="00FB60E5" w14:paraId="38A46974"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70" w14:textId="77777777" w:rsidR="00CA7A60" w:rsidRPr="009D5847" w:rsidRDefault="00CA7A60" w:rsidP="00FB60E5">
            <w:pPr>
              <w:ind w:left="0"/>
              <w:rPr>
                <w:b w:val="0"/>
              </w:rPr>
            </w:pPr>
            <w:r w:rsidRPr="009D5847">
              <w:rPr>
                <w:b w:val="0"/>
              </w:rPr>
              <w:t>Post withdrawal linkage (n=256; 1.0%)</w:t>
            </w:r>
          </w:p>
        </w:tc>
        <w:tc>
          <w:tcPr>
            <w:tcW w:w="854" w:type="pct"/>
            <w:noWrap/>
            <w:hideMark/>
          </w:tcPr>
          <w:p w14:paraId="38A4697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62 (24.2%)</w:t>
            </w:r>
          </w:p>
        </w:tc>
        <w:tc>
          <w:tcPr>
            <w:tcW w:w="854" w:type="pct"/>
            <w:noWrap/>
            <w:hideMark/>
          </w:tcPr>
          <w:p w14:paraId="38A4697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 (21.1%)</w:t>
            </w:r>
          </w:p>
        </w:tc>
        <w:tc>
          <w:tcPr>
            <w:tcW w:w="855" w:type="pct"/>
            <w:noWrap/>
            <w:hideMark/>
          </w:tcPr>
          <w:p w14:paraId="38A4697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 (20.7%)</w:t>
            </w:r>
          </w:p>
        </w:tc>
      </w:tr>
      <w:tr w:rsidR="00CA7A60" w:rsidRPr="00FB60E5" w14:paraId="38A46979"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75" w14:textId="77777777" w:rsidR="00CA7A60" w:rsidRPr="009D5847" w:rsidRDefault="00CA7A60" w:rsidP="00FB60E5">
            <w:pPr>
              <w:ind w:left="0"/>
              <w:rPr>
                <w:b w:val="0"/>
              </w:rPr>
            </w:pPr>
            <w:r w:rsidRPr="009D5847">
              <w:rPr>
                <w:b w:val="0"/>
              </w:rPr>
              <w:t>Other/unknown (n=659; 2.6%)</w:t>
            </w:r>
          </w:p>
        </w:tc>
        <w:tc>
          <w:tcPr>
            <w:tcW w:w="854" w:type="pct"/>
            <w:noWrap/>
            <w:hideMark/>
          </w:tcPr>
          <w:p w14:paraId="38A4697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170 (25.8%)</w:t>
            </w:r>
          </w:p>
        </w:tc>
        <w:tc>
          <w:tcPr>
            <w:tcW w:w="854" w:type="pct"/>
            <w:noWrap/>
            <w:hideMark/>
          </w:tcPr>
          <w:p w14:paraId="38A4697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187 (28.4%)</w:t>
            </w:r>
          </w:p>
        </w:tc>
        <w:tc>
          <w:tcPr>
            <w:tcW w:w="855" w:type="pct"/>
            <w:noWrap/>
            <w:hideMark/>
          </w:tcPr>
          <w:p w14:paraId="38A4697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151 (22.9%)</w:t>
            </w:r>
          </w:p>
        </w:tc>
      </w:tr>
      <w:tr w:rsidR="00340424" w:rsidRPr="00FB60E5" w14:paraId="38A4697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97C" w14:textId="40EC48DD" w:rsidR="00340424" w:rsidRPr="00FB60E5" w:rsidRDefault="00340424" w:rsidP="00FB60E5">
            <w:pPr>
              <w:ind w:left="0"/>
            </w:pPr>
            <w:r w:rsidRPr="00FB60E5">
              <w:t>Pharmacotherapy treatment</w:t>
            </w:r>
          </w:p>
        </w:tc>
      </w:tr>
      <w:tr w:rsidR="00CA7A60" w:rsidRPr="00FB60E5" w14:paraId="38A46982"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7E" w14:textId="77777777" w:rsidR="00CA7A60" w:rsidRPr="009D5847" w:rsidRDefault="00CA7A60" w:rsidP="00FB60E5">
            <w:pPr>
              <w:ind w:left="0"/>
              <w:rPr>
                <w:b w:val="0"/>
              </w:rPr>
            </w:pPr>
            <w:r w:rsidRPr="009D5847">
              <w:rPr>
                <w:b w:val="0"/>
              </w:rPr>
              <w:t>Methadone (n=2166; 8.6%)</w:t>
            </w:r>
          </w:p>
        </w:tc>
        <w:tc>
          <w:tcPr>
            <w:tcW w:w="854" w:type="pct"/>
            <w:noWrap/>
            <w:hideMark/>
          </w:tcPr>
          <w:p w14:paraId="38A4697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660 (30.5%)</w:t>
            </w:r>
          </w:p>
        </w:tc>
        <w:tc>
          <w:tcPr>
            <w:tcW w:w="854" w:type="pct"/>
            <w:noWrap/>
            <w:hideMark/>
          </w:tcPr>
          <w:p w14:paraId="38A4698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603 (27.8%)</w:t>
            </w:r>
          </w:p>
        </w:tc>
        <w:tc>
          <w:tcPr>
            <w:tcW w:w="855" w:type="pct"/>
            <w:noWrap/>
            <w:hideMark/>
          </w:tcPr>
          <w:p w14:paraId="38A4698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568 (26.2%)</w:t>
            </w:r>
          </w:p>
        </w:tc>
      </w:tr>
      <w:tr w:rsidR="00CA7A60" w:rsidRPr="00FB60E5" w14:paraId="38A46987"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83" w14:textId="77777777" w:rsidR="00CA7A60" w:rsidRPr="009D5847" w:rsidRDefault="00CA7A60" w:rsidP="00FB60E5">
            <w:pPr>
              <w:ind w:left="0"/>
              <w:rPr>
                <w:b w:val="0"/>
              </w:rPr>
            </w:pPr>
            <w:r w:rsidRPr="009D5847">
              <w:rPr>
                <w:b w:val="0"/>
              </w:rPr>
              <w:t>Buprenorphine (n=711; 2.8%)</w:t>
            </w:r>
          </w:p>
        </w:tc>
        <w:tc>
          <w:tcPr>
            <w:tcW w:w="854" w:type="pct"/>
            <w:noWrap/>
            <w:hideMark/>
          </w:tcPr>
          <w:p w14:paraId="38A4698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211 (29.7%)</w:t>
            </w:r>
          </w:p>
        </w:tc>
        <w:tc>
          <w:tcPr>
            <w:tcW w:w="854" w:type="pct"/>
            <w:noWrap/>
            <w:hideMark/>
          </w:tcPr>
          <w:p w14:paraId="38A4698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194 (27.3%)</w:t>
            </w:r>
          </w:p>
        </w:tc>
        <w:tc>
          <w:tcPr>
            <w:tcW w:w="855" w:type="pct"/>
            <w:noWrap/>
            <w:hideMark/>
          </w:tcPr>
          <w:p w14:paraId="38A4698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201 (28.3%)</w:t>
            </w:r>
          </w:p>
        </w:tc>
      </w:tr>
      <w:tr w:rsidR="00CA7A60" w:rsidRPr="00FB60E5" w14:paraId="38A4698C"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88" w14:textId="77777777" w:rsidR="00CA7A60" w:rsidRPr="009D5847" w:rsidRDefault="00CA7A60" w:rsidP="00FB60E5">
            <w:pPr>
              <w:ind w:left="0"/>
              <w:rPr>
                <w:b w:val="0"/>
              </w:rPr>
            </w:pPr>
            <w:r w:rsidRPr="009D5847">
              <w:rPr>
                <w:b w:val="0"/>
              </w:rPr>
              <w:t>Naltrexone (n=327; 1.3%)</w:t>
            </w:r>
          </w:p>
        </w:tc>
        <w:tc>
          <w:tcPr>
            <w:tcW w:w="854" w:type="pct"/>
            <w:noWrap/>
            <w:hideMark/>
          </w:tcPr>
          <w:p w14:paraId="38A4698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105 (32.1%)</w:t>
            </w:r>
          </w:p>
        </w:tc>
        <w:tc>
          <w:tcPr>
            <w:tcW w:w="854" w:type="pct"/>
            <w:noWrap/>
            <w:hideMark/>
          </w:tcPr>
          <w:p w14:paraId="38A4698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101 (30.9%)</w:t>
            </w:r>
          </w:p>
        </w:tc>
        <w:tc>
          <w:tcPr>
            <w:tcW w:w="855" w:type="pct"/>
            <w:noWrap/>
            <w:hideMark/>
          </w:tcPr>
          <w:p w14:paraId="38A469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85 (26.0%)</w:t>
            </w:r>
          </w:p>
        </w:tc>
      </w:tr>
      <w:tr w:rsidR="00CA7A60" w:rsidRPr="00FB60E5" w14:paraId="38A46991"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8D" w14:textId="77777777" w:rsidR="00CA7A60" w:rsidRPr="009D5847" w:rsidRDefault="00CA7A60" w:rsidP="00FB60E5">
            <w:pPr>
              <w:ind w:left="0"/>
              <w:rPr>
                <w:b w:val="0"/>
              </w:rPr>
            </w:pPr>
            <w:r w:rsidRPr="009D5847">
              <w:rPr>
                <w:b w:val="0"/>
              </w:rPr>
              <w:t>Other (n=1240; 4.9%)</w:t>
            </w:r>
          </w:p>
        </w:tc>
        <w:tc>
          <w:tcPr>
            <w:tcW w:w="854" w:type="pct"/>
            <w:noWrap/>
            <w:hideMark/>
          </w:tcPr>
          <w:p w14:paraId="38A4698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359 (29.0%)</w:t>
            </w:r>
          </w:p>
        </w:tc>
        <w:tc>
          <w:tcPr>
            <w:tcW w:w="854" w:type="pct"/>
            <w:noWrap/>
            <w:hideMark/>
          </w:tcPr>
          <w:p w14:paraId="38A4698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351 (28.3%)</w:t>
            </w:r>
          </w:p>
        </w:tc>
        <w:tc>
          <w:tcPr>
            <w:tcW w:w="855" w:type="pct"/>
            <w:noWrap/>
            <w:hideMark/>
          </w:tcPr>
          <w:p w14:paraId="38A4699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303 (24.4%)</w:t>
            </w:r>
          </w:p>
        </w:tc>
      </w:tr>
      <w:tr w:rsidR="00CA7A60" w:rsidRPr="00FB60E5" w14:paraId="38A46996"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92" w14:textId="77777777" w:rsidR="00CA7A60" w:rsidRPr="009D5847" w:rsidRDefault="00CA7A60" w:rsidP="00FB60E5">
            <w:pPr>
              <w:ind w:left="0"/>
              <w:rPr>
                <w:b w:val="0"/>
              </w:rPr>
            </w:pPr>
            <w:r w:rsidRPr="009D5847">
              <w:rPr>
                <w:b w:val="0"/>
              </w:rPr>
              <w:t>None (n=20785; 82.4%)</w:t>
            </w:r>
          </w:p>
        </w:tc>
        <w:tc>
          <w:tcPr>
            <w:tcW w:w="854" w:type="pct"/>
            <w:noWrap/>
            <w:hideMark/>
          </w:tcPr>
          <w:p w14:paraId="38A4699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5555 (26.7%)</w:t>
            </w:r>
          </w:p>
        </w:tc>
        <w:tc>
          <w:tcPr>
            <w:tcW w:w="854" w:type="pct"/>
            <w:noWrap/>
            <w:hideMark/>
          </w:tcPr>
          <w:p w14:paraId="38A4699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5493 (26.4%)</w:t>
            </w:r>
          </w:p>
        </w:tc>
        <w:tc>
          <w:tcPr>
            <w:tcW w:w="855" w:type="pct"/>
            <w:noWrap/>
            <w:hideMark/>
          </w:tcPr>
          <w:p w14:paraId="38A469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5199 (25.0%)</w:t>
            </w:r>
          </w:p>
        </w:tc>
      </w:tr>
      <w:tr w:rsidR="00340424" w:rsidRPr="00FB60E5" w14:paraId="38A4699A"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999" w14:textId="40D4E252" w:rsidR="00340424" w:rsidRPr="00340424" w:rsidRDefault="00340424" w:rsidP="00FB60E5">
            <w:pPr>
              <w:ind w:left="0"/>
              <w:rPr>
                <w:b w:val="0"/>
                <w:bCs w:val="0"/>
              </w:rPr>
            </w:pPr>
            <w:r w:rsidRPr="00FB60E5">
              <w:t>Treatment termination status</w:t>
            </w:r>
          </w:p>
        </w:tc>
      </w:tr>
      <w:tr w:rsidR="00CA7A60" w:rsidRPr="00FB60E5" w14:paraId="38A4699F"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9B" w14:textId="77777777" w:rsidR="00CA7A60" w:rsidRPr="009D5847" w:rsidRDefault="00CA7A60" w:rsidP="00FB60E5">
            <w:pPr>
              <w:ind w:left="0"/>
              <w:rPr>
                <w:b w:val="0"/>
              </w:rPr>
            </w:pPr>
            <w:r w:rsidRPr="009D5847">
              <w:rPr>
                <w:b w:val="0"/>
              </w:rPr>
              <w:t>Completed treatment (n=18690; 74.1%)</w:t>
            </w:r>
          </w:p>
        </w:tc>
        <w:tc>
          <w:tcPr>
            <w:tcW w:w="854" w:type="pct"/>
            <w:noWrap/>
            <w:hideMark/>
          </w:tcPr>
          <w:p w14:paraId="38A4699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5000 (26.8%)</w:t>
            </w:r>
          </w:p>
        </w:tc>
        <w:tc>
          <w:tcPr>
            <w:tcW w:w="854" w:type="pct"/>
            <w:noWrap/>
            <w:hideMark/>
          </w:tcPr>
          <w:p w14:paraId="38A4699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4855 (26.0%)</w:t>
            </w:r>
          </w:p>
        </w:tc>
        <w:tc>
          <w:tcPr>
            <w:tcW w:w="855" w:type="pct"/>
            <w:noWrap/>
            <w:hideMark/>
          </w:tcPr>
          <w:p w14:paraId="38A4699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4639 (24.8%)</w:t>
            </w:r>
          </w:p>
        </w:tc>
      </w:tr>
      <w:tr w:rsidR="00CA7A60" w:rsidRPr="00FB60E5" w14:paraId="38A469A4"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A0" w14:textId="77777777" w:rsidR="00CA7A60" w:rsidRPr="009D5847" w:rsidRDefault="00CA7A60" w:rsidP="00FB60E5">
            <w:pPr>
              <w:ind w:left="0"/>
              <w:rPr>
                <w:b w:val="0"/>
              </w:rPr>
            </w:pPr>
            <w:r w:rsidRPr="009D5847">
              <w:rPr>
                <w:b w:val="0"/>
              </w:rPr>
              <w:t>Not completed (n=6262; 24.8%)</w:t>
            </w:r>
          </w:p>
        </w:tc>
        <w:tc>
          <w:tcPr>
            <w:tcW w:w="854" w:type="pct"/>
            <w:noWrap/>
            <w:hideMark/>
          </w:tcPr>
          <w:p w14:paraId="38A469A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1805 (28.8%)</w:t>
            </w:r>
          </w:p>
        </w:tc>
        <w:tc>
          <w:tcPr>
            <w:tcW w:w="854" w:type="pct"/>
            <w:noWrap/>
            <w:hideMark/>
          </w:tcPr>
          <w:p w14:paraId="38A469A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1817 (29.0%)</w:t>
            </w:r>
          </w:p>
        </w:tc>
        <w:tc>
          <w:tcPr>
            <w:tcW w:w="855" w:type="pct"/>
            <w:noWrap/>
            <w:hideMark/>
          </w:tcPr>
          <w:p w14:paraId="38A469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1652 (26.4%)</w:t>
            </w:r>
          </w:p>
        </w:tc>
      </w:tr>
      <w:tr w:rsidR="00CA7A60" w:rsidRPr="00FB60E5" w14:paraId="38A469A9"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37" w:type="pct"/>
            <w:noWrap/>
            <w:hideMark/>
          </w:tcPr>
          <w:p w14:paraId="38A469A5" w14:textId="77777777" w:rsidR="00CA7A60" w:rsidRPr="009D5847" w:rsidRDefault="00CA7A60" w:rsidP="00FB60E5">
            <w:pPr>
              <w:ind w:left="0"/>
              <w:rPr>
                <w:b w:val="0"/>
              </w:rPr>
            </w:pPr>
            <w:r w:rsidRPr="009D5847">
              <w:rPr>
                <w:b w:val="0"/>
              </w:rPr>
              <w:t>Unknown (n=277; 1.1%)</w:t>
            </w:r>
          </w:p>
        </w:tc>
        <w:tc>
          <w:tcPr>
            <w:tcW w:w="854" w:type="pct"/>
            <w:noWrap/>
            <w:hideMark/>
          </w:tcPr>
          <w:p w14:paraId="38A469A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85 (30.7%)</w:t>
            </w:r>
          </w:p>
        </w:tc>
        <w:tc>
          <w:tcPr>
            <w:tcW w:w="854" w:type="pct"/>
            <w:noWrap/>
            <w:hideMark/>
          </w:tcPr>
          <w:p w14:paraId="38A469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70 (25.3%)</w:t>
            </w:r>
          </w:p>
        </w:tc>
        <w:tc>
          <w:tcPr>
            <w:tcW w:w="855" w:type="pct"/>
            <w:noWrap/>
            <w:hideMark/>
          </w:tcPr>
          <w:p w14:paraId="38A469A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 (23.5%)</w:t>
            </w:r>
          </w:p>
        </w:tc>
      </w:tr>
    </w:tbl>
    <w:p w14:paraId="38A469AB" w14:textId="263E082D" w:rsidR="00CA7A60" w:rsidRPr="00FB60E5" w:rsidRDefault="00BE3D19" w:rsidP="00FB60E5">
      <w:pPr>
        <w:ind w:left="0"/>
      </w:pPr>
      <w:r w:rsidRPr="00FB60E5">
        <w:fldChar w:fldCharType="begin"/>
      </w:r>
      <w:r w:rsidR="00CA7A60" w:rsidRPr="00FB60E5">
        <w:instrText xml:space="preserve"> REF _Ref386523788 \h </w:instrText>
      </w:r>
      <w:r w:rsidR="00FB60E5" w:rsidRPr="00FB60E5">
        <w:instrText xml:space="preserve"> \* MERGEFORMAT </w:instrText>
      </w:r>
      <w:r w:rsidRPr="00FB60E5">
        <w:fldChar w:fldCharType="separate"/>
      </w:r>
      <w:r w:rsidR="00E150CA" w:rsidRPr="00FB60E5">
        <w:t>Table 4.6</w:t>
      </w:r>
      <w:r w:rsidRPr="00FB60E5">
        <w:fldChar w:fldCharType="end"/>
      </w:r>
      <w:r w:rsidR="00CA7A60" w:rsidRPr="00FB60E5">
        <w:t xml:space="preserve"> shows that alcohol was most commonly the primary drug of concern (47%), followed by cannabis (22%) and heroin &amp; other opioids (15%). The majority of clients did not attend an ED across the three years presented. Between 20% and 25% of all primary drug of concern groupings had multiple ED presentations, with multiple ED presentations least common among clients with </w:t>
      </w:r>
      <w:r w:rsidR="00B473EE" w:rsidRPr="00FB60E5">
        <w:t>amphetamines</w:t>
      </w:r>
      <w:r w:rsidR="00CA7A60" w:rsidRPr="00FB60E5">
        <w:t xml:space="preserve"> and other stimulants as the primary drug of concern.</w:t>
      </w:r>
    </w:p>
    <w:p w14:paraId="3FBA0568" w14:textId="184542EA" w:rsidR="002C27A8" w:rsidRDefault="00CA7A60" w:rsidP="00FB60E5">
      <w:pPr>
        <w:ind w:left="0"/>
      </w:pPr>
      <w:r w:rsidRPr="00FB60E5">
        <w:t>The most common method of drug use was ingestion (49%), followed by</w:t>
      </w:r>
      <w:r w:rsidR="003F3393" w:rsidRPr="00FB60E5">
        <w:t xml:space="preserve"> smoking (20%). Injection</w:t>
      </w:r>
      <w:r w:rsidRPr="00FB60E5">
        <w:t xml:space="preserve"> as route of administration had a slightly higher prevalence of multiple ED presentations compared with smoking and inhaling. Those reporting no injecting drug use history accounted for over half of AOD clients. Any injecting drug use history had more ED activity, with the exception of ED presentations in 2011/12 only. Although differences were relatively small, over half (53.8%) of those who had never injected did not present to ED in the three years, and those who had not injected in the past 12 months (5</w:t>
      </w:r>
      <w:r w:rsidR="00727B57" w:rsidRPr="00FB60E5">
        <w:t>1</w:t>
      </w:r>
      <w:r w:rsidRPr="00FB60E5">
        <w:t>%) did not present to ED in any year. However, over a quarter of those who reported injecting in the previous year (26</w:t>
      </w:r>
      <w:r w:rsidR="003F3393" w:rsidRPr="00FB60E5">
        <w:t>%</w:t>
      </w:r>
      <w:r w:rsidRPr="00FB60E5">
        <w:t>)</w:t>
      </w:r>
      <w:r w:rsidR="00574C59" w:rsidRPr="00FB60E5">
        <w:t xml:space="preserve"> had multiple ED presentations </w:t>
      </w:r>
      <w:r w:rsidRPr="00FB60E5">
        <w:t>(</w:t>
      </w:r>
      <w:r w:rsidR="001B3CBD">
        <w:fldChar w:fldCharType="begin"/>
      </w:r>
      <w:r w:rsidR="001B3CBD">
        <w:instrText xml:space="preserve"> REF _Ref386523788 \h </w:instrText>
      </w:r>
      <w:r w:rsidR="001B3CBD">
        <w:fldChar w:fldCharType="separate"/>
      </w:r>
      <w:r w:rsidR="001B3CBD" w:rsidRPr="00FB60E5">
        <w:t xml:space="preserve">Table </w:t>
      </w:r>
      <w:r w:rsidR="001B3CBD">
        <w:rPr>
          <w:noProof/>
        </w:rPr>
        <w:t>4</w:t>
      </w:r>
      <w:r w:rsidR="001B3CBD">
        <w:t>.</w:t>
      </w:r>
      <w:r w:rsidR="001B3CBD">
        <w:rPr>
          <w:noProof/>
        </w:rPr>
        <w:t>6</w:t>
      </w:r>
      <w:r w:rsidR="001B3CBD">
        <w:fldChar w:fldCharType="end"/>
      </w:r>
      <w:r w:rsidRPr="00FB60E5">
        <w:t>)</w:t>
      </w:r>
      <w:r w:rsidR="002C27A8">
        <w:t>.</w:t>
      </w:r>
    </w:p>
    <w:p w14:paraId="38A469AD" w14:textId="1B0B22E5" w:rsidR="00CA7A60" w:rsidRPr="00FB60E5" w:rsidRDefault="00CA7A60" w:rsidP="00FB60E5">
      <w:pPr>
        <w:ind w:left="0"/>
      </w:pPr>
      <w:proofErr w:type="spellStart"/>
      <w:r w:rsidRPr="00FB60E5">
        <w:t>Polydrug</w:t>
      </w:r>
      <w:proofErr w:type="spellEnd"/>
      <w:r w:rsidRPr="00FB60E5">
        <w:t xml:space="preserve"> use was common, being recorded for 43% of AOD clients. There was little difference across ED presentations compared with those reporting no </w:t>
      </w:r>
      <w:proofErr w:type="spellStart"/>
      <w:r w:rsidRPr="00FB60E5">
        <w:t>polydrug</w:t>
      </w:r>
      <w:proofErr w:type="spellEnd"/>
      <w:r w:rsidRPr="00FB60E5">
        <w:t xml:space="preserve"> use. Those </w:t>
      </w:r>
      <w:r w:rsidRPr="00FB60E5">
        <w:lastRenderedPageBreak/>
        <w:t xml:space="preserve">with </w:t>
      </w:r>
      <w:proofErr w:type="spellStart"/>
      <w:r w:rsidRPr="00FB60E5">
        <w:t>polydrug</w:t>
      </w:r>
      <w:proofErr w:type="spellEnd"/>
      <w:r w:rsidRPr="00FB60E5">
        <w:t xml:space="preserve"> use had a slightly lower proportion of ED presentations prior to treatment and higher proportion for multiple ED </w:t>
      </w:r>
      <w:proofErr w:type="gramStart"/>
      <w:r w:rsidRPr="00FB60E5">
        <w:t>presentations,</w:t>
      </w:r>
      <w:proofErr w:type="gramEnd"/>
      <w:r w:rsidRPr="00FB60E5">
        <w:t xml:space="preserve"> however the relationship was not statistically significant (</w:t>
      </w:r>
      <w:r w:rsidR="001B3CBD">
        <w:fldChar w:fldCharType="begin"/>
      </w:r>
      <w:r w:rsidR="001B3CBD">
        <w:instrText xml:space="preserve"> REF _Ref386523788 \h </w:instrText>
      </w:r>
      <w:r w:rsidR="001B3CBD">
        <w:fldChar w:fldCharType="separate"/>
      </w:r>
      <w:r w:rsidR="001B3CBD" w:rsidRPr="00FB60E5">
        <w:t xml:space="preserve">Table </w:t>
      </w:r>
      <w:r w:rsidR="001B3CBD">
        <w:rPr>
          <w:noProof/>
        </w:rPr>
        <w:t>4</w:t>
      </w:r>
      <w:r w:rsidR="001B3CBD">
        <w:t>.</w:t>
      </w:r>
      <w:r w:rsidR="001B3CBD">
        <w:rPr>
          <w:noProof/>
        </w:rPr>
        <w:t>6</w:t>
      </w:r>
      <w:r w:rsidR="001B3CBD">
        <w:fldChar w:fldCharType="end"/>
      </w:r>
      <w:r w:rsidRPr="00FB60E5">
        <w:t>).</w:t>
      </w:r>
    </w:p>
    <w:p w14:paraId="4DC082DF" w14:textId="63294FAB" w:rsidR="002C27A8" w:rsidRDefault="001B3CBD" w:rsidP="00FB60E5">
      <w:pPr>
        <w:ind w:left="0"/>
      </w:pPr>
      <w:r>
        <w:fldChar w:fldCharType="begin"/>
      </w:r>
      <w:r>
        <w:instrText xml:space="preserve"> REF _Ref386798660 \h </w:instrText>
      </w:r>
      <w:r>
        <w:fldChar w:fldCharType="separate"/>
      </w:r>
      <w:r w:rsidRPr="00FB60E5">
        <w:t xml:space="preserve">Table </w:t>
      </w:r>
      <w:r>
        <w:rPr>
          <w:noProof/>
        </w:rPr>
        <w:t>4</w:t>
      </w:r>
      <w:r>
        <w:t>.</w:t>
      </w:r>
      <w:r>
        <w:rPr>
          <w:noProof/>
        </w:rPr>
        <w:t>7</w:t>
      </w:r>
      <w:r>
        <w:fldChar w:fldCharType="end"/>
      </w:r>
      <w:r w:rsidR="00CA7A60" w:rsidRPr="00FB60E5">
        <w:t xml:space="preserve"> shows these same drug characteristics for AOD clients by ED presentation across the three years – the year prior to treatment, year of treatment, and the year post-treatment. In general, the proportions of pre-AOD treatment ED presentations (2009/10) were higher than the proportions of post-AOD treatment ED presentations (2011/12) with the exception of clients with </w:t>
      </w:r>
      <w:r w:rsidR="00B473EE" w:rsidRPr="00FB60E5">
        <w:t>amphetamines</w:t>
      </w:r>
      <w:r w:rsidR="00CA7A60" w:rsidRPr="00FB60E5">
        <w:t xml:space="preserve"> and other stimulants as the primary drug of concern (no change), and inhalation as a method of use (no change)</w:t>
      </w:r>
      <w:r w:rsidR="002C27A8">
        <w:t>.</w:t>
      </w:r>
    </w:p>
    <w:p w14:paraId="38A469AF" w14:textId="0A3C7E28" w:rsidR="00CA7A60" w:rsidRPr="00FB60E5" w:rsidRDefault="00CA7A60" w:rsidP="00FB60E5">
      <w:pPr>
        <w:ind w:left="0"/>
      </w:pPr>
    </w:p>
    <w:p w14:paraId="38A469B0" w14:textId="77777777" w:rsidR="00CA7A60" w:rsidRPr="00FB60E5" w:rsidRDefault="00CA7A60" w:rsidP="00FB60E5">
      <w:pPr>
        <w:ind w:left="0"/>
        <w:sectPr w:rsidR="00CA7A60" w:rsidRPr="00FB60E5" w:rsidSect="00CA7A60">
          <w:pgSz w:w="11906" w:h="16838"/>
          <w:pgMar w:top="1440" w:right="1440" w:bottom="1440" w:left="1440" w:header="708" w:footer="595" w:gutter="0"/>
          <w:cols w:space="708"/>
          <w:docGrid w:linePitch="360"/>
        </w:sectPr>
      </w:pPr>
    </w:p>
    <w:p w14:paraId="38A469B1" w14:textId="652E0B73" w:rsidR="00CA7A60" w:rsidRPr="00FB60E5" w:rsidRDefault="00CA7A60" w:rsidP="00552239">
      <w:pPr>
        <w:pStyle w:val="Caption"/>
      </w:pPr>
      <w:bookmarkStart w:id="241" w:name="_Ref386523788"/>
      <w:bookmarkStart w:id="242" w:name="_Toc387244630"/>
      <w:bookmarkStart w:id="243" w:name="_Toc531625803"/>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6</w:t>
      </w:r>
      <w:r w:rsidR="00552239">
        <w:fldChar w:fldCharType="end"/>
      </w:r>
      <w:bookmarkEnd w:id="241"/>
      <w:r w:rsidR="002C27A8">
        <w:t xml:space="preserve"> </w:t>
      </w:r>
      <w:r w:rsidRPr="00FB60E5">
        <w:t>Drug</w:t>
      </w:r>
      <w:r w:rsidR="00727B57" w:rsidRPr="00FB60E5">
        <w:t xml:space="preserve"> use</w:t>
      </w:r>
      <w:r w:rsidRPr="00FB60E5">
        <w:t xml:space="preserve"> characteristics by ED presentations, 2009/10 to 2011/12</w:t>
      </w:r>
      <w:bookmarkEnd w:id="242"/>
      <w:bookmarkEnd w:id="243"/>
    </w:p>
    <w:tbl>
      <w:tblPr>
        <w:tblStyle w:val="LightList-Accent1"/>
        <w:tblW w:w="5000" w:type="pct"/>
        <w:tblLook w:val="04A0" w:firstRow="1" w:lastRow="0" w:firstColumn="1" w:lastColumn="0" w:noHBand="0" w:noVBand="1"/>
        <w:tblDescription w:val="Table 4.6 is a list of Drug use characteristics by ED presentations, 2009/10 to 2011/12"/>
      </w:tblPr>
      <w:tblGrid>
        <w:gridCol w:w="5486"/>
        <w:gridCol w:w="1622"/>
        <w:gridCol w:w="1449"/>
        <w:gridCol w:w="1451"/>
        <w:gridCol w:w="1451"/>
        <w:gridCol w:w="1831"/>
        <w:gridCol w:w="884"/>
      </w:tblGrid>
      <w:tr w:rsidR="00CA7A60" w:rsidRPr="00FB60E5" w14:paraId="38A469B4" w14:textId="77777777" w:rsidTr="003404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35" w:type="pct"/>
            <w:vMerge w:val="restart"/>
            <w:hideMark/>
          </w:tcPr>
          <w:p w14:paraId="38A469B2" w14:textId="77777777" w:rsidR="00CA7A60" w:rsidRPr="00FB60E5" w:rsidRDefault="00CA7A60" w:rsidP="00FB60E5">
            <w:pPr>
              <w:ind w:left="0"/>
            </w:pPr>
            <w:r w:rsidRPr="00FB60E5">
              <w:t> </w:t>
            </w:r>
          </w:p>
        </w:tc>
        <w:tc>
          <w:tcPr>
            <w:tcW w:w="3065" w:type="pct"/>
            <w:gridSpan w:val="6"/>
            <w:noWrap/>
            <w:hideMark/>
          </w:tcPr>
          <w:p w14:paraId="38A469B3" w14:textId="1E0A0869"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Number of</w:t>
            </w:r>
            <w:r w:rsidR="002C27A8">
              <w:t xml:space="preserve"> </w:t>
            </w:r>
            <w:r w:rsidRPr="00FB60E5">
              <w:t xml:space="preserve">AOD clients </w:t>
            </w:r>
          </w:p>
        </w:tc>
      </w:tr>
      <w:tr w:rsidR="00CA7A60" w:rsidRPr="00FB60E5" w14:paraId="38A469BC" w14:textId="77777777" w:rsidTr="0034042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35" w:type="pct"/>
            <w:vMerge/>
            <w:hideMark/>
          </w:tcPr>
          <w:p w14:paraId="38A469B5" w14:textId="77777777" w:rsidR="00CA7A60" w:rsidRPr="00FB60E5" w:rsidRDefault="00CA7A60" w:rsidP="00FB60E5">
            <w:pPr>
              <w:ind w:left="0"/>
            </w:pPr>
          </w:p>
        </w:tc>
        <w:tc>
          <w:tcPr>
            <w:tcW w:w="572" w:type="pct"/>
            <w:hideMark/>
          </w:tcPr>
          <w:p w14:paraId="38A469B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No ED (%)</w:t>
            </w:r>
          </w:p>
        </w:tc>
        <w:tc>
          <w:tcPr>
            <w:tcW w:w="511" w:type="pct"/>
            <w:hideMark/>
          </w:tcPr>
          <w:p w14:paraId="38A469B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only (%)</w:t>
            </w:r>
          </w:p>
        </w:tc>
        <w:tc>
          <w:tcPr>
            <w:tcW w:w="512" w:type="pct"/>
            <w:hideMark/>
          </w:tcPr>
          <w:p w14:paraId="38A469B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only (%)</w:t>
            </w:r>
          </w:p>
        </w:tc>
        <w:tc>
          <w:tcPr>
            <w:tcW w:w="512" w:type="pct"/>
            <w:hideMark/>
          </w:tcPr>
          <w:p w14:paraId="38A469B9"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only (%)</w:t>
            </w:r>
          </w:p>
        </w:tc>
        <w:tc>
          <w:tcPr>
            <w:tcW w:w="646" w:type="pct"/>
            <w:hideMark/>
          </w:tcPr>
          <w:p w14:paraId="38A469BA"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in multiple years (%)</w:t>
            </w:r>
          </w:p>
        </w:tc>
        <w:tc>
          <w:tcPr>
            <w:tcW w:w="312" w:type="pct"/>
            <w:hideMark/>
          </w:tcPr>
          <w:p w14:paraId="38A469BB"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p</w:t>
            </w:r>
          </w:p>
        </w:tc>
      </w:tr>
      <w:tr w:rsidR="00CA7A60" w:rsidRPr="00FB60E5" w14:paraId="38A469C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BD" w14:textId="77777777" w:rsidR="00CA7A60" w:rsidRPr="009D5847" w:rsidRDefault="00CA7A60" w:rsidP="00FB60E5">
            <w:pPr>
              <w:ind w:left="0"/>
              <w:rPr>
                <w:b w:val="0"/>
              </w:rPr>
            </w:pPr>
            <w:r w:rsidRPr="009D5847">
              <w:rPr>
                <w:b w:val="0"/>
              </w:rPr>
              <w:t>Total (n=25229)</w:t>
            </w:r>
          </w:p>
        </w:tc>
        <w:tc>
          <w:tcPr>
            <w:tcW w:w="572" w:type="pct"/>
            <w:noWrap/>
            <w:hideMark/>
          </w:tcPr>
          <w:p w14:paraId="38A469B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13228 (52.4%)</w:t>
            </w:r>
          </w:p>
        </w:tc>
        <w:tc>
          <w:tcPr>
            <w:tcW w:w="511" w:type="pct"/>
            <w:noWrap/>
            <w:hideMark/>
          </w:tcPr>
          <w:p w14:paraId="38A469B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2348 (9.3%)</w:t>
            </w:r>
          </w:p>
        </w:tc>
        <w:tc>
          <w:tcPr>
            <w:tcW w:w="512" w:type="pct"/>
            <w:noWrap/>
            <w:hideMark/>
          </w:tcPr>
          <w:p w14:paraId="38A469C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1958 (7.8%)</w:t>
            </w:r>
          </w:p>
        </w:tc>
        <w:tc>
          <w:tcPr>
            <w:tcW w:w="512" w:type="pct"/>
            <w:noWrap/>
            <w:hideMark/>
          </w:tcPr>
          <w:p w14:paraId="38A469C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1867 (7.4%)</w:t>
            </w:r>
          </w:p>
        </w:tc>
        <w:tc>
          <w:tcPr>
            <w:tcW w:w="646" w:type="pct"/>
            <w:noWrap/>
            <w:hideMark/>
          </w:tcPr>
          <w:p w14:paraId="38A469C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5828 (23.1%)</w:t>
            </w:r>
          </w:p>
        </w:tc>
        <w:tc>
          <w:tcPr>
            <w:tcW w:w="312" w:type="pct"/>
            <w:noWrap/>
            <w:hideMark/>
          </w:tcPr>
          <w:p w14:paraId="38A469C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 </w:t>
            </w:r>
          </w:p>
        </w:tc>
      </w:tr>
      <w:tr w:rsidR="00340424" w:rsidRPr="00FB60E5" w14:paraId="38A469C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9CB" w14:textId="068BD536" w:rsidR="00340424" w:rsidRPr="00FB60E5" w:rsidRDefault="00340424" w:rsidP="00FB60E5">
            <w:pPr>
              <w:ind w:left="0"/>
            </w:pPr>
            <w:r w:rsidRPr="00FB60E5">
              <w:t>Primary drug of concern</w:t>
            </w:r>
          </w:p>
        </w:tc>
      </w:tr>
      <w:tr w:rsidR="00CA7A60" w:rsidRPr="00FB60E5" w14:paraId="38A469D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CD" w14:textId="77777777" w:rsidR="00CA7A60" w:rsidRPr="009D5847" w:rsidRDefault="00CA7A60" w:rsidP="00FB60E5">
            <w:pPr>
              <w:ind w:left="0"/>
              <w:rPr>
                <w:b w:val="0"/>
              </w:rPr>
            </w:pPr>
            <w:r w:rsidRPr="009D5847">
              <w:rPr>
                <w:b w:val="0"/>
              </w:rPr>
              <w:t>Alcohol (n=11912; 47.2%)</w:t>
            </w:r>
          </w:p>
        </w:tc>
        <w:tc>
          <w:tcPr>
            <w:tcW w:w="572" w:type="pct"/>
            <w:noWrap/>
            <w:hideMark/>
          </w:tcPr>
          <w:p w14:paraId="38A469C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6269 (52.6%)</w:t>
            </w:r>
          </w:p>
        </w:tc>
        <w:tc>
          <w:tcPr>
            <w:tcW w:w="511" w:type="pct"/>
            <w:noWrap/>
            <w:hideMark/>
          </w:tcPr>
          <w:p w14:paraId="38A469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1068 (9.0%)</w:t>
            </w:r>
          </w:p>
        </w:tc>
        <w:tc>
          <w:tcPr>
            <w:tcW w:w="512" w:type="pct"/>
            <w:noWrap/>
            <w:hideMark/>
          </w:tcPr>
          <w:p w14:paraId="38A469D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887 (7.4%)</w:t>
            </w:r>
          </w:p>
        </w:tc>
        <w:tc>
          <w:tcPr>
            <w:tcW w:w="512" w:type="pct"/>
            <w:noWrap/>
            <w:hideMark/>
          </w:tcPr>
          <w:p w14:paraId="38A469D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866 (7.3%)</w:t>
            </w:r>
          </w:p>
        </w:tc>
        <w:tc>
          <w:tcPr>
            <w:tcW w:w="646" w:type="pct"/>
            <w:noWrap/>
            <w:hideMark/>
          </w:tcPr>
          <w:p w14:paraId="38A469D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2822 (23.7%)</w:t>
            </w:r>
          </w:p>
        </w:tc>
        <w:tc>
          <w:tcPr>
            <w:tcW w:w="312" w:type="pct"/>
            <w:noWrap/>
            <w:hideMark/>
          </w:tcPr>
          <w:p w14:paraId="38A469D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9D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D5" w14:textId="77777777" w:rsidR="00CA7A60" w:rsidRPr="009D5847" w:rsidRDefault="00CA7A60" w:rsidP="00FB60E5">
            <w:pPr>
              <w:ind w:left="0"/>
              <w:rPr>
                <w:b w:val="0"/>
              </w:rPr>
            </w:pPr>
            <w:r w:rsidRPr="009D5847">
              <w:rPr>
                <w:b w:val="0"/>
              </w:rPr>
              <w:t>Cannabis (n=5663; 22.4%)</w:t>
            </w:r>
          </w:p>
        </w:tc>
        <w:tc>
          <w:tcPr>
            <w:tcW w:w="572" w:type="pct"/>
            <w:noWrap/>
            <w:hideMark/>
          </w:tcPr>
          <w:p w14:paraId="38A469D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2998 (52.9%)</w:t>
            </w:r>
          </w:p>
        </w:tc>
        <w:tc>
          <w:tcPr>
            <w:tcW w:w="511" w:type="pct"/>
            <w:noWrap/>
            <w:hideMark/>
          </w:tcPr>
          <w:p w14:paraId="38A469D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542 (9.6%)</w:t>
            </w:r>
          </w:p>
        </w:tc>
        <w:tc>
          <w:tcPr>
            <w:tcW w:w="512" w:type="pct"/>
            <w:noWrap/>
            <w:hideMark/>
          </w:tcPr>
          <w:p w14:paraId="38A469D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418 (7.4%)</w:t>
            </w:r>
          </w:p>
        </w:tc>
        <w:tc>
          <w:tcPr>
            <w:tcW w:w="512" w:type="pct"/>
            <w:noWrap/>
            <w:hideMark/>
          </w:tcPr>
          <w:p w14:paraId="38A469D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417 (7.4%)</w:t>
            </w:r>
          </w:p>
        </w:tc>
        <w:tc>
          <w:tcPr>
            <w:tcW w:w="646" w:type="pct"/>
            <w:noWrap/>
            <w:hideMark/>
          </w:tcPr>
          <w:p w14:paraId="38A469D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1288 (22.7%)</w:t>
            </w:r>
          </w:p>
        </w:tc>
        <w:tc>
          <w:tcPr>
            <w:tcW w:w="312" w:type="pct"/>
            <w:noWrap/>
            <w:hideMark/>
          </w:tcPr>
          <w:p w14:paraId="38A469D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9E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DD" w14:textId="77777777" w:rsidR="00CA7A60" w:rsidRPr="009D5847" w:rsidRDefault="00CA7A60" w:rsidP="00FB60E5">
            <w:pPr>
              <w:ind w:left="0"/>
              <w:rPr>
                <w:b w:val="0"/>
              </w:rPr>
            </w:pPr>
            <w:r w:rsidRPr="009D5847">
              <w:rPr>
                <w:b w:val="0"/>
              </w:rPr>
              <w:t>Heroin &amp; other opioids (n=3863; 15.3%)</w:t>
            </w:r>
          </w:p>
        </w:tc>
        <w:tc>
          <w:tcPr>
            <w:tcW w:w="572" w:type="pct"/>
            <w:noWrap/>
            <w:hideMark/>
          </w:tcPr>
          <w:p w14:paraId="38A469D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1924 (49.8%)</w:t>
            </w:r>
          </w:p>
        </w:tc>
        <w:tc>
          <w:tcPr>
            <w:tcW w:w="511" w:type="pct"/>
            <w:noWrap/>
            <w:hideMark/>
          </w:tcPr>
          <w:p w14:paraId="38A469D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390 (10.1%)</w:t>
            </w:r>
          </w:p>
        </w:tc>
        <w:tc>
          <w:tcPr>
            <w:tcW w:w="512" w:type="pct"/>
            <w:noWrap/>
            <w:hideMark/>
          </w:tcPr>
          <w:p w14:paraId="38A469E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329 (8.5%)</w:t>
            </w:r>
          </w:p>
        </w:tc>
        <w:tc>
          <w:tcPr>
            <w:tcW w:w="512" w:type="pct"/>
            <w:noWrap/>
            <w:hideMark/>
          </w:tcPr>
          <w:p w14:paraId="38A469E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295 (7.6%)</w:t>
            </w:r>
          </w:p>
        </w:tc>
        <w:tc>
          <w:tcPr>
            <w:tcW w:w="646" w:type="pct"/>
            <w:noWrap/>
            <w:hideMark/>
          </w:tcPr>
          <w:p w14:paraId="38A469E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925 (23.9%)</w:t>
            </w:r>
          </w:p>
        </w:tc>
        <w:tc>
          <w:tcPr>
            <w:tcW w:w="312" w:type="pct"/>
            <w:noWrap/>
            <w:hideMark/>
          </w:tcPr>
          <w:p w14:paraId="38A469E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9E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E5" w14:textId="77777777" w:rsidR="00CA7A60" w:rsidRPr="009D5847" w:rsidRDefault="00CA7A60" w:rsidP="00FB60E5">
            <w:pPr>
              <w:ind w:left="0"/>
              <w:rPr>
                <w:b w:val="0"/>
              </w:rPr>
            </w:pPr>
            <w:r w:rsidRPr="009D5847">
              <w:rPr>
                <w:b w:val="0"/>
              </w:rPr>
              <w:t>Amphetamine &amp; other stimulants (n=2198; 8.7%)</w:t>
            </w:r>
          </w:p>
        </w:tc>
        <w:tc>
          <w:tcPr>
            <w:tcW w:w="572" w:type="pct"/>
            <w:noWrap/>
            <w:hideMark/>
          </w:tcPr>
          <w:p w14:paraId="38A469E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1154 (52.5%)</w:t>
            </w:r>
          </w:p>
        </w:tc>
        <w:tc>
          <w:tcPr>
            <w:tcW w:w="511" w:type="pct"/>
            <w:noWrap/>
            <w:hideMark/>
          </w:tcPr>
          <w:p w14:paraId="38A469E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223 (10.1%)</w:t>
            </w:r>
          </w:p>
        </w:tc>
        <w:tc>
          <w:tcPr>
            <w:tcW w:w="512" w:type="pct"/>
            <w:noWrap/>
            <w:hideMark/>
          </w:tcPr>
          <w:p w14:paraId="38A469E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196 (8.9%)</w:t>
            </w:r>
          </w:p>
        </w:tc>
        <w:tc>
          <w:tcPr>
            <w:tcW w:w="512" w:type="pct"/>
            <w:noWrap/>
            <w:hideMark/>
          </w:tcPr>
          <w:p w14:paraId="38A469E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190 (8.6%)</w:t>
            </w:r>
          </w:p>
        </w:tc>
        <w:tc>
          <w:tcPr>
            <w:tcW w:w="646" w:type="pct"/>
            <w:noWrap/>
            <w:hideMark/>
          </w:tcPr>
          <w:p w14:paraId="38A469E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435 (19.8%)</w:t>
            </w:r>
          </w:p>
        </w:tc>
        <w:tc>
          <w:tcPr>
            <w:tcW w:w="312" w:type="pct"/>
            <w:noWrap/>
            <w:hideMark/>
          </w:tcPr>
          <w:p w14:paraId="38A469E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9F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ED" w14:textId="77777777" w:rsidR="00CA7A60" w:rsidRPr="009D5847" w:rsidRDefault="00CA7A60" w:rsidP="00FB60E5">
            <w:pPr>
              <w:ind w:left="0"/>
              <w:rPr>
                <w:b w:val="0"/>
              </w:rPr>
            </w:pPr>
            <w:r w:rsidRPr="009D5847">
              <w:rPr>
                <w:b w:val="0"/>
              </w:rPr>
              <w:t>Benzodiazepines &amp; other tranquillisers (n=522; 2.1%)</w:t>
            </w:r>
          </w:p>
        </w:tc>
        <w:tc>
          <w:tcPr>
            <w:tcW w:w="572" w:type="pct"/>
            <w:noWrap/>
            <w:hideMark/>
          </w:tcPr>
          <w:p w14:paraId="38A469E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291 (55.7%)</w:t>
            </w:r>
          </w:p>
        </w:tc>
        <w:tc>
          <w:tcPr>
            <w:tcW w:w="511" w:type="pct"/>
            <w:noWrap/>
            <w:hideMark/>
          </w:tcPr>
          <w:p w14:paraId="38A469E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 (7.1%)</w:t>
            </w:r>
          </w:p>
        </w:tc>
        <w:tc>
          <w:tcPr>
            <w:tcW w:w="512" w:type="pct"/>
            <w:noWrap/>
            <w:hideMark/>
          </w:tcPr>
          <w:p w14:paraId="38A469F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 (8.2%)</w:t>
            </w:r>
          </w:p>
        </w:tc>
        <w:tc>
          <w:tcPr>
            <w:tcW w:w="512" w:type="pct"/>
            <w:noWrap/>
            <w:hideMark/>
          </w:tcPr>
          <w:p w14:paraId="38A469F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 (5.7%)</w:t>
            </w:r>
          </w:p>
        </w:tc>
        <w:tc>
          <w:tcPr>
            <w:tcW w:w="646" w:type="pct"/>
            <w:noWrap/>
            <w:hideMark/>
          </w:tcPr>
          <w:p w14:paraId="38A469F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121 (23.2%)</w:t>
            </w:r>
          </w:p>
        </w:tc>
        <w:tc>
          <w:tcPr>
            <w:tcW w:w="312" w:type="pct"/>
            <w:noWrap/>
            <w:hideMark/>
          </w:tcPr>
          <w:p w14:paraId="38A469F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9F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F5" w14:textId="77777777" w:rsidR="00CA7A60" w:rsidRPr="009D5847" w:rsidRDefault="00CA7A60" w:rsidP="00FB60E5">
            <w:pPr>
              <w:ind w:left="0"/>
              <w:rPr>
                <w:b w:val="0"/>
              </w:rPr>
            </w:pPr>
            <w:r w:rsidRPr="009D5847">
              <w:rPr>
                <w:b w:val="0"/>
              </w:rPr>
              <w:t>Other (n=730; 2.9%)</w:t>
            </w:r>
          </w:p>
        </w:tc>
        <w:tc>
          <w:tcPr>
            <w:tcW w:w="572" w:type="pct"/>
            <w:noWrap/>
            <w:hideMark/>
          </w:tcPr>
          <w:p w14:paraId="38A469F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403 (55.2%)</w:t>
            </w:r>
          </w:p>
        </w:tc>
        <w:tc>
          <w:tcPr>
            <w:tcW w:w="511" w:type="pct"/>
            <w:noWrap/>
            <w:hideMark/>
          </w:tcPr>
          <w:p w14:paraId="38A469F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59 (8.1%)</w:t>
            </w:r>
          </w:p>
        </w:tc>
        <w:tc>
          <w:tcPr>
            <w:tcW w:w="512" w:type="pct"/>
            <w:noWrap/>
            <w:hideMark/>
          </w:tcPr>
          <w:p w14:paraId="38A469F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55 (7.5%)</w:t>
            </w:r>
          </w:p>
        </w:tc>
        <w:tc>
          <w:tcPr>
            <w:tcW w:w="512" w:type="pct"/>
            <w:noWrap/>
            <w:hideMark/>
          </w:tcPr>
          <w:p w14:paraId="38A469F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 (6.6%)</w:t>
            </w:r>
          </w:p>
        </w:tc>
        <w:tc>
          <w:tcPr>
            <w:tcW w:w="646" w:type="pct"/>
            <w:noWrap/>
            <w:hideMark/>
          </w:tcPr>
          <w:p w14:paraId="38A469F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165 (22.6%)</w:t>
            </w:r>
          </w:p>
        </w:tc>
        <w:tc>
          <w:tcPr>
            <w:tcW w:w="312" w:type="pct"/>
            <w:noWrap/>
            <w:hideMark/>
          </w:tcPr>
          <w:p w14:paraId="38A469F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A0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9FD" w14:textId="77777777" w:rsidR="00CA7A60" w:rsidRPr="009D5847" w:rsidRDefault="00CA7A60" w:rsidP="00FB60E5">
            <w:pPr>
              <w:ind w:left="0"/>
              <w:rPr>
                <w:b w:val="0"/>
              </w:rPr>
            </w:pPr>
            <w:r w:rsidRPr="009D5847">
              <w:rPr>
                <w:b w:val="0"/>
              </w:rPr>
              <w:t>Unknown (n=341; 1.4%)</w:t>
            </w:r>
          </w:p>
        </w:tc>
        <w:tc>
          <w:tcPr>
            <w:tcW w:w="572" w:type="pct"/>
            <w:noWrap/>
            <w:hideMark/>
          </w:tcPr>
          <w:p w14:paraId="38A469F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189 (55.4%)</w:t>
            </w:r>
          </w:p>
        </w:tc>
        <w:tc>
          <w:tcPr>
            <w:tcW w:w="511" w:type="pct"/>
            <w:noWrap/>
            <w:hideMark/>
          </w:tcPr>
          <w:p w14:paraId="38A469F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 (8.5%)</w:t>
            </w:r>
          </w:p>
        </w:tc>
        <w:tc>
          <w:tcPr>
            <w:tcW w:w="512" w:type="pct"/>
            <w:noWrap/>
            <w:hideMark/>
          </w:tcPr>
          <w:p w14:paraId="38A46A0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 (8.8%)</w:t>
            </w:r>
          </w:p>
        </w:tc>
        <w:tc>
          <w:tcPr>
            <w:tcW w:w="512" w:type="pct"/>
            <w:noWrap/>
            <w:hideMark/>
          </w:tcPr>
          <w:p w14:paraId="38A46A0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 (6.2%)</w:t>
            </w:r>
          </w:p>
        </w:tc>
        <w:tc>
          <w:tcPr>
            <w:tcW w:w="646" w:type="pct"/>
            <w:noWrap/>
            <w:hideMark/>
          </w:tcPr>
          <w:p w14:paraId="38A46A0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72 (21.1%)</w:t>
            </w:r>
          </w:p>
        </w:tc>
        <w:tc>
          <w:tcPr>
            <w:tcW w:w="312" w:type="pct"/>
            <w:noWrap/>
            <w:hideMark/>
          </w:tcPr>
          <w:p w14:paraId="38A46A0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0.001</w:t>
            </w:r>
          </w:p>
        </w:tc>
      </w:tr>
      <w:tr w:rsidR="00340424" w:rsidRPr="00FB60E5" w14:paraId="38A46A0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A0B" w14:textId="3A7F25D9" w:rsidR="00340424" w:rsidRPr="00340424" w:rsidRDefault="00340424" w:rsidP="00FB60E5">
            <w:pPr>
              <w:ind w:left="0"/>
              <w:rPr>
                <w:b w:val="0"/>
                <w:bCs w:val="0"/>
              </w:rPr>
            </w:pPr>
            <w:r w:rsidRPr="00FB60E5">
              <w:t xml:space="preserve">Method of use </w:t>
            </w:r>
          </w:p>
        </w:tc>
      </w:tr>
      <w:tr w:rsidR="00CA7A60" w:rsidRPr="00FB60E5" w14:paraId="38A46A1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0D" w14:textId="77777777" w:rsidR="00CA7A60" w:rsidRPr="009D5847" w:rsidRDefault="00CA7A60" w:rsidP="00FB60E5">
            <w:pPr>
              <w:ind w:left="0"/>
              <w:rPr>
                <w:b w:val="0"/>
              </w:rPr>
            </w:pPr>
            <w:r w:rsidRPr="009D5847">
              <w:rPr>
                <w:b w:val="0"/>
              </w:rPr>
              <w:t>Ingest (n=12461; 49.4%)</w:t>
            </w:r>
          </w:p>
        </w:tc>
        <w:tc>
          <w:tcPr>
            <w:tcW w:w="572" w:type="pct"/>
            <w:noWrap/>
            <w:hideMark/>
          </w:tcPr>
          <w:p w14:paraId="38A46A0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6559 (52.6%)</w:t>
            </w:r>
          </w:p>
        </w:tc>
        <w:tc>
          <w:tcPr>
            <w:tcW w:w="511" w:type="pct"/>
            <w:noWrap/>
            <w:hideMark/>
          </w:tcPr>
          <w:p w14:paraId="38A46A0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1123 (9.0%)</w:t>
            </w:r>
          </w:p>
        </w:tc>
        <w:tc>
          <w:tcPr>
            <w:tcW w:w="512" w:type="pct"/>
            <w:noWrap/>
            <w:hideMark/>
          </w:tcPr>
          <w:p w14:paraId="38A46A1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946 (7.6%)</w:t>
            </w:r>
          </w:p>
        </w:tc>
        <w:tc>
          <w:tcPr>
            <w:tcW w:w="512" w:type="pct"/>
            <w:noWrap/>
            <w:hideMark/>
          </w:tcPr>
          <w:p w14:paraId="38A46A1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898 (7.2%)</w:t>
            </w:r>
          </w:p>
        </w:tc>
        <w:tc>
          <w:tcPr>
            <w:tcW w:w="646" w:type="pct"/>
            <w:noWrap/>
            <w:hideMark/>
          </w:tcPr>
          <w:p w14:paraId="38A46A1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2935 (23.6%)</w:t>
            </w:r>
          </w:p>
        </w:tc>
        <w:tc>
          <w:tcPr>
            <w:tcW w:w="312" w:type="pct"/>
            <w:noWrap/>
            <w:hideMark/>
          </w:tcPr>
          <w:p w14:paraId="38A46A1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A1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15" w14:textId="77777777" w:rsidR="00CA7A60" w:rsidRPr="009D5847" w:rsidRDefault="00CA7A60" w:rsidP="00FB60E5">
            <w:pPr>
              <w:ind w:left="0"/>
              <w:rPr>
                <w:b w:val="0"/>
              </w:rPr>
            </w:pPr>
            <w:r w:rsidRPr="009D5847">
              <w:rPr>
                <w:b w:val="0"/>
              </w:rPr>
              <w:t>Smoke (n=5103; 20.2%)</w:t>
            </w:r>
          </w:p>
        </w:tc>
        <w:tc>
          <w:tcPr>
            <w:tcW w:w="572" w:type="pct"/>
            <w:noWrap/>
            <w:hideMark/>
          </w:tcPr>
          <w:p w14:paraId="38A46A1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2728 (53.5%)</w:t>
            </w:r>
          </w:p>
        </w:tc>
        <w:tc>
          <w:tcPr>
            <w:tcW w:w="511" w:type="pct"/>
            <w:noWrap/>
            <w:hideMark/>
          </w:tcPr>
          <w:p w14:paraId="38A46A1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493 (9.7%)</w:t>
            </w:r>
          </w:p>
        </w:tc>
        <w:tc>
          <w:tcPr>
            <w:tcW w:w="512" w:type="pct"/>
            <w:noWrap/>
            <w:hideMark/>
          </w:tcPr>
          <w:p w14:paraId="38A46A1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393 (7.7%)</w:t>
            </w:r>
          </w:p>
        </w:tc>
        <w:tc>
          <w:tcPr>
            <w:tcW w:w="512" w:type="pct"/>
            <w:noWrap/>
            <w:hideMark/>
          </w:tcPr>
          <w:p w14:paraId="38A46A1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386 (7.6%)</w:t>
            </w:r>
          </w:p>
        </w:tc>
        <w:tc>
          <w:tcPr>
            <w:tcW w:w="646" w:type="pct"/>
            <w:noWrap/>
            <w:hideMark/>
          </w:tcPr>
          <w:p w14:paraId="38A46A1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1103 (21.6%)</w:t>
            </w:r>
          </w:p>
        </w:tc>
        <w:tc>
          <w:tcPr>
            <w:tcW w:w="312" w:type="pct"/>
            <w:noWrap/>
            <w:hideMark/>
          </w:tcPr>
          <w:p w14:paraId="38A46A1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A2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1D" w14:textId="77777777" w:rsidR="00CA7A60" w:rsidRPr="009D5847" w:rsidRDefault="00CA7A60" w:rsidP="00FB60E5">
            <w:pPr>
              <w:ind w:left="0"/>
              <w:rPr>
                <w:b w:val="0"/>
              </w:rPr>
            </w:pPr>
            <w:r w:rsidRPr="009D5847">
              <w:rPr>
                <w:b w:val="0"/>
              </w:rPr>
              <w:t>Inject (n=3632; 14.4%)</w:t>
            </w:r>
          </w:p>
        </w:tc>
        <w:tc>
          <w:tcPr>
            <w:tcW w:w="572" w:type="pct"/>
            <w:noWrap/>
            <w:hideMark/>
          </w:tcPr>
          <w:p w14:paraId="38A46A1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1793 (49.4%)</w:t>
            </w:r>
          </w:p>
        </w:tc>
        <w:tc>
          <w:tcPr>
            <w:tcW w:w="511" w:type="pct"/>
            <w:noWrap/>
            <w:hideMark/>
          </w:tcPr>
          <w:p w14:paraId="38A46A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380 (10.5%)</w:t>
            </w:r>
          </w:p>
        </w:tc>
        <w:tc>
          <w:tcPr>
            <w:tcW w:w="512" w:type="pct"/>
            <w:noWrap/>
            <w:hideMark/>
          </w:tcPr>
          <w:p w14:paraId="38A46A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317 (8.7%)</w:t>
            </w:r>
          </w:p>
        </w:tc>
        <w:tc>
          <w:tcPr>
            <w:tcW w:w="512" w:type="pct"/>
            <w:noWrap/>
            <w:hideMark/>
          </w:tcPr>
          <w:p w14:paraId="38A46A2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264 (7.3%)</w:t>
            </w:r>
          </w:p>
        </w:tc>
        <w:tc>
          <w:tcPr>
            <w:tcW w:w="646" w:type="pct"/>
            <w:noWrap/>
            <w:hideMark/>
          </w:tcPr>
          <w:p w14:paraId="38A46A2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878 (24.2%)</w:t>
            </w:r>
          </w:p>
        </w:tc>
        <w:tc>
          <w:tcPr>
            <w:tcW w:w="312" w:type="pct"/>
            <w:noWrap/>
            <w:hideMark/>
          </w:tcPr>
          <w:p w14:paraId="38A46A2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A2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25" w14:textId="77777777" w:rsidR="00CA7A60" w:rsidRPr="009D5847" w:rsidRDefault="00CA7A60" w:rsidP="00FB60E5">
            <w:pPr>
              <w:ind w:left="0"/>
              <w:rPr>
                <w:b w:val="0"/>
              </w:rPr>
            </w:pPr>
            <w:r w:rsidRPr="009D5847">
              <w:rPr>
                <w:b w:val="0"/>
              </w:rPr>
              <w:t>Sniff/inhale (n=1340; 5.3%)</w:t>
            </w:r>
          </w:p>
        </w:tc>
        <w:tc>
          <w:tcPr>
            <w:tcW w:w="572" w:type="pct"/>
            <w:noWrap/>
            <w:hideMark/>
          </w:tcPr>
          <w:p w14:paraId="38A46A2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718 (53.6%)</w:t>
            </w:r>
          </w:p>
        </w:tc>
        <w:tc>
          <w:tcPr>
            <w:tcW w:w="511" w:type="pct"/>
            <w:noWrap/>
            <w:hideMark/>
          </w:tcPr>
          <w:p w14:paraId="38A46A2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110 (8.2%)</w:t>
            </w:r>
          </w:p>
        </w:tc>
        <w:tc>
          <w:tcPr>
            <w:tcW w:w="512" w:type="pct"/>
            <w:noWrap/>
            <w:hideMark/>
          </w:tcPr>
          <w:p w14:paraId="38A46A2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99 (7.4%)</w:t>
            </w:r>
          </w:p>
        </w:tc>
        <w:tc>
          <w:tcPr>
            <w:tcW w:w="512" w:type="pct"/>
            <w:noWrap/>
            <w:hideMark/>
          </w:tcPr>
          <w:p w14:paraId="38A46A2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116 (8.7%)</w:t>
            </w:r>
          </w:p>
        </w:tc>
        <w:tc>
          <w:tcPr>
            <w:tcW w:w="646" w:type="pct"/>
            <w:noWrap/>
            <w:hideMark/>
          </w:tcPr>
          <w:p w14:paraId="38A46A2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297 (22.2%)</w:t>
            </w:r>
          </w:p>
        </w:tc>
        <w:tc>
          <w:tcPr>
            <w:tcW w:w="312" w:type="pct"/>
            <w:noWrap/>
            <w:hideMark/>
          </w:tcPr>
          <w:p w14:paraId="38A46A2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A3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2D" w14:textId="77777777" w:rsidR="00CA7A60" w:rsidRPr="009D5847" w:rsidRDefault="00CA7A60" w:rsidP="00FB60E5">
            <w:pPr>
              <w:ind w:left="0"/>
              <w:rPr>
                <w:b w:val="0"/>
              </w:rPr>
            </w:pPr>
            <w:r w:rsidRPr="009D5847">
              <w:rPr>
                <w:b w:val="0"/>
              </w:rPr>
              <w:t>Other/unknown (n=2693; 10.7%)</w:t>
            </w:r>
          </w:p>
        </w:tc>
        <w:tc>
          <w:tcPr>
            <w:tcW w:w="572" w:type="pct"/>
            <w:noWrap/>
            <w:hideMark/>
          </w:tcPr>
          <w:p w14:paraId="38A46A2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1430 (53.1%)</w:t>
            </w:r>
          </w:p>
        </w:tc>
        <w:tc>
          <w:tcPr>
            <w:tcW w:w="511" w:type="pct"/>
            <w:noWrap/>
            <w:hideMark/>
          </w:tcPr>
          <w:p w14:paraId="38A46A2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242 (9.0%)</w:t>
            </w:r>
          </w:p>
        </w:tc>
        <w:tc>
          <w:tcPr>
            <w:tcW w:w="512" w:type="pct"/>
            <w:noWrap/>
            <w:hideMark/>
          </w:tcPr>
          <w:p w14:paraId="38A46A3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203 (7.5%)</w:t>
            </w:r>
          </w:p>
        </w:tc>
        <w:tc>
          <w:tcPr>
            <w:tcW w:w="512" w:type="pct"/>
            <w:noWrap/>
            <w:hideMark/>
          </w:tcPr>
          <w:p w14:paraId="38A46A3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203 (7.5%)</w:t>
            </w:r>
          </w:p>
        </w:tc>
        <w:tc>
          <w:tcPr>
            <w:tcW w:w="646" w:type="pct"/>
            <w:noWrap/>
            <w:hideMark/>
          </w:tcPr>
          <w:p w14:paraId="38A46A3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615 (22.8%)</w:t>
            </w:r>
          </w:p>
        </w:tc>
        <w:tc>
          <w:tcPr>
            <w:tcW w:w="312" w:type="pct"/>
            <w:noWrap/>
            <w:hideMark/>
          </w:tcPr>
          <w:p w14:paraId="38A46A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0.004</w:t>
            </w:r>
          </w:p>
        </w:tc>
      </w:tr>
      <w:tr w:rsidR="00340424" w:rsidRPr="00FB60E5" w14:paraId="38A46A3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A3B" w14:textId="320D6550" w:rsidR="00340424" w:rsidRPr="00FB60E5" w:rsidRDefault="00340424" w:rsidP="00FB60E5">
            <w:pPr>
              <w:ind w:left="0"/>
            </w:pPr>
            <w:r w:rsidRPr="00FB60E5">
              <w:t>Poly-drug use</w:t>
            </w:r>
          </w:p>
        </w:tc>
      </w:tr>
      <w:tr w:rsidR="00CA7A60" w:rsidRPr="00FB60E5" w14:paraId="38A46A4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3D" w14:textId="77777777" w:rsidR="00CA7A60" w:rsidRPr="009D5847" w:rsidRDefault="00CA7A60" w:rsidP="00FB60E5">
            <w:pPr>
              <w:ind w:left="0"/>
              <w:rPr>
                <w:b w:val="0"/>
              </w:rPr>
            </w:pPr>
            <w:r w:rsidRPr="009D5847">
              <w:rPr>
                <w:b w:val="0"/>
              </w:rPr>
              <w:t>Yes (n=10899; 43.2%)</w:t>
            </w:r>
          </w:p>
        </w:tc>
        <w:tc>
          <w:tcPr>
            <w:tcW w:w="572" w:type="pct"/>
            <w:noWrap/>
            <w:hideMark/>
          </w:tcPr>
          <w:p w14:paraId="38A46A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5604 (51.4%)</w:t>
            </w:r>
          </w:p>
        </w:tc>
        <w:tc>
          <w:tcPr>
            <w:tcW w:w="511" w:type="pct"/>
            <w:noWrap/>
            <w:hideMark/>
          </w:tcPr>
          <w:p w14:paraId="38A46A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1024 (9.4%)</w:t>
            </w:r>
          </w:p>
        </w:tc>
        <w:tc>
          <w:tcPr>
            <w:tcW w:w="512" w:type="pct"/>
            <w:noWrap/>
            <w:hideMark/>
          </w:tcPr>
          <w:p w14:paraId="38A46A4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833 (7.6%)</w:t>
            </w:r>
          </w:p>
        </w:tc>
        <w:tc>
          <w:tcPr>
            <w:tcW w:w="512" w:type="pct"/>
            <w:noWrap/>
            <w:hideMark/>
          </w:tcPr>
          <w:p w14:paraId="38A46A4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824 (7.6%)</w:t>
            </w:r>
          </w:p>
        </w:tc>
        <w:tc>
          <w:tcPr>
            <w:tcW w:w="646" w:type="pct"/>
            <w:noWrap/>
            <w:hideMark/>
          </w:tcPr>
          <w:p w14:paraId="38A46A4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2614 (24.0%)</w:t>
            </w:r>
          </w:p>
        </w:tc>
        <w:tc>
          <w:tcPr>
            <w:tcW w:w="312" w:type="pct"/>
            <w:noWrap/>
            <w:hideMark/>
          </w:tcPr>
          <w:p w14:paraId="38A46A4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A4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45" w14:textId="77777777" w:rsidR="00CA7A60" w:rsidRPr="009D5847" w:rsidRDefault="00CA7A60" w:rsidP="00FB60E5">
            <w:pPr>
              <w:ind w:left="0"/>
              <w:rPr>
                <w:b w:val="0"/>
              </w:rPr>
            </w:pPr>
            <w:r w:rsidRPr="009D5847">
              <w:rPr>
                <w:b w:val="0"/>
              </w:rPr>
              <w:t>No (n=9939; 39.4%)</w:t>
            </w:r>
          </w:p>
        </w:tc>
        <w:tc>
          <w:tcPr>
            <w:tcW w:w="572" w:type="pct"/>
            <w:noWrap/>
            <w:hideMark/>
          </w:tcPr>
          <w:p w14:paraId="38A46A4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5291 (53.2%)</w:t>
            </w:r>
          </w:p>
        </w:tc>
        <w:tc>
          <w:tcPr>
            <w:tcW w:w="511" w:type="pct"/>
            <w:noWrap/>
            <w:hideMark/>
          </w:tcPr>
          <w:p w14:paraId="38A46A4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926 (9.3%)</w:t>
            </w:r>
          </w:p>
        </w:tc>
        <w:tc>
          <w:tcPr>
            <w:tcW w:w="512" w:type="pct"/>
            <w:noWrap/>
            <w:hideMark/>
          </w:tcPr>
          <w:p w14:paraId="38A46A4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794 (8.0%)</w:t>
            </w:r>
          </w:p>
        </w:tc>
        <w:tc>
          <w:tcPr>
            <w:tcW w:w="512" w:type="pct"/>
            <w:noWrap/>
            <w:hideMark/>
          </w:tcPr>
          <w:p w14:paraId="38A46A4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711 (7.2%)</w:t>
            </w:r>
          </w:p>
        </w:tc>
        <w:tc>
          <w:tcPr>
            <w:tcW w:w="646" w:type="pct"/>
            <w:noWrap/>
            <w:hideMark/>
          </w:tcPr>
          <w:p w14:paraId="38A46A4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2217 (22.3%)</w:t>
            </w:r>
          </w:p>
        </w:tc>
        <w:tc>
          <w:tcPr>
            <w:tcW w:w="312" w:type="pct"/>
            <w:noWrap/>
            <w:hideMark/>
          </w:tcPr>
          <w:p w14:paraId="38A46A4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A5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4D" w14:textId="77777777" w:rsidR="00CA7A60" w:rsidRPr="009D5847" w:rsidRDefault="00CA7A60" w:rsidP="00FB60E5">
            <w:pPr>
              <w:ind w:left="0"/>
              <w:rPr>
                <w:b w:val="0"/>
              </w:rPr>
            </w:pPr>
            <w:r w:rsidRPr="009D5847">
              <w:rPr>
                <w:b w:val="0"/>
              </w:rPr>
              <w:t>Unknown (n=4391; 17.4%)</w:t>
            </w:r>
          </w:p>
        </w:tc>
        <w:tc>
          <w:tcPr>
            <w:tcW w:w="572" w:type="pct"/>
            <w:noWrap/>
            <w:hideMark/>
          </w:tcPr>
          <w:p w14:paraId="38A46A4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2333 (53.1%)</w:t>
            </w:r>
          </w:p>
        </w:tc>
        <w:tc>
          <w:tcPr>
            <w:tcW w:w="511" w:type="pct"/>
            <w:noWrap/>
            <w:hideMark/>
          </w:tcPr>
          <w:p w14:paraId="38A46A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398 (9.1%)</w:t>
            </w:r>
          </w:p>
        </w:tc>
        <w:tc>
          <w:tcPr>
            <w:tcW w:w="512" w:type="pct"/>
            <w:noWrap/>
            <w:hideMark/>
          </w:tcPr>
          <w:p w14:paraId="38A46A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331 (7.5%)</w:t>
            </w:r>
          </w:p>
        </w:tc>
        <w:tc>
          <w:tcPr>
            <w:tcW w:w="512" w:type="pct"/>
            <w:noWrap/>
            <w:hideMark/>
          </w:tcPr>
          <w:p w14:paraId="38A46A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332 (7.6%)</w:t>
            </w:r>
          </w:p>
        </w:tc>
        <w:tc>
          <w:tcPr>
            <w:tcW w:w="646" w:type="pct"/>
            <w:noWrap/>
            <w:hideMark/>
          </w:tcPr>
          <w:p w14:paraId="38A46A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997 (22.7%)</w:t>
            </w:r>
          </w:p>
        </w:tc>
        <w:tc>
          <w:tcPr>
            <w:tcW w:w="312" w:type="pct"/>
            <w:noWrap/>
            <w:hideMark/>
          </w:tcPr>
          <w:p w14:paraId="38A46A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0.101</w:t>
            </w:r>
          </w:p>
        </w:tc>
      </w:tr>
      <w:tr w:rsidR="009D5847" w:rsidRPr="00FB60E5" w14:paraId="38A46A5C"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A5B" w14:textId="32E5374A" w:rsidR="009D5847" w:rsidRPr="009D5847" w:rsidRDefault="009D5847" w:rsidP="00FB60E5">
            <w:pPr>
              <w:ind w:left="0"/>
              <w:rPr>
                <w:b w:val="0"/>
                <w:bCs w:val="0"/>
              </w:rPr>
            </w:pPr>
            <w:r w:rsidRPr="00FB60E5">
              <w:t>Injecting drug use history</w:t>
            </w:r>
          </w:p>
        </w:tc>
      </w:tr>
      <w:tr w:rsidR="00CA7A60" w:rsidRPr="00FB60E5" w14:paraId="38A46A6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5D" w14:textId="77777777" w:rsidR="00CA7A60" w:rsidRPr="009D5847" w:rsidRDefault="00CA7A60" w:rsidP="00FB60E5">
            <w:pPr>
              <w:ind w:left="0"/>
              <w:rPr>
                <w:b w:val="0"/>
              </w:rPr>
            </w:pPr>
            <w:r w:rsidRPr="009D5847">
              <w:rPr>
                <w:b w:val="0"/>
              </w:rPr>
              <w:t>Never injected (n=12767; 50.6%)</w:t>
            </w:r>
          </w:p>
        </w:tc>
        <w:tc>
          <w:tcPr>
            <w:tcW w:w="572" w:type="pct"/>
            <w:noWrap/>
            <w:hideMark/>
          </w:tcPr>
          <w:p w14:paraId="38A46A5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6870 (53.8%)</w:t>
            </w:r>
          </w:p>
        </w:tc>
        <w:tc>
          <w:tcPr>
            <w:tcW w:w="511" w:type="pct"/>
            <w:noWrap/>
            <w:hideMark/>
          </w:tcPr>
          <w:p w14:paraId="38A46A5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1174 (9.2%)</w:t>
            </w:r>
          </w:p>
        </w:tc>
        <w:tc>
          <w:tcPr>
            <w:tcW w:w="512" w:type="pct"/>
            <w:noWrap/>
            <w:hideMark/>
          </w:tcPr>
          <w:p w14:paraId="38A46A6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980 (7.7%)</w:t>
            </w:r>
          </w:p>
        </w:tc>
        <w:tc>
          <w:tcPr>
            <w:tcW w:w="512" w:type="pct"/>
            <w:noWrap/>
            <w:hideMark/>
          </w:tcPr>
          <w:p w14:paraId="38A46A6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982 (7.7%)</w:t>
            </w:r>
          </w:p>
        </w:tc>
        <w:tc>
          <w:tcPr>
            <w:tcW w:w="646" w:type="pct"/>
            <w:noWrap/>
            <w:hideMark/>
          </w:tcPr>
          <w:p w14:paraId="38A46A6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2761 (21.6%)</w:t>
            </w:r>
          </w:p>
        </w:tc>
        <w:tc>
          <w:tcPr>
            <w:tcW w:w="312" w:type="pct"/>
            <w:noWrap/>
            <w:hideMark/>
          </w:tcPr>
          <w:p w14:paraId="38A46A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A6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65" w14:textId="2EDF1A2D" w:rsidR="00CA7A60" w:rsidRPr="009D5847" w:rsidRDefault="00CA7A60" w:rsidP="00FB60E5">
            <w:pPr>
              <w:ind w:left="0"/>
              <w:rPr>
                <w:b w:val="0"/>
              </w:rPr>
            </w:pPr>
            <w:r w:rsidRPr="009D5847">
              <w:rPr>
                <w:b w:val="0"/>
              </w:rPr>
              <w:t>Within past 12 months</w:t>
            </w:r>
            <w:r w:rsidR="002C27A8" w:rsidRPr="009D5847">
              <w:rPr>
                <w:b w:val="0"/>
              </w:rPr>
              <w:t xml:space="preserve"> </w:t>
            </w:r>
            <w:r w:rsidRPr="009D5847">
              <w:rPr>
                <w:b w:val="0"/>
              </w:rPr>
              <w:t>(n=5135; 20.4%)</w:t>
            </w:r>
          </w:p>
        </w:tc>
        <w:tc>
          <w:tcPr>
            <w:tcW w:w="572" w:type="pct"/>
            <w:noWrap/>
            <w:hideMark/>
          </w:tcPr>
          <w:p w14:paraId="38A46A6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2471 (48.1%)</w:t>
            </w:r>
          </w:p>
        </w:tc>
        <w:tc>
          <w:tcPr>
            <w:tcW w:w="511" w:type="pct"/>
            <w:noWrap/>
            <w:hideMark/>
          </w:tcPr>
          <w:p w14:paraId="38A46A6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513 (10.0%)</w:t>
            </w:r>
          </w:p>
        </w:tc>
        <w:tc>
          <w:tcPr>
            <w:tcW w:w="512" w:type="pct"/>
            <w:noWrap/>
            <w:hideMark/>
          </w:tcPr>
          <w:p w14:paraId="38A46A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429 (8.4%)</w:t>
            </w:r>
          </w:p>
        </w:tc>
        <w:tc>
          <w:tcPr>
            <w:tcW w:w="512" w:type="pct"/>
            <w:noWrap/>
            <w:hideMark/>
          </w:tcPr>
          <w:p w14:paraId="38A46A6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378 (7.4%)</w:t>
            </w:r>
          </w:p>
        </w:tc>
        <w:tc>
          <w:tcPr>
            <w:tcW w:w="646" w:type="pct"/>
            <w:noWrap/>
            <w:hideMark/>
          </w:tcPr>
          <w:p w14:paraId="38A46A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1344 (26.2%)</w:t>
            </w:r>
          </w:p>
        </w:tc>
        <w:tc>
          <w:tcPr>
            <w:tcW w:w="312" w:type="pct"/>
            <w:noWrap/>
            <w:hideMark/>
          </w:tcPr>
          <w:p w14:paraId="38A46A6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6A7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6D" w14:textId="77777777" w:rsidR="00CA7A60" w:rsidRPr="009D5847" w:rsidRDefault="00CA7A60" w:rsidP="00FB60E5">
            <w:pPr>
              <w:ind w:left="0"/>
              <w:rPr>
                <w:b w:val="0"/>
              </w:rPr>
            </w:pPr>
            <w:r w:rsidRPr="009D5847">
              <w:rPr>
                <w:b w:val="0"/>
              </w:rPr>
              <w:t>Over 12 months ago (n=2664; 10.6%)</w:t>
            </w:r>
          </w:p>
        </w:tc>
        <w:tc>
          <w:tcPr>
            <w:tcW w:w="572" w:type="pct"/>
            <w:noWrap/>
            <w:hideMark/>
          </w:tcPr>
          <w:p w14:paraId="38A46A6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1355 (50.9%)</w:t>
            </w:r>
          </w:p>
        </w:tc>
        <w:tc>
          <w:tcPr>
            <w:tcW w:w="511" w:type="pct"/>
            <w:noWrap/>
            <w:hideMark/>
          </w:tcPr>
          <w:p w14:paraId="38A46A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264 (9.9%)</w:t>
            </w:r>
          </w:p>
        </w:tc>
        <w:tc>
          <w:tcPr>
            <w:tcW w:w="512" w:type="pct"/>
            <w:noWrap/>
            <w:hideMark/>
          </w:tcPr>
          <w:p w14:paraId="38A46A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207 (7.8%)</w:t>
            </w:r>
          </w:p>
        </w:tc>
        <w:tc>
          <w:tcPr>
            <w:tcW w:w="512" w:type="pct"/>
            <w:noWrap/>
            <w:hideMark/>
          </w:tcPr>
          <w:p w14:paraId="38A46A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206 (7.7%)</w:t>
            </w:r>
          </w:p>
        </w:tc>
        <w:tc>
          <w:tcPr>
            <w:tcW w:w="646" w:type="pct"/>
            <w:noWrap/>
            <w:hideMark/>
          </w:tcPr>
          <w:p w14:paraId="38A46A7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632 (23.7%)</w:t>
            </w:r>
          </w:p>
        </w:tc>
        <w:tc>
          <w:tcPr>
            <w:tcW w:w="312" w:type="pct"/>
            <w:noWrap/>
            <w:hideMark/>
          </w:tcPr>
          <w:p w14:paraId="38A46A7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6A7C"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1935" w:type="pct"/>
            <w:noWrap/>
            <w:hideMark/>
          </w:tcPr>
          <w:p w14:paraId="38A46A75" w14:textId="77777777" w:rsidR="00CA7A60" w:rsidRPr="009D5847" w:rsidRDefault="00CA7A60" w:rsidP="00FB60E5">
            <w:pPr>
              <w:ind w:left="0"/>
              <w:rPr>
                <w:b w:val="0"/>
              </w:rPr>
            </w:pPr>
            <w:r w:rsidRPr="009D5847">
              <w:rPr>
                <w:b w:val="0"/>
              </w:rPr>
              <w:t>Unknown (n=4663; 18.5%)</w:t>
            </w:r>
          </w:p>
        </w:tc>
        <w:tc>
          <w:tcPr>
            <w:tcW w:w="572" w:type="pct"/>
            <w:noWrap/>
            <w:hideMark/>
          </w:tcPr>
          <w:p w14:paraId="38A46A7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2532 (54.3%)</w:t>
            </w:r>
          </w:p>
        </w:tc>
        <w:tc>
          <w:tcPr>
            <w:tcW w:w="511" w:type="pct"/>
            <w:noWrap/>
            <w:hideMark/>
          </w:tcPr>
          <w:p w14:paraId="38A46A7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397 (8.5%)</w:t>
            </w:r>
          </w:p>
        </w:tc>
        <w:tc>
          <w:tcPr>
            <w:tcW w:w="512" w:type="pct"/>
            <w:noWrap/>
            <w:hideMark/>
          </w:tcPr>
          <w:p w14:paraId="38A46A7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342 (7.3%)</w:t>
            </w:r>
          </w:p>
        </w:tc>
        <w:tc>
          <w:tcPr>
            <w:tcW w:w="512" w:type="pct"/>
            <w:noWrap/>
            <w:hideMark/>
          </w:tcPr>
          <w:p w14:paraId="38A46A7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301 (6.5%)</w:t>
            </w:r>
          </w:p>
        </w:tc>
        <w:tc>
          <w:tcPr>
            <w:tcW w:w="646" w:type="pct"/>
            <w:noWrap/>
            <w:hideMark/>
          </w:tcPr>
          <w:p w14:paraId="38A46A7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1091 (23.4%)</w:t>
            </w:r>
          </w:p>
        </w:tc>
        <w:tc>
          <w:tcPr>
            <w:tcW w:w="312" w:type="pct"/>
            <w:noWrap/>
            <w:hideMark/>
          </w:tcPr>
          <w:p w14:paraId="38A46A7B" w14:textId="77777777" w:rsidR="00CA7A60"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bl>
    <w:p w14:paraId="38A46A7D" w14:textId="77777777" w:rsidR="00CA7A60" w:rsidRPr="00FB60E5" w:rsidRDefault="00CA7A60" w:rsidP="00FB60E5">
      <w:pPr>
        <w:ind w:left="0"/>
      </w:pPr>
    </w:p>
    <w:p w14:paraId="38A46A7E" w14:textId="77777777" w:rsidR="00CA7A60" w:rsidRPr="00FB60E5" w:rsidRDefault="00CA7A60" w:rsidP="00FB60E5">
      <w:pPr>
        <w:ind w:left="0"/>
        <w:sectPr w:rsidR="00CA7A60" w:rsidRPr="00FB60E5" w:rsidSect="00042CE9">
          <w:pgSz w:w="16838" w:h="11906" w:orient="landscape"/>
          <w:pgMar w:top="1440" w:right="1440" w:bottom="1079" w:left="1440" w:header="708" w:footer="224" w:gutter="0"/>
          <w:cols w:space="708"/>
          <w:docGrid w:linePitch="360"/>
        </w:sectPr>
      </w:pPr>
    </w:p>
    <w:p w14:paraId="38A46A7F" w14:textId="4C264F26" w:rsidR="00CA7A60" w:rsidRPr="00FB60E5" w:rsidRDefault="00CA7A60" w:rsidP="00552239">
      <w:pPr>
        <w:pStyle w:val="Caption"/>
      </w:pPr>
      <w:bookmarkStart w:id="244" w:name="_Ref386798660"/>
      <w:bookmarkStart w:id="245" w:name="_Toc387244631"/>
      <w:bookmarkStart w:id="246" w:name="_Toc531625804"/>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7</w:t>
      </w:r>
      <w:r w:rsidR="00552239">
        <w:fldChar w:fldCharType="end"/>
      </w:r>
      <w:bookmarkEnd w:id="244"/>
      <w:r w:rsidR="002C27A8">
        <w:t xml:space="preserve"> </w:t>
      </w:r>
      <w:r w:rsidRPr="00FB60E5">
        <w:t xml:space="preserve">Drug </w:t>
      </w:r>
      <w:r w:rsidR="00727B57" w:rsidRPr="00FB60E5">
        <w:t xml:space="preserve">use </w:t>
      </w:r>
      <w:r w:rsidRPr="00FB60E5">
        <w:t>characteristics by ED presentations in 2009/10, 2010/11 and 2011/12</w:t>
      </w:r>
      <w:bookmarkEnd w:id="245"/>
      <w:bookmarkEnd w:id="246"/>
    </w:p>
    <w:tbl>
      <w:tblPr>
        <w:tblStyle w:val="LightList-Accent1"/>
        <w:tblW w:w="5000" w:type="pct"/>
        <w:tblLook w:val="04A0" w:firstRow="1" w:lastRow="0" w:firstColumn="1" w:lastColumn="0" w:noHBand="0" w:noVBand="1"/>
        <w:tblDescription w:val="Table 4.7 is a list of Drug use characteristics by ED presentations in 2009/10, 2010/11 and 2011/12"/>
      </w:tblPr>
      <w:tblGrid>
        <w:gridCol w:w="5015"/>
        <w:gridCol w:w="1409"/>
        <w:gridCol w:w="1409"/>
        <w:gridCol w:w="1409"/>
      </w:tblGrid>
      <w:tr w:rsidR="00CA7A60" w:rsidRPr="00FB60E5" w14:paraId="38A46A82"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36" w:type="pct"/>
            <w:vMerge w:val="restart"/>
            <w:noWrap/>
            <w:hideMark/>
          </w:tcPr>
          <w:p w14:paraId="38A46A80" w14:textId="77777777" w:rsidR="00CA7A60" w:rsidRPr="009D5847" w:rsidRDefault="00CA7A60" w:rsidP="00FB60E5">
            <w:pPr>
              <w:ind w:left="0"/>
              <w:rPr>
                <w:b w:val="0"/>
              </w:rPr>
            </w:pPr>
            <w:r w:rsidRPr="009D5847">
              <w:rPr>
                <w:b w:val="0"/>
              </w:rPr>
              <w:t> </w:t>
            </w:r>
          </w:p>
        </w:tc>
        <w:tc>
          <w:tcPr>
            <w:tcW w:w="2264" w:type="pct"/>
            <w:gridSpan w:val="3"/>
            <w:noWrap/>
            <w:hideMark/>
          </w:tcPr>
          <w:p w14:paraId="38A46A81" w14:textId="4B885D35"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Number of</w:t>
            </w:r>
            <w:r w:rsidR="002C27A8">
              <w:t xml:space="preserve"> </w:t>
            </w:r>
            <w:r w:rsidRPr="00FB60E5">
              <w:t xml:space="preserve">AOD clients </w:t>
            </w:r>
          </w:p>
        </w:tc>
      </w:tr>
      <w:tr w:rsidR="00CA7A60" w:rsidRPr="00FB60E5" w14:paraId="38A46A87"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36" w:type="pct"/>
            <w:vMerge/>
            <w:hideMark/>
          </w:tcPr>
          <w:p w14:paraId="38A46A83" w14:textId="77777777" w:rsidR="00CA7A60" w:rsidRPr="009D5847" w:rsidRDefault="00CA7A60" w:rsidP="00FB60E5">
            <w:pPr>
              <w:ind w:left="0"/>
              <w:rPr>
                <w:b w:val="0"/>
              </w:rPr>
            </w:pPr>
          </w:p>
        </w:tc>
        <w:tc>
          <w:tcPr>
            <w:tcW w:w="755" w:type="pct"/>
            <w:hideMark/>
          </w:tcPr>
          <w:p w14:paraId="38A46A8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55" w:type="pct"/>
            <w:hideMark/>
          </w:tcPr>
          <w:p w14:paraId="38A46A8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55" w:type="pct"/>
            <w:hideMark/>
          </w:tcPr>
          <w:p w14:paraId="38A46A8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A8C"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88" w14:textId="77777777" w:rsidR="00CA7A60" w:rsidRPr="009D5847" w:rsidRDefault="00CA7A60" w:rsidP="00FB60E5">
            <w:pPr>
              <w:ind w:left="0"/>
              <w:rPr>
                <w:b w:val="0"/>
              </w:rPr>
            </w:pPr>
            <w:r w:rsidRPr="009D5847">
              <w:rPr>
                <w:b w:val="0"/>
              </w:rPr>
              <w:t>Total (n=25229)</w:t>
            </w:r>
          </w:p>
        </w:tc>
        <w:tc>
          <w:tcPr>
            <w:tcW w:w="755" w:type="pct"/>
            <w:noWrap/>
            <w:hideMark/>
          </w:tcPr>
          <w:p w14:paraId="38A46A8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6890 (27.3%)</w:t>
            </w:r>
          </w:p>
        </w:tc>
        <w:tc>
          <w:tcPr>
            <w:tcW w:w="755" w:type="pct"/>
            <w:noWrap/>
            <w:hideMark/>
          </w:tcPr>
          <w:p w14:paraId="38A46A8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6742 (26.7%)</w:t>
            </w:r>
          </w:p>
        </w:tc>
        <w:tc>
          <w:tcPr>
            <w:tcW w:w="755" w:type="pct"/>
            <w:noWrap/>
            <w:hideMark/>
          </w:tcPr>
          <w:p w14:paraId="38A46A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6356 (25.2%)</w:t>
            </w:r>
          </w:p>
        </w:tc>
      </w:tr>
      <w:tr w:rsidR="00340424" w:rsidRPr="00FB60E5" w14:paraId="38A46A91"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A90" w14:textId="7A9F221F" w:rsidR="00340424" w:rsidRPr="00FB60E5" w:rsidRDefault="00340424" w:rsidP="00FB60E5">
            <w:pPr>
              <w:ind w:left="0"/>
            </w:pPr>
            <w:r w:rsidRPr="00FB60E5">
              <w:t>Primary drug of concern</w:t>
            </w:r>
          </w:p>
        </w:tc>
      </w:tr>
      <w:tr w:rsidR="00CA7A60" w:rsidRPr="00FB60E5" w14:paraId="38A46A96"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92" w14:textId="77777777" w:rsidR="00CA7A60" w:rsidRPr="009D5847" w:rsidRDefault="00CA7A60" w:rsidP="00FB60E5">
            <w:pPr>
              <w:ind w:left="0"/>
              <w:rPr>
                <w:b w:val="0"/>
              </w:rPr>
            </w:pPr>
            <w:r w:rsidRPr="009D5847">
              <w:rPr>
                <w:b w:val="0"/>
              </w:rPr>
              <w:t>Alcohol (n=11912; 47.2%)</w:t>
            </w:r>
          </w:p>
        </w:tc>
        <w:tc>
          <w:tcPr>
            <w:tcW w:w="755" w:type="pct"/>
            <w:noWrap/>
            <w:hideMark/>
          </w:tcPr>
          <w:p w14:paraId="38A46A9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3288 (27.6%)</w:t>
            </w:r>
          </w:p>
        </w:tc>
        <w:tc>
          <w:tcPr>
            <w:tcW w:w="755" w:type="pct"/>
            <w:noWrap/>
            <w:hideMark/>
          </w:tcPr>
          <w:p w14:paraId="38A46A9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3222 (27.0%)</w:t>
            </w:r>
          </w:p>
        </w:tc>
        <w:tc>
          <w:tcPr>
            <w:tcW w:w="755" w:type="pct"/>
            <w:noWrap/>
            <w:hideMark/>
          </w:tcPr>
          <w:p w14:paraId="38A46A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3066 (25.7%)</w:t>
            </w:r>
          </w:p>
        </w:tc>
      </w:tr>
      <w:tr w:rsidR="00CA7A60" w:rsidRPr="00FB60E5" w14:paraId="38A46A9B"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97" w14:textId="77777777" w:rsidR="00CA7A60" w:rsidRPr="009D5847" w:rsidRDefault="00CA7A60" w:rsidP="00FB60E5">
            <w:pPr>
              <w:ind w:left="0"/>
              <w:rPr>
                <w:b w:val="0"/>
              </w:rPr>
            </w:pPr>
            <w:r w:rsidRPr="009D5847">
              <w:rPr>
                <w:b w:val="0"/>
              </w:rPr>
              <w:t>Cannabis (n=5663; 22.4%)</w:t>
            </w:r>
          </w:p>
        </w:tc>
        <w:tc>
          <w:tcPr>
            <w:tcW w:w="755" w:type="pct"/>
            <w:noWrap/>
            <w:hideMark/>
          </w:tcPr>
          <w:p w14:paraId="38A46A9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1533 (27.1%)</w:t>
            </w:r>
          </w:p>
        </w:tc>
        <w:tc>
          <w:tcPr>
            <w:tcW w:w="755" w:type="pct"/>
            <w:noWrap/>
            <w:hideMark/>
          </w:tcPr>
          <w:p w14:paraId="38A46A9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1461 (25.8%)</w:t>
            </w:r>
          </w:p>
        </w:tc>
        <w:tc>
          <w:tcPr>
            <w:tcW w:w="755" w:type="pct"/>
            <w:noWrap/>
            <w:hideMark/>
          </w:tcPr>
          <w:p w14:paraId="38A46A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1397 (24.7%)</w:t>
            </w:r>
          </w:p>
        </w:tc>
      </w:tr>
      <w:tr w:rsidR="00CA7A60" w:rsidRPr="00FB60E5" w14:paraId="38A46AA0"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9C" w14:textId="77777777" w:rsidR="00CA7A60" w:rsidRPr="009D5847" w:rsidRDefault="00CA7A60" w:rsidP="00FB60E5">
            <w:pPr>
              <w:ind w:left="0"/>
              <w:rPr>
                <w:b w:val="0"/>
              </w:rPr>
            </w:pPr>
            <w:r w:rsidRPr="009D5847">
              <w:rPr>
                <w:b w:val="0"/>
              </w:rPr>
              <w:t>Heroin &amp; other opioids (n=3863; 15.3%)</w:t>
            </w:r>
          </w:p>
        </w:tc>
        <w:tc>
          <w:tcPr>
            <w:tcW w:w="755" w:type="pct"/>
            <w:noWrap/>
            <w:hideMark/>
          </w:tcPr>
          <w:p w14:paraId="38A46A9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1131 (29.3%)</w:t>
            </w:r>
          </w:p>
        </w:tc>
        <w:tc>
          <w:tcPr>
            <w:tcW w:w="755" w:type="pct"/>
            <w:noWrap/>
            <w:hideMark/>
          </w:tcPr>
          <w:p w14:paraId="38A46A9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1077 (27.9%)</w:t>
            </w:r>
          </w:p>
        </w:tc>
        <w:tc>
          <w:tcPr>
            <w:tcW w:w="755" w:type="pct"/>
            <w:noWrap/>
            <w:hideMark/>
          </w:tcPr>
          <w:p w14:paraId="38A46A9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996 (25.8%)</w:t>
            </w:r>
          </w:p>
        </w:tc>
      </w:tr>
      <w:tr w:rsidR="00CA7A60" w:rsidRPr="00FB60E5" w14:paraId="38A46AA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A1" w14:textId="77777777" w:rsidR="00CA7A60" w:rsidRPr="009D5847" w:rsidRDefault="00CA7A60" w:rsidP="00FB60E5">
            <w:pPr>
              <w:ind w:left="0"/>
              <w:rPr>
                <w:b w:val="0"/>
              </w:rPr>
            </w:pPr>
            <w:r w:rsidRPr="009D5847">
              <w:rPr>
                <w:b w:val="0"/>
              </w:rPr>
              <w:t>Amphetamine &amp; other stimulants (n=2198; 8.7%)</w:t>
            </w:r>
          </w:p>
        </w:tc>
        <w:tc>
          <w:tcPr>
            <w:tcW w:w="755" w:type="pct"/>
            <w:noWrap/>
            <w:hideMark/>
          </w:tcPr>
          <w:p w14:paraId="38A46AA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536 (24.4%)</w:t>
            </w:r>
          </w:p>
        </w:tc>
        <w:tc>
          <w:tcPr>
            <w:tcW w:w="755" w:type="pct"/>
            <w:noWrap/>
            <w:hideMark/>
          </w:tcPr>
          <w:p w14:paraId="38A46A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548 (24.9%)</w:t>
            </w:r>
          </w:p>
        </w:tc>
        <w:tc>
          <w:tcPr>
            <w:tcW w:w="755" w:type="pct"/>
            <w:noWrap/>
            <w:hideMark/>
          </w:tcPr>
          <w:p w14:paraId="38A46A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528 (24.0%)</w:t>
            </w:r>
          </w:p>
        </w:tc>
      </w:tr>
      <w:tr w:rsidR="00CA7A60" w:rsidRPr="00FB60E5" w14:paraId="38A46AAA"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A6" w14:textId="77777777" w:rsidR="00CA7A60" w:rsidRPr="009D5847" w:rsidRDefault="00CA7A60" w:rsidP="00FB60E5">
            <w:pPr>
              <w:ind w:left="0"/>
              <w:rPr>
                <w:b w:val="0"/>
              </w:rPr>
            </w:pPr>
            <w:r w:rsidRPr="009D5847">
              <w:rPr>
                <w:b w:val="0"/>
              </w:rPr>
              <w:t>Benzodiazepines &amp; other tranquillisers (n=522; 2.1%)</w:t>
            </w:r>
          </w:p>
        </w:tc>
        <w:tc>
          <w:tcPr>
            <w:tcW w:w="755" w:type="pct"/>
            <w:noWrap/>
            <w:hideMark/>
          </w:tcPr>
          <w:p w14:paraId="38A46A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130 (24.9%)</w:t>
            </w:r>
          </w:p>
        </w:tc>
        <w:tc>
          <w:tcPr>
            <w:tcW w:w="755" w:type="pct"/>
            <w:noWrap/>
            <w:hideMark/>
          </w:tcPr>
          <w:p w14:paraId="38A46AA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147 (28.2%)</w:t>
            </w:r>
          </w:p>
        </w:tc>
        <w:tc>
          <w:tcPr>
            <w:tcW w:w="755" w:type="pct"/>
            <w:noWrap/>
            <w:hideMark/>
          </w:tcPr>
          <w:p w14:paraId="38A46AA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119 (22.8%)</w:t>
            </w:r>
          </w:p>
        </w:tc>
      </w:tr>
      <w:tr w:rsidR="00CA7A60" w:rsidRPr="00FB60E5" w14:paraId="38A46AAF"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AB" w14:textId="77777777" w:rsidR="00CA7A60" w:rsidRPr="009D5847" w:rsidRDefault="00CA7A60" w:rsidP="00FB60E5">
            <w:pPr>
              <w:ind w:left="0"/>
              <w:rPr>
                <w:b w:val="0"/>
              </w:rPr>
            </w:pPr>
            <w:r w:rsidRPr="009D5847">
              <w:rPr>
                <w:b w:val="0"/>
              </w:rPr>
              <w:t>Other (n=730; 2.9%)</w:t>
            </w:r>
          </w:p>
        </w:tc>
        <w:tc>
          <w:tcPr>
            <w:tcW w:w="755" w:type="pct"/>
            <w:noWrap/>
            <w:hideMark/>
          </w:tcPr>
          <w:p w14:paraId="38A46AA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193 (26.4%)</w:t>
            </w:r>
          </w:p>
        </w:tc>
        <w:tc>
          <w:tcPr>
            <w:tcW w:w="755" w:type="pct"/>
            <w:noWrap/>
            <w:hideMark/>
          </w:tcPr>
          <w:p w14:paraId="38A46AA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194 (26.6%)</w:t>
            </w:r>
          </w:p>
        </w:tc>
        <w:tc>
          <w:tcPr>
            <w:tcW w:w="755" w:type="pct"/>
            <w:noWrap/>
            <w:hideMark/>
          </w:tcPr>
          <w:p w14:paraId="38A46AA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175 (24.0%)</w:t>
            </w:r>
          </w:p>
        </w:tc>
      </w:tr>
      <w:tr w:rsidR="00CA7A60" w:rsidRPr="00FB60E5" w14:paraId="38A46AB4"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B0" w14:textId="77777777" w:rsidR="00CA7A60" w:rsidRPr="009D5847" w:rsidRDefault="00CA7A60" w:rsidP="00FB60E5">
            <w:pPr>
              <w:ind w:left="0"/>
              <w:rPr>
                <w:b w:val="0"/>
              </w:rPr>
            </w:pPr>
            <w:r w:rsidRPr="009D5847">
              <w:rPr>
                <w:b w:val="0"/>
              </w:rPr>
              <w:t>Unknown (n=341; 1.4%)</w:t>
            </w:r>
          </w:p>
        </w:tc>
        <w:tc>
          <w:tcPr>
            <w:tcW w:w="755" w:type="pct"/>
            <w:noWrap/>
            <w:hideMark/>
          </w:tcPr>
          <w:p w14:paraId="38A46A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79 (23.2%)</w:t>
            </w:r>
          </w:p>
        </w:tc>
        <w:tc>
          <w:tcPr>
            <w:tcW w:w="755" w:type="pct"/>
            <w:noWrap/>
            <w:hideMark/>
          </w:tcPr>
          <w:p w14:paraId="38A46AB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93 (27.3%)</w:t>
            </w:r>
          </w:p>
        </w:tc>
        <w:tc>
          <w:tcPr>
            <w:tcW w:w="755" w:type="pct"/>
            <w:noWrap/>
            <w:hideMark/>
          </w:tcPr>
          <w:p w14:paraId="38A46AB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75 (22.0%)</w:t>
            </w:r>
          </w:p>
        </w:tc>
      </w:tr>
      <w:tr w:rsidR="00340424" w:rsidRPr="00FB60E5" w14:paraId="38A46AB9"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AB8" w14:textId="4FF0B3D4" w:rsidR="00340424" w:rsidRPr="00340424" w:rsidRDefault="00340424" w:rsidP="00FB60E5">
            <w:pPr>
              <w:ind w:left="0"/>
              <w:rPr>
                <w:b w:val="0"/>
                <w:bCs w:val="0"/>
              </w:rPr>
            </w:pPr>
            <w:r w:rsidRPr="00FB60E5">
              <w:t>M</w:t>
            </w:r>
            <w:r>
              <w:t>ethod of use</w:t>
            </w:r>
          </w:p>
        </w:tc>
      </w:tr>
      <w:tr w:rsidR="00CA7A60" w:rsidRPr="00FB60E5" w14:paraId="38A46ABE"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BA" w14:textId="77777777" w:rsidR="00CA7A60" w:rsidRPr="009D5847" w:rsidRDefault="00CA7A60" w:rsidP="00FB60E5">
            <w:pPr>
              <w:ind w:left="0"/>
              <w:rPr>
                <w:b w:val="0"/>
              </w:rPr>
            </w:pPr>
            <w:r w:rsidRPr="009D5847">
              <w:rPr>
                <w:b w:val="0"/>
              </w:rPr>
              <w:t>Ingest (n=12461; 49.4%)</w:t>
            </w:r>
          </w:p>
        </w:tc>
        <w:tc>
          <w:tcPr>
            <w:tcW w:w="755" w:type="pct"/>
            <w:noWrap/>
            <w:hideMark/>
          </w:tcPr>
          <w:p w14:paraId="38A46A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3432 (27.5%)</w:t>
            </w:r>
          </w:p>
        </w:tc>
        <w:tc>
          <w:tcPr>
            <w:tcW w:w="755" w:type="pct"/>
            <w:noWrap/>
            <w:hideMark/>
          </w:tcPr>
          <w:p w14:paraId="38A46AB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3386 (27.2%)</w:t>
            </w:r>
          </w:p>
        </w:tc>
        <w:tc>
          <w:tcPr>
            <w:tcW w:w="755" w:type="pct"/>
            <w:noWrap/>
            <w:hideMark/>
          </w:tcPr>
          <w:p w14:paraId="38A46AB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3175 (25.5%)</w:t>
            </w:r>
          </w:p>
        </w:tc>
      </w:tr>
      <w:tr w:rsidR="00CA7A60" w:rsidRPr="00FB60E5" w14:paraId="38A46AC3"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BF" w14:textId="77777777" w:rsidR="00CA7A60" w:rsidRPr="009D5847" w:rsidRDefault="00CA7A60" w:rsidP="00FB60E5">
            <w:pPr>
              <w:ind w:left="0"/>
              <w:rPr>
                <w:b w:val="0"/>
              </w:rPr>
            </w:pPr>
            <w:r w:rsidRPr="009D5847">
              <w:rPr>
                <w:b w:val="0"/>
              </w:rPr>
              <w:t>Smoke (n=5103; 20.2%)</w:t>
            </w:r>
          </w:p>
        </w:tc>
        <w:tc>
          <w:tcPr>
            <w:tcW w:w="755" w:type="pct"/>
            <w:noWrap/>
            <w:hideMark/>
          </w:tcPr>
          <w:p w14:paraId="38A46AC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1330 (26.1%)</w:t>
            </w:r>
          </w:p>
        </w:tc>
        <w:tc>
          <w:tcPr>
            <w:tcW w:w="755" w:type="pct"/>
            <w:noWrap/>
            <w:hideMark/>
          </w:tcPr>
          <w:p w14:paraId="38A46AC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1299 (25.5%)</w:t>
            </w:r>
          </w:p>
        </w:tc>
        <w:tc>
          <w:tcPr>
            <w:tcW w:w="755" w:type="pct"/>
            <w:noWrap/>
            <w:hideMark/>
          </w:tcPr>
          <w:p w14:paraId="38A46AC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1239 (24.3%)</w:t>
            </w:r>
          </w:p>
        </w:tc>
      </w:tr>
      <w:tr w:rsidR="00CA7A60" w:rsidRPr="00FB60E5" w14:paraId="38A46AC8"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C4" w14:textId="77777777" w:rsidR="00CA7A60" w:rsidRPr="009D5847" w:rsidRDefault="00CA7A60" w:rsidP="00FB60E5">
            <w:pPr>
              <w:ind w:left="0"/>
              <w:rPr>
                <w:b w:val="0"/>
              </w:rPr>
            </w:pPr>
            <w:r w:rsidRPr="009D5847">
              <w:rPr>
                <w:b w:val="0"/>
              </w:rPr>
              <w:t>Inject (n=3632; 14.4%)</w:t>
            </w:r>
          </w:p>
        </w:tc>
        <w:tc>
          <w:tcPr>
            <w:tcW w:w="755" w:type="pct"/>
            <w:noWrap/>
            <w:hideMark/>
          </w:tcPr>
          <w:p w14:paraId="38A46AC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1079 (29.7%)</w:t>
            </w:r>
          </w:p>
        </w:tc>
        <w:tc>
          <w:tcPr>
            <w:tcW w:w="755" w:type="pct"/>
            <w:noWrap/>
            <w:hideMark/>
          </w:tcPr>
          <w:p w14:paraId="38A46AC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1016 (28.0%)</w:t>
            </w:r>
          </w:p>
        </w:tc>
        <w:tc>
          <w:tcPr>
            <w:tcW w:w="755" w:type="pct"/>
            <w:noWrap/>
            <w:hideMark/>
          </w:tcPr>
          <w:p w14:paraId="38A46AC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933 (25.7%)</w:t>
            </w:r>
          </w:p>
        </w:tc>
      </w:tr>
      <w:tr w:rsidR="00CA7A60" w:rsidRPr="00FB60E5" w14:paraId="38A46ACD"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C9" w14:textId="77777777" w:rsidR="00CA7A60" w:rsidRPr="009D5847" w:rsidRDefault="00CA7A60" w:rsidP="00FB60E5">
            <w:pPr>
              <w:ind w:left="0"/>
              <w:rPr>
                <w:b w:val="0"/>
              </w:rPr>
            </w:pPr>
            <w:r w:rsidRPr="009D5847">
              <w:rPr>
                <w:b w:val="0"/>
              </w:rPr>
              <w:t>Sniff/inhale (n=1340; 5.3%)</w:t>
            </w:r>
          </w:p>
        </w:tc>
        <w:tc>
          <w:tcPr>
            <w:tcW w:w="755" w:type="pct"/>
            <w:noWrap/>
            <w:hideMark/>
          </w:tcPr>
          <w:p w14:paraId="38A46AC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338 (25.2%)</w:t>
            </w:r>
          </w:p>
        </w:tc>
        <w:tc>
          <w:tcPr>
            <w:tcW w:w="755" w:type="pct"/>
            <w:noWrap/>
            <w:hideMark/>
          </w:tcPr>
          <w:p w14:paraId="38A46AC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341 (25.4%)</w:t>
            </w:r>
          </w:p>
        </w:tc>
        <w:tc>
          <w:tcPr>
            <w:tcW w:w="755" w:type="pct"/>
            <w:noWrap/>
            <w:hideMark/>
          </w:tcPr>
          <w:p w14:paraId="38A46AC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336 (25.1%)</w:t>
            </w:r>
          </w:p>
        </w:tc>
      </w:tr>
      <w:tr w:rsidR="00CA7A60" w:rsidRPr="00FB60E5" w14:paraId="38A46AD2"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CE" w14:textId="77777777" w:rsidR="00CA7A60" w:rsidRPr="009D5847" w:rsidRDefault="00CA7A60" w:rsidP="00FB60E5">
            <w:pPr>
              <w:ind w:left="0"/>
              <w:rPr>
                <w:b w:val="0"/>
              </w:rPr>
            </w:pPr>
            <w:r w:rsidRPr="009D5847">
              <w:rPr>
                <w:b w:val="0"/>
              </w:rPr>
              <w:t>Other/unknown (n=2693; 10.7%)</w:t>
            </w:r>
          </w:p>
        </w:tc>
        <w:tc>
          <w:tcPr>
            <w:tcW w:w="755" w:type="pct"/>
            <w:noWrap/>
            <w:hideMark/>
          </w:tcPr>
          <w:p w14:paraId="38A46A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711 (26.4%)</w:t>
            </w:r>
          </w:p>
        </w:tc>
        <w:tc>
          <w:tcPr>
            <w:tcW w:w="755" w:type="pct"/>
            <w:noWrap/>
            <w:hideMark/>
          </w:tcPr>
          <w:p w14:paraId="38A46AD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700 (26.0%)</w:t>
            </w:r>
          </w:p>
        </w:tc>
        <w:tc>
          <w:tcPr>
            <w:tcW w:w="755" w:type="pct"/>
            <w:noWrap/>
            <w:hideMark/>
          </w:tcPr>
          <w:p w14:paraId="38A46AD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673 (25.0%)</w:t>
            </w:r>
          </w:p>
        </w:tc>
      </w:tr>
      <w:tr w:rsidR="00340424" w:rsidRPr="00FB60E5" w14:paraId="38A46AD7"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AD6" w14:textId="54B821A2" w:rsidR="00340424" w:rsidRPr="00FB60E5" w:rsidRDefault="00340424" w:rsidP="00FB60E5">
            <w:pPr>
              <w:ind w:left="0"/>
            </w:pPr>
            <w:r w:rsidRPr="00FB60E5">
              <w:t>Poly-drug use</w:t>
            </w:r>
          </w:p>
        </w:tc>
      </w:tr>
      <w:tr w:rsidR="00CA7A60" w:rsidRPr="00FB60E5" w14:paraId="38A46ADC"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D8" w14:textId="77777777" w:rsidR="00CA7A60" w:rsidRPr="009D5847" w:rsidRDefault="00CA7A60" w:rsidP="00FB60E5">
            <w:pPr>
              <w:ind w:left="0"/>
              <w:rPr>
                <w:b w:val="0"/>
              </w:rPr>
            </w:pPr>
            <w:r w:rsidRPr="009D5847">
              <w:rPr>
                <w:b w:val="0"/>
              </w:rPr>
              <w:t>Yes (n=10899; 43.2%)</w:t>
            </w:r>
          </w:p>
        </w:tc>
        <w:tc>
          <w:tcPr>
            <w:tcW w:w="755" w:type="pct"/>
            <w:noWrap/>
            <w:hideMark/>
          </w:tcPr>
          <w:p w14:paraId="38A46A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3071 (28.2%)</w:t>
            </w:r>
          </w:p>
        </w:tc>
        <w:tc>
          <w:tcPr>
            <w:tcW w:w="755" w:type="pct"/>
            <w:noWrap/>
            <w:hideMark/>
          </w:tcPr>
          <w:p w14:paraId="38A46A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2968 (27.2%)</w:t>
            </w:r>
          </w:p>
        </w:tc>
        <w:tc>
          <w:tcPr>
            <w:tcW w:w="755" w:type="pct"/>
            <w:noWrap/>
            <w:hideMark/>
          </w:tcPr>
          <w:p w14:paraId="38A46AD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2853 (26.2%)</w:t>
            </w:r>
          </w:p>
        </w:tc>
      </w:tr>
      <w:tr w:rsidR="00CA7A60" w:rsidRPr="00FB60E5" w14:paraId="38A46AE1"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DD" w14:textId="77777777" w:rsidR="00CA7A60" w:rsidRPr="009D5847" w:rsidRDefault="00CA7A60" w:rsidP="00FB60E5">
            <w:pPr>
              <w:ind w:left="0"/>
              <w:rPr>
                <w:b w:val="0"/>
              </w:rPr>
            </w:pPr>
            <w:r w:rsidRPr="009D5847">
              <w:rPr>
                <w:b w:val="0"/>
              </w:rPr>
              <w:t>No (n=9939; 39.4%)</w:t>
            </w:r>
          </w:p>
        </w:tc>
        <w:tc>
          <w:tcPr>
            <w:tcW w:w="755" w:type="pct"/>
            <w:noWrap/>
            <w:hideMark/>
          </w:tcPr>
          <w:p w14:paraId="38A46AD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2662 (26.8%)</w:t>
            </w:r>
          </w:p>
        </w:tc>
        <w:tc>
          <w:tcPr>
            <w:tcW w:w="755" w:type="pct"/>
            <w:noWrap/>
            <w:hideMark/>
          </w:tcPr>
          <w:p w14:paraId="38A46AD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2640 (26.6%)</w:t>
            </w:r>
          </w:p>
        </w:tc>
        <w:tc>
          <w:tcPr>
            <w:tcW w:w="755" w:type="pct"/>
            <w:noWrap/>
            <w:hideMark/>
          </w:tcPr>
          <w:p w14:paraId="38A46AE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2398 (24.1%)</w:t>
            </w:r>
          </w:p>
        </w:tc>
      </w:tr>
      <w:tr w:rsidR="00CA7A60" w:rsidRPr="00FB60E5" w14:paraId="38A46AE6"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E2" w14:textId="77777777" w:rsidR="00CA7A60" w:rsidRPr="009D5847" w:rsidRDefault="00CA7A60" w:rsidP="00FB60E5">
            <w:pPr>
              <w:ind w:left="0"/>
              <w:rPr>
                <w:b w:val="0"/>
              </w:rPr>
            </w:pPr>
            <w:r w:rsidRPr="009D5847">
              <w:rPr>
                <w:b w:val="0"/>
              </w:rPr>
              <w:t>Unknown (n=4391; 17.4%)</w:t>
            </w:r>
          </w:p>
        </w:tc>
        <w:tc>
          <w:tcPr>
            <w:tcW w:w="755" w:type="pct"/>
            <w:noWrap/>
            <w:hideMark/>
          </w:tcPr>
          <w:p w14:paraId="38A46AE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1157 (26.3%)</w:t>
            </w:r>
          </w:p>
        </w:tc>
        <w:tc>
          <w:tcPr>
            <w:tcW w:w="755" w:type="pct"/>
            <w:noWrap/>
            <w:hideMark/>
          </w:tcPr>
          <w:p w14:paraId="38A46AE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1134 (25.8%)</w:t>
            </w:r>
          </w:p>
        </w:tc>
        <w:tc>
          <w:tcPr>
            <w:tcW w:w="755" w:type="pct"/>
            <w:noWrap/>
            <w:hideMark/>
          </w:tcPr>
          <w:p w14:paraId="38A46AE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1105 (25.2%)</w:t>
            </w:r>
          </w:p>
        </w:tc>
      </w:tr>
      <w:tr w:rsidR="00340424" w:rsidRPr="00FB60E5" w14:paraId="38A46AEB"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AEA" w14:textId="78493B95" w:rsidR="00340424" w:rsidRPr="00340424" w:rsidRDefault="00340424" w:rsidP="00FB60E5">
            <w:pPr>
              <w:ind w:left="0"/>
              <w:rPr>
                <w:b w:val="0"/>
                <w:bCs w:val="0"/>
              </w:rPr>
            </w:pPr>
            <w:r w:rsidRPr="00FB60E5">
              <w:t>Injecting drug use history</w:t>
            </w:r>
          </w:p>
        </w:tc>
      </w:tr>
      <w:tr w:rsidR="00CA7A60" w:rsidRPr="00FB60E5" w14:paraId="38A46AF0"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EC" w14:textId="77777777" w:rsidR="00CA7A60" w:rsidRPr="009D5847" w:rsidRDefault="00CA7A60" w:rsidP="00FB60E5">
            <w:pPr>
              <w:ind w:left="0"/>
              <w:rPr>
                <w:b w:val="0"/>
              </w:rPr>
            </w:pPr>
            <w:r w:rsidRPr="009D5847">
              <w:rPr>
                <w:b w:val="0"/>
              </w:rPr>
              <w:t>Never injected (n=12767; 50.6%)</w:t>
            </w:r>
          </w:p>
        </w:tc>
        <w:tc>
          <w:tcPr>
            <w:tcW w:w="755" w:type="pct"/>
            <w:noWrap/>
            <w:hideMark/>
          </w:tcPr>
          <w:p w14:paraId="38A46AE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3309 (25.9%)</w:t>
            </w:r>
          </w:p>
        </w:tc>
        <w:tc>
          <w:tcPr>
            <w:tcW w:w="755" w:type="pct"/>
            <w:noWrap/>
            <w:hideMark/>
          </w:tcPr>
          <w:p w14:paraId="38A46AE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3256 (25.5%)</w:t>
            </w:r>
          </w:p>
        </w:tc>
        <w:tc>
          <w:tcPr>
            <w:tcW w:w="755" w:type="pct"/>
            <w:noWrap/>
            <w:hideMark/>
          </w:tcPr>
          <w:p w14:paraId="38A46AE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3100 (24.3%)</w:t>
            </w:r>
          </w:p>
        </w:tc>
      </w:tr>
      <w:tr w:rsidR="00CA7A60" w:rsidRPr="00FB60E5" w14:paraId="38A46AF5"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F1" w14:textId="77777777" w:rsidR="00CA7A60" w:rsidRPr="009D5847" w:rsidRDefault="00CA7A60" w:rsidP="00FB60E5">
            <w:pPr>
              <w:ind w:left="0"/>
              <w:rPr>
                <w:b w:val="0"/>
              </w:rPr>
            </w:pPr>
            <w:r w:rsidRPr="009D5847">
              <w:rPr>
                <w:b w:val="0"/>
              </w:rPr>
              <w:t>Within past 12 months (n=5135; 20.4%)</w:t>
            </w:r>
          </w:p>
        </w:tc>
        <w:tc>
          <w:tcPr>
            <w:tcW w:w="755" w:type="pct"/>
            <w:noWrap/>
            <w:hideMark/>
          </w:tcPr>
          <w:p w14:paraId="38A46AF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1588 (30.9%)</w:t>
            </w:r>
          </w:p>
        </w:tc>
        <w:tc>
          <w:tcPr>
            <w:tcW w:w="755" w:type="pct"/>
            <w:noWrap/>
            <w:hideMark/>
          </w:tcPr>
          <w:p w14:paraId="38A46AF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1516 (29.5%)</w:t>
            </w:r>
          </w:p>
        </w:tc>
        <w:tc>
          <w:tcPr>
            <w:tcW w:w="755" w:type="pct"/>
            <w:noWrap/>
            <w:hideMark/>
          </w:tcPr>
          <w:p w14:paraId="38A46AF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1409 (27.4%)</w:t>
            </w:r>
          </w:p>
        </w:tc>
      </w:tr>
      <w:tr w:rsidR="00CA7A60" w:rsidRPr="00FB60E5" w14:paraId="38A46AFA" w14:textId="77777777" w:rsidTr="0034042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F6" w14:textId="77777777" w:rsidR="00CA7A60" w:rsidRPr="009D5847" w:rsidRDefault="00CA7A60" w:rsidP="00FB60E5">
            <w:pPr>
              <w:ind w:left="0"/>
              <w:rPr>
                <w:b w:val="0"/>
              </w:rPr>
            </w:pPr>
            <w:r w:rsidRPr="009D5847">
              <w:rPr>
                <w:b w:val="0"/>
              </w:rPr>
              <w:t>Over 12 months ago (n=2664; 10.6%)</w:t>
            </w:r>
          </w:p>
        </w:tc>
        <w:tc>
          <w:tcPr>
            <w:tcW w:w="755" w:type="pct"/>
            <w:noWrap/>
            <w:hideMark/>
          </w:tcPr>
          <w:p w14:paraId="38A46AF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743 (27.9%)</w:t>
            </w:r>
          </w:p>
        </w:tc>
        <w:tc>
          <w:tcPr>
            <w:tcW w:w="755" w:type="pct"/>
            <w:noWrap/>
            <w:hideMark/>
          </w:tcPr>
          <w:p w14:paraId="38A46AF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728 (27.3%)</w:t>
            </w:r>
          </w:p>
        </w:tc>
        <w:tc>
          <w:tcPr>
            <w:tcW w:w="755" w:type="pct"/>
            <w:noWrap/>
            <w:hideMark/>
          </w:tcPr>
          <w:p w14:paraId="38A46AF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710 (26.7%)</w:t>
            </w:r>
          </w:p>
        </w:tc>
      </w:tr>
      <w:tr w:rsidR="00CA7A60" w:rsidRPr="00FB60E5" w14:paraId="38A46AFF" w14:textId="77777777" w:rsidTr="00340424">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6AFB" w14:textId="77777777" w:rsidR="00CA7A60" w:rsidRPr="009D5847" w:rsidRDefault="00CA7A60" w:rsidP="00FB60E5">
            <w:pPr>
              <w:ind w:left="0"/>
              <w:rPr>
                <w:b w:val="0"/>
              </w:rPr>
            </w:pPr>
            <w:r w:rsidRPr="009D5847">
              <w:rPr>
                <w:b w:val="0"/>
              </w:rPr>
              <w:t>Unknown (n=4663; 18.5%)</w:t>
            </w:r>
          </w:p>
        </w:tc>
        <w:tc>
          <w:tcPr>
            <w:tcW w:w="755" w:type="pct"/>
            <w:noWrap/>
            <w:hideMark/>
          </w:tcPr>
          <w:p w14:paraId="38A46AF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1250 (26.8%)</w:t>
            </w:r>
          </w:p>
        </w:tc>
        <w:tc>
          <w:tcPr>
            <w:tcW w:w="755" w:type="pct"/>
            <w:noWrap/>
            <w:hideMark/>
          </w:tcPr>
          <w:p w14:paraId="38A46AF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1242 (26.6%)</w:t>
            </w:r>
          </w:p>
        </w:tc>
        <w:tc>
          <w:tcPr>
            <w:tcW w:w="755" w:type="pct"/>
            <w:noWrap/>
            <w:hideMark/>
          </w:tcPr>
          <w:p w14:paraId="38A46AF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1137 (24.4%)</w:t>
            </w:r>
          </w:p>
        </w:tc>
      </w:tr>
    </w:tbl>
    <w:p w14:paraId="7D1912D5" w14:textId="5237E587" w:rsidR="002C27A8" w:rsidRDefault="009A63CC" w:rsidP="00FB60E5">
      <w:pPr>
        <w:ind w:left="0"/>
      </w:pPr>
      <w:fldSimple w:instr=" REF _Ref386640374  \* MERGEFORMAT ">
        <w:r w:rsidR="00E150CA" w:rsidRPr="00FB60E5">
          <w:t>Table 4.8</w:t>
        </w:r>
      </w:fldSimple>
      <w:r w:rsidR="00CA7A60" w:rsidRPr="00FB60E5">
        <w:t xml:space="preserve"> shows the overall median number of ED presentations and length of ED stay for AOD clients by year. There was no change over time, with one presentation pre- and post-</w:t>
      </w:r>
      <w:r w:rsidR="00CA7A60" w:rsidRPr="00FB60E5">
        <w:lastRenderedPageBreak/>
        <w:t xml:space="preserve">treatment. Refer to </w:t>
      </w:r>
      <w:r w:rsidR="001B3CBD">
        <w:fldChar w:fldCharType="begin"/>
      </w:r>
      <w:r w:rsidR="001B3CBD">
        <w:instrText xml:space="preserve"> REF _Ref531192228 \h </w:instrText>
      </w:r>
      <w:r w:rsidR="001B3CBD">
        <w:fldChar w:fldCharType="separate"/>
      </w:r>
      <w:r w:rsidR="001B3CBD">
        <w:t xml:space="preserve">Table </w:t>
      </w:r>
      <w:r w:rsidR="001B3CBD">
        <w:rPr>
          <w:noProof/>
        </w:rPr>
        <w:t>3</w:t>
      </w:r>
      <w:r w:rsidR="001B3CBD">
        <w:t>.</w:t>
      </w:r>
      <w:r w:rsidR="001B3CBD">
        <w:rPr>
          <w:noProof/>
        </w:rPr>
        <w:t>1</w:t>
      </w:r>
      <w:r w:rsidR="001B3CBD">
        <w:fldChar w:fldCharType="end"/>
      </w:r>
      <w:r w:rsidR="00574C59" w:rsidRPr="00FB60E5">
        <w:t xml:space="preserve"> </w:t>
      </w:r>
      <w:r w:rsidR="00CA7A60" w:rsidRPr="00FB60E5">
        <w:t xml:space="preserve">to </w:t>
      </w:r>
      <w:r w:rsidR="001B3CBD">
        <w:fldChar w:fldCharType="begin"/>
      </w:r>
      <w:r w:rsidR="001B3CBD">
        <w:instrText xml:space="preserve"> REF _Ref531624175 \h </w:instrText>
      </w:r>
      <w:r w:rsidR="001B3CBD">
        <w:fldChar w:fldCharType="separate"/>
      </w:r>
      <w:r w:rsidR="001B3CBD">
        <w:t xml:space="preserve">Table </w:t>
      </w:r>
      <w:r w:rsidR="001B3CBD">
        <w:rPr>
          <w:noProof/>
        </w:rPr>
        <w:t>3</w:t>
      </w:r>
      <w:r w:rsidR="001B3CBD">
        <w:t>.</w:t>
      </w:r>
      <w:r w:rsidR="001B3CBD">
        <w:rPr>
          <w:noProof/>
        </w:rPr>
        <w:t>7</w:t>
      </w:r>
      <w:r w:rsidR="001B3CBD">
        <w:fldChar w:fldCharType="end"/>
      </w:r>
      <w:r w:rsidR="00CA7A60" w:rsidRPr="00FB60E5">
        <w:t xml:space="preserve"> in the Appendix </w:t>
      </w:r>
      <w:r w:rsidR="00574C59" w:rsidRPr="00FB60E5">
        <w:t>3.2</w:t>
      </w:r>
      <w:r w:rsidR="00CA7A60" w:rsidRPr="00FB60E5">
        <w:t xml:space="preserve"> for supplementary tables for breakdowns for client characteristics, service type and drug characteristics</w:t>
      </w:r>
      <w:r w:rsidR="002C27A8">
        <w:t>.</w:t>
      </w:r>
    </w:p>
    <w:p w14:paraId="38A46B02" w14:textId="5F513584" w:rsidR="00CA7A60" w:rsidRPr="00FB60E5" w:rsidRDefault="00CA7A60" w:rsidP="00552239">
      <w:pPr>
        <w:pStyle w:val="Caption"/>
      </w:pPr>
      <w:bookmarkStart w:id="247" w:name="_Ref386640374"/>
      <w:bookmarkStart w:id="248" w:name="_Toc387244632"/>
      <w:bookmarkStart w:id="249" w:name="_Toc531625805"/>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proofErr w:type="gramStart"/>
      <w:r w:rsidR="00552239">
        <w:rPr>
          <w:noProof/>
        </w:rPr>
        <w:t>8</w:t>
      </w:r>
      <w:r w:rsidR="00552239">
        <w:fldChar w:fldCharType="end"/>
      </w:r>
      <w:bookmarkEnd w:id="247"/>
      <w:r w:rsidR="002C27A8">
        <w:t xml:space="preserve"> </w:t>
      </w:r>
      <w:r w:rsidRPr="00FB60E5">
        <w:t>Median number</w:t>
      </w:r>
      <w:proofErr w:type="gramEnd"/>
      <w:r w:rsidRPr="00FB60E5">
        <w:t xml:space="preserve"> of ED presentations and median hours of ED stay for 2010/11 AOD clients, 2009/10 to 2011/12</w:t>
      </w:r>
      <w:bookmarkEnd w:id="248"/>
      <w:bookmarkEnd w:id="249"/>
    </w:p>
    <w:tbl>
      <w:tblPr>
        <w:tblStyle w:val="LightList-Accent1"/>
        <w:tblW w:w="0" w:type="auto"/>
        <w:tblLook w:val="04A0" w:firstRow="1" w:lastRow="0" w:firstColumn="1" w:lastColumn="0" w:noHBand="0" w:noVBand="1"/>
        <w:tblDescription w:val="Table 4.8 is a list of median number of ED presentations and median hours of ED stay for 2010/11 AOD clients, 2009/10 to 2011/12"/>
      </w:tblPr>
      <w:tblGrid>
        <w:gridCol w:w="4395"/>
        <w:gridCol w:w="1573"/>
        <w:gridCol w:w="1637"/>
        <w:gridCol w:w="1637"/>
      </w:tblGrid>
      <w:tr w:rsidR="00CA7A60" w:rsidRPr="00FB60E5" w14:paraId="38A46B07" w14:textId="77777777" w:rsidTr="00DB0399">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4395" w:type="dxa"/>
            <w:noWrap/>
            <w:hideMark/>
          </w:tcPr>
          <w:p w14:paraId="38A46B03" w14:textId="77777777" w:rsidR="00CA7A60" w:rsidRPr="00FB60E5" w:rsidRDefault="00CA7A60" w:rsidP="00FB60E5">
            <w:pPr>
              <w:ind w:left="0"/>
            </w:pPr>
            <w:r w:rsidRPr="00FB60E5">
              <w:t> </w:t>
            </w:r>
          </w:p>
        </w:tc>
        <w:tc>
          <w:tcPr>
            <w:tcW w:w="1573" w:type="dxa"/>
            <w:hideMark/>
          </w:tcPr>
          <w:p w14:paraId="38A46B04" w14:textId="5CBF44D2"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(N=6890)</w:t>
            </w:r>
          </w:p>
        </w:tc>
        <w:tc>
          <w:tcPr>
            <w:tcW w:w="0" w:type="auto"/>
            <w:hideMark/>
          </w:tcPr>
          <w:p w14:paraId="38A46B05" w14:textId="5D18E213"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(N=6742)</w:t>
            </w:r>
          </w:p>
        </w:tc>
        <w:tc>
          <w:tcPr>
            <w:tcW w:w="0" w:type="auto"/>
            <w:hideMark/>
          </w:tcPr>
          <w:p w14:paraId="38A46B06" w14:textId="12EAF07D"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(N=6356)</w:t>
            </w:r>
          </w:p>
        </w:tc>
      </w:tr>
      <w:tr w:rsidR="00CA7A60" w:rsidRPr="00FB60E5" w14:paraId="38A46B0C" w14:textId="77777777" w:rsidTr="0034042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5" w:type="dxa"/>
            <w:hideMark/>
          </w:tcPr>
          <w:p w14:paraId="38A46B08" w14:textId="77777777" w:rsidR="00CA7A60" w:rsidRPr="009D5847" w:rsidRDefault="00CA7A60" w:rsidP="00FB60E5">
            <w:pPr>
              <w:ind w:left="0"/>
              <w:rPr>
                <w:b w:val="0"/>
              </w:rPr>
            </w:pPr>
            <w:r w:rsidRPr="009D5847">
              <w:rPr>
                <w:b w:val="0"/>
              </w:rPr>
              <w:t>Median number of ED presentations (interquartile range)</w:t>
            </w:r>
          </w:p>
        </w:tc>
        <w:tc>
          <w:tcPr>
            <w:tcW w:w="1573" w:type="dxa"/>
            <w:noWrap/>
            <w:hideMark/>
          </w:tcPr>
          <w:p w14:paraId="38A46B0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 (1,3)</w:t>
            </w:r>
          </w:p>
        </w:tc>
        <w:tc>
          <w:tcPr>
            <w:tcW w:w="0" w:type="auto"/>
            <w:noWrap/>
            <w:hideMark/>
          </w:tcPr>
          <w:p w14:paraId="38A46B0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 (1,3)</w:t>
            </w:r>
          </w:p>
        </w:tc>
        <w:tc>
          <w:tcPr>
            <w:tcW w:w="0" w:type="auto"/>
            <w:noWrap/>
            <w:hideMark/>
          </w:tcPr>
          <w:p w14:paraId="38A46B0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 (1,3)</w:t>
            </w:r>
          </w:p>
        </w:tc>
      </w:tr>
      <w:tr w:rsidR="00CA7A60" w:rsidRPr="00FB60E5" w14:paraId="38A46B12" w14:textId="77777777" w:rsidTr="00340424">
        <w:trPr>
          <w:trHeight w:val="585"/>
        </w:trPr>
        <w:tc>
          <w:tcPr>
            <w:cnfStyle w:val="001000000000" w:firstRow="0" w:lastRow="0" w:firstColumn="1" w:lastColumn="0" w:oddVBand="0" w:evenVBand="0" w:oddHBand="0" w:evenHBand="0" w:firstRowFirstColumn="0" w:firstRowLastColumn="0" w:lastRowFirstColumn="0" w:lastRowLastColumn="0"/>
            <w:tcW w:w="4395" w:type="dxa"/>
            <w:hideMark/>
          </w:tcPr>
          <w:p w14:paraId="344246B5" w14:textId="77777777" w:rsidR="00BB0E5E" w:rsidRDefault="00CA7A60" w:rsidP="00FB60E5">
            <w:pPr>
              <w:ind w:left="0"/>
              <w:rPr>
                <w:b w:val="0"/>
              </w:rPr>
            </w:pPr>
            <w:r w:rsidRPr="009D5847">
              <w:rPr>
                <w:b w:val="0"/>
              </w:rPr>
              <w:t>Median hours of ED stay</w:t>
            </w:r>
          </w:p>
          <w:p w14:paraId="38A46B0E" w14:textId="63E3C67B" w:rsidR="00CA7A60" w:rsidRPr="009D5847" w:rsidRDefault="00CA7A60" w:rsidP="00FB60E5">
            <w:pPr>
              <w:ind w:left="0"/>
              <w:rPr>
                <w:b w:val="0"/>
              </w:rPr>
            </w:pPr>
            <w:r w:rsidRPr="009D5847">
              <w:rPr>
                <w:b w:val="0"/>
              </w:rPr>
              <w:t>(interquartile range)</w:t>
            </w:r>
          </w:p>
        </w:tc>
        <w:tc>
          <w:tcPr>
            <w:tcW w:w="1573" w:type="dxa"/>
            <w:noWrap/>
            <w:hideMark/>
          </w:tcPr>
          <w:p w14:paraId="38A46B0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 (2.0, 5.2)</w:t>
            </w:r>
          </w:p>
        </w:tc>
        <w:tc>
          <w:tcPr>
            <w:tcW w:w="0" w:type="auto"/>
            <w:noWrap/>
            <w:hideMark/>
          </w:tcPr>
          <w:p w14:paraId="38A46B1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 (2.0, 5.5)</w:t>
            </w:r>
          </w:p>
        </w:tc>
        <w:tc>
          <w:tcPr>
            <w:tcW w:w="0" w:type="auto"/>
            <w:noWrap/>
            <w:hideMark/>
          </w:tcPr>
          <w:p w14:paraId="38A46B1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 (2.1, 5.3)</w:t>
            </w:r>
          </w:p>
        </w:tc>
      </w:tr>
    </w:tbl>
    <w:p w14:paraId="38A46B14" w14:textId="146E137E" w:rsidR="00CA7A60" w:rsidRPr="00FB60E5" w:rsidRDefault="001B3CBD" w:rsidP="00FB60E5">
      <w:pPr>
        <w:ind w:left="0"/>
      </w:pPr>
      <w:r>
        <w:fldChar w:fldCharType="begin"/>
      </w:r>
      <w:r>
        <w:instrText xml:space="preserve"> REF _Ref386641998 \h </w:instrText>
      </w:r>
      <w:r>
        <w:fldChar w:fldCharType="separate"/>
      </w:r>
      <w:r w:rsidRPr="00FB60E5">
        <w:t xml:space="preserve">Table </w:t>
      </w:r>
      <w:r>
        <w:rPr>
          <w:noProof/>
        </w:rPr>
        <w:t>4</w:t>
      </w:r>
      <w:r>
        <w:t>.</w:t>
      </w:r>
      <w:r>
        <w:rPr>
          <w:noProof/>
        </w:rPr>
        <w:t>9</w:t>
      </w:r>
      <w:r>
        <w:fldChar w:fldCharType="end"/>
      </w:r>
      <w:r w:rsidR="00CA7A60" w:rsidRPr="00FB60E5">
        <w:t xml:space="preserve"> shows the proportions of AOD clients diagnosed in the ED with an acute alcohol-related presentation by treatment characteristic and primary drug of concern. Overall, there was a decrease in the proportion of clients who presented to ED with an acute alcohol-related condition between the year prior to AOD treatment and the year following AOD treatment. While there was a decrease in acute alcohol-related ED presentations for clients who had completed their AOD treatment episode at the time of treatment termination, there was no reduction in such presentations for clients whose AOD treatment was not successfully completed at termination of treatment.</w:t>
      </w:r>
    </w:p>
    <w:p w14:paraId="38A46B15" w14:textId="7B00004E" w:rsidR="00CA7A60" w:rsidRPr="00FB60E5" w:rsidRDefault="00CA7A60" w:rsidP="00552239">
      <w:pPr>
        <w:pStyle w:val="Caption"/>
      </w:pPr>
      <w:bookmarkStart w:id="250" w:name="_Ref386641998"/>
      <w:bookmarkStart w:id="251" w:name="_Toc387244633"/>
      <w:bookmarkStart w:id="252" w:name="_Toc531625806"/>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9</w:t>
      </w:r>
      <w:r w:rsidR="00552239">
        <w:fldChar w:fldCharType="end"/>
      </w:r>
      <w:bookmarkEnd w:id="250"/>
      <w:r w:rsidR="002C27A8">
        <w:t xml:space="preserve"> </w:t>
      </w:r>
      <w:r w:rsidRPr="00FB60E5">
        <w:t xml:space="preserve">ED presentations for alcohol-related acute conditions by AOD </w:t>
      </w:r>
      <w:r w:rsidR="00727B57" w:rsidRPr="00FB60E5">
        <w:t>treatment</w:t>
      </w:r>
      <w:r w:rsidRPr="00FB60E5">
        <w:t xml:space="preserve"> type, primary drug of concern and treatment termination status, 2009/10, 2010/11 and 2011/12</w:t>
      </w:r>
      <w:bookmarkEnd w:id="251"/>
      <w:bookmarkEnd w:id="252"/>
    </w:p>
    <w:tbl>
      <w:tblPr>
        <w:tblStyle w:val="LightList-Accent1"/>
        <w:tblW w:w="5000" w:type="pct"/>
        <w:tblLook w:val="04A0" w:firstRow="1" w:lastRow="0" w:firstColumn="1" w:lastColumn="0" w:noHBand="0" w:noVBand="1"/>
        <w:tblDescription w:val="Table 4.9 is a list of ED presentations for alcohol-related acute conditions by AOD treatment type, primary drug of concern and treatment termination status, 2009/10, 2010/11 and 2011/12"/>
      </w:tblPr>
      <w:tblGrid>
        <w:gridCol w:w="5109"/>
        <w:gridCol w:w="1379"/>
        <w:gridCol w:w="1379"/>
        <w:gridCol w:w="1375"/>
      </w:tblGrid>
      <w:tr w:rsidR="00CA7A60" w:rsidRPr="00FB60E5" w14:paraId="38A46B18"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val="restart"/>
            <w:noWrap/>
            <w:hideMark/>
          </w:tcPr>
          <w:p w14:paraId="38A46B16" w14:textId="77777777" w:rsidR="00CA7A60" w:rsidRPr="00FB60E5" w:rsidRDefault="00CA7A60" w:rsidP="00FB60E5">
            <w:pPr>
              <w:ind w:left="0"/>
            </w:pPr>
            <w:r w:rsidRPr="00FB60E5">
              <w:t> </w:t>
            </w:r>
          </w:p>
        </w:tc>
        <w:tc>
          <w:tcPr>
            <w:tcW w:w="2236" w:type="pct"/>
            <w:gridSpan w:val="3"/>
            <w:noWrap/>
            <w:hideMark/>
          </w:tcPr>
          <w:p w14:paraId="38A46B1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Alcohol-related acute conditions</w:t>
            </w:r>
          </w:p>
        </w:tc>
      </w:tr>
      <w:tr w:rsidR="00CA7A60" w:rsidRPr="00FB60E5" w14:paraId="38A46B1D"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hideMark/>
          </w:tcPr>
          <w:p w14:paraId="38A46B19" w14:textId="77777777" w:rsidR="00CA7A60" w:rsidRPr="00FB60E5" w:rsidRDefault="00CA7A60" w:rsidP="00FB60E5">
            <w:pPr>
              <w:ind w:left="0"/>
            </w:pPr>
          </w:p>
        </w:tc>
        <w:tc>
          <w:tcPr>
            <w:tcW w:w="746" w:type="pct"/>
            <w:hideMark/>
          </w:tcPr>
          <w:p w14:paraId="38A46B1A"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46" w:type="pct"/>
            <w:hideMark/>
          </w:tcPr>
          <w:p w14:paraId="38A46B1B"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44" w:type="pct"/>
            <w:hideMark/>
          </w:tcPr>
          <w:p w14:paraId="38A46B1C"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B22"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1E" w14:textId="77777777" w:rsidR="00CA7A60" w:rsidRPr="009D5847" w:rsidRDefault="00CA7A60" w:rsidP="00FB60E5">
            <w:pPr>
              <w:ind w:left="0"/>
              <w:rPr>
                <w:b w:val="0"/>
              </w:rPr>
            </w:pPr>
            <w:r w:rsidRPr="009D5847">
              <w:rPr>
                <w:b w:val="0"/>
              </w:rPr>
              <w:t>Total (n=25229)</w:t>
            </w:r>
          </w:p>
        </w:tc>
        <w:tc>
          <w:tcPr>
            <w:tcW w:w="746" w:type="pct"/>
            <w:hideMark/>
          </w:tcPr>
          <w:p w14:paraId="38A46B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518 (2.1%)</w:t>
            </w:r>
          </w:p>
        </w:tc>
        <w:tc>
          <w:tcPr>
            <w:tcW w:w="746" w:type="pct"/>
            <w:hideMark/>
          </w:tcPr>
          <w:p w14:paraId="38A46B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604 (2.4%)</w:t>
            </w:r>
          </w:p>
        </w:tc>
        <w:tc>
          <w:tcPr>
            <w:tcW w:w="744" w:type="pct"/>
            <w:hideMark/>
          </w:tcPr>
          <w:p w14:paraId="38A46B2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470 (1.9%)</w:t>
            </w:r>
          </w:p>
        </w:tc>
      </w:tr>
      <w:tr w:rsidR="00042CE9" w:rsidRPr="00FB60E5" w14:paraId="38A46B27"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B26" w14:textId="0C9FE954" w:rsidR="00042CE9" w:rsidRPr="00FB60E5" w:rsidRDefault="00042CE9" w:rsidP="00FB60E5">
            <w:pPr>
              <w:ind w:left="0"/>
            </w:pPr>
            <w:r w:rsidRPr="00FB60E5">
              <w:t>Treatment type</w:t>
            </w:r>
          </w:p>
        </w:tc>
      </w:tr>
      <w:tr w:rsidR="00CA7A60" w:rsidRPr="00FB60E5" w14:paraId="38A46B2C"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28" w14:textId="77777777" w:rsidR="00CA7A60" w:rsidRPr="009D5847" w:rsidRDefault="00CA7A60" w:rsidP="00FB60E5">
            <w:pPr>
              <w:ind w:left="0"/>
              <w:rPr>
                <w:b w:val="0"/>
              </w:rPr>
            </w:pPr>
            <w:r w:rsidRPr="009D5847">
              <w:rPr>
                <w:b w:val="0"/>
              </w:rPr>
              <w:t>Counselling (n=11919; 47.2%)</w:t>
            </w:r>
          </w:p>
        </w:tc>
        <w:tc>
          <w:tcPr>
            <w:tcW w:w="746" w:type="pct"/>
            <w:hideMark/>
          </w:tcPr>
          <w:p w14:paraId="38A46B2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213 (1.8%)</w:t>
            </w:r>
          </w:p>
        </w:tc>
        <w:tc>
          <w:tcPr>
            <w:tcW w:w="746" w:type="pct"/>
            <w:hideMark/>
          </w:tcPr>
          <w:p w14:paraId="38A46B2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244 (2.0%)</w:t>
            </w:r>
          </w:p>
        </w:tc>
        <w:tc>
          <w:tcPr>
            <w:tcW w:w="744" w:type="pct"/>
            <w:hideMark/>
          </w:tcPr>
          <w:p w14:paraId="38A46B2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200 (1.7%)</w:t>
            </w:r>
          </w:p>
        </w:tc>
      </w:tr>
      <w:tr w:rsidR="00CA7A60" w:rsidRPr="00FB60E5" w14:paraId="38A46B31"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2D" w14:textId="77777777" w:rsidR="00CA7A60" w:rsidRPr="009D5847" w:rsidRDefault="00CA7A60" w:rsidP="00FB60E5">
            <w:pPr>
              <w:ind w:left="0"/>
              <w:rPr>
                <w:b w:val="0"/>
              </w:rPr>
            </w:pPr>
            <w:r w:rsidRPr="009D5847">
              <w:rPr>
                <w:b w:val="0"/>
              </w:rPr>
              <w:t>Residential withdrawal (n=1962; 7.8%)</w:t>
            </w:r>
          </w:p>
        </w:tc>
        <w:tc>
          <w:tcPr>
            <w:tcW w:w="746" w:type="pct"/>
            <w:hideMark/>
          </w:tcPr>
          <w:p w14:paraId="38A46B2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116 (5.9%)</w:t>
            </w:r>
          </w:p>
        </w:tc>
        <w:tc>
          <w:tcPr>
            <w:tcW w:w="746" w:type="pct"/>
            <w:hideMark/>
          </w:tcPr>
          <w:p w14:paraId="38A46B2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143 (7.3%)</w:t>
            </w:r>
          </w:p>
        </w:tc>
        <w:tc>
          <w:tcPr>
            <w:tcW w:w="744" w:type="pct"/>
            <w:hideMark/>
          </w:tcPr>
          <w:p w14:paraId="38A46B3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95 (4.8%)</w:t>
            </w:r>
          </w:p>
        </w:tc>
      </w:tr>
      <w:tr w:rsidR="00CA7A60" w:rsidRPr="00FB60E5" w14:paraId="38A46B3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32" w14:textId="77777777" w:rsidR="00CA7A60" w:rsidRPr="009D5847" w:rsidRDefault="00CA7A60" w:rsidP="00FB60E5">
            <w:pPr>
              <w:ind w:left="0"/>
              <w:rPr>
                <w:b w:val="0"/>
              </w:rPr>
            </w:pPr>
            <w:r w:rsidRPr="009D5847">
              <w:rPr>
                <w:b w:val="0"/>
              </w:rPr>
              <w:t>Other withdrawal (n=2582; 10.2%)</w:t>
            </w:r>
          </w:p>
        </w:tc>
        <w:tc>
          <w:tcPr>
            <w:tcW w:w="746" w:type="pct"/>
            <w:hideMark/>
          </w:tcPr>
          <w:p w14:paraId="38A46B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 (1.8%)</w:t>
            </w:r>
          </w:p>
        </w:tc>
        <w:tc>
          <w:tcPr>
            <w:tcW w:w="746" w:type="pct"/>
            <w:hideMark/>
          </w:tcPr>
          <w:p w14:paraId="38A46B3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80 (3.1%)</w:t>
            </w:r>
          </w:p>
        </w:tc>
        <w:tc>
          <w:tcPr>
            <w:tcW w:w="744" w:type="pct"/>
            <w:hideMark/>
          </w:tcPr>
          <w:p w14:paraId="38A46B3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64 (2.5%)</w:t>
            </w:r>
          </w:p>
        </w:tc>
      </w:tr>
      <w:tr w:rsidR="00CA7A60" w:rsidRPr="00FB60E5" w14:paraId="38A46B3B"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37" w14:textId="77777777" w:rsidR="00CA7A60" w:rsidRPr="009D5847" w:rsidRDefault="00CA7A60" w:rsidP="00FB60E5">
            <w:pPr>
              <w:ind w:left="0"/>
              <w:rPr>
                <w:b w:val="0"/>
              </w:rPr>
            </w:pPr>
            <w:r w:rsidRPr="009D5847">
              <w:rPr>
                <w:b w:val="0"/>
              </w:rPr>
              <w:t>Outreach (n=2368; 9.4%)</w:t>
            </w:r>
          </w:p>
        </w:tc>
        <w:tc>
          <w:tcPr>
            <w:tcW w:w="746" w:type="pct"/>
            <w:hideMark/>
          </w:tcPr>
          <w:p w14:paraId="38A46B3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 (1.6%)</w:t>
            </w:r>
          </w:p>
        </w:tc>
        <w:tc>
          <w:tcPr>
            <w:tcW w:w="746" w:type="pct"/>
            <w:hideMark/>
          </w:tcPr>
          <w:p w14:paraId="38A46B3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 (1.6%)</w:t>
            </w:r>
          </w:p>
        </w:tc>
        <w:tc>
          <w:tcPr>
            <w:tcW w:w="744" w:type="pct"/>
            <w:hideMark/>
          </w:tcPr>
          <w:p w14:paraId="38A46B3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 (1.0%)</w:t>
            </w:r>
          </w:p>
        </w:tc>
      </w:tr>
      <w:tr w:rsidR="00CA7A60" w:rsidRPr="00FB60E5" w14:paraId="38A46B40"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3C" w14:textId="77777777" w:rsidR="00CA7A60" w:rsidRPr="009D5847" w:rsidRDefault="00CA7A60" w:rsidP="00FB60E5">
            <w:pPr>
              <w:ind w:left="0"/>
              <w:rPr>
                <w:b w:val="0"/>
              </w:rPr>
            </w:pPr>
            <w:r w:rsidRPr="009D5847">
              <w:rPr>
                <w:b w:val="0"/>
              </w:rPr>
              <w:t>Brokerage (n=3904; 15.5%)</w:t>
            </w:r>
          </w:p>
        </w:tc>
        <w:tc>
          <w:tcPr>
            <w:tcW w:w="746" w:type="pct"/>
            <w:hideMark/>
          </w:tcPr>
          <w:p w14:paraId="38A46B3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 (1.4%)</w:t>
            </w:r>
          </w:p>
        </w:tc>
        <w:tc>
          <w:tcPr>
            <w:tcW w:w="746" w:type="pct"/>
            <w:hideMark/>
          </w:tcPr>
          <w:p w14:paraId="38A46B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 (1.1%)</w:t>
            </w:r>
          </w:p>
        </w:tc>
        <w:tc>
          <w:tcPr>
            <w:tcW w:w="744" w:type="pct"/>
            <w:hideMark/>
          </w:tcPr>
          <w:p w14:paraId="38A46B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 (1.1%)</w:t>
            </w:r>
          </w:p>
        </w:tc>
      </w:tr>
      <w:tr w:rsidR="00CA7A60" w:rsidRPr="00FB60E5" w14:paraId="38A46B45"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41" w14:textId="77777777" w:rsidR="00CA7A60" w:rsidRPr="009D5847" w:rsidRDefault="00CA7A60" w:rsidP="00FB60E5">
            <w:pPr>
              <w:ind w:left="0"/>
              <w:rPr>
                <w:b w:val="0"/>
              </w:rPr>
            </w:pPr>
            <w:r w:rsidRPr="009D5847">
              <w:rPr>
                <w:b w:val="0"/>
              </w:rPr>
              <w:t>Aboriginal services (n=733; 2.9%)</w:t>
            </w:r>
          </w:p>
        </w:tc>
        <w:tc>
          <w:tcPr>
            <w:tcW w:w="746" w:type="pct"/>
            <w:hideMark/>
          </w:tcPr>
          <w:p w14:paraId="38A46B4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(1.2%)</w:t>
            </w:r>
          </w:p>
        </w:tc>
        <w:tc>
          <w:tcPr>
            <w:tcW w:w="746" w:type="pct"/>
            <w:hideMark/>
          </w:tcPr>
          <w:p w14:paraId="38A46B4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 (1.9%)</w:t>
            </w:r>
          </w:p>
        </w:tc>
        <w:tc>
          <w:tcPr>
            <w:tcW w:w="744" w:type="pct"/>
            <w:hideMark/>
          </w:tcPr>
          <w:p w14:paraId="38A46B4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 (1.1%)</w:t>
            </w:r>
          </w:p>
        </w:tc>
      </w:tr>
      <w:tr w:rsidR="00CA7A60" w:rsidRPr="00FB60E5" w14:paraId="38A46B4A"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46" w14:textId="77777777" w:rsidR="00CA7A60" w:rsidRPr="009D5847" w:rsidRDefault="00CA7A60" w:rsidP="00FB60E5">
            <w:pPr>
              <w:ind w:left="0"/>
              <w:rPr>
                <w:b w:val="0"/>
              </w:rPr>
            </w:pPr>
            <w:r w:rsidRPr="009D5847">
              <w:rPr>
                <w:b w:val="0"/>
              </w:rPr>
              <w:t>Specialist pharmacotherapy (n=401; 1.6%)</w:t>
            </w:r>
          </w:p>
        </w:tc>
        <w:tc>
          <w:tcPr>
            <w:tcW w:w="746" w:type="pct"/>
            <w:hideMark/>
          </w:tcPr>
          <w:p w14:paraId="38A46B4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6" w:type="pct"/>
            <w:hideMark/>
          </w:tcPr>
          <w:p w14:paraId="38A46B4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(1.2%)</w:t>
            </w:r>
          </w:p>
        </w:tc>
        <w:tc>
          <w:tcPr>
            <w:tcW w:w="744" w:type="pct"/>
            <w:hideMark/>
          </w:tcPr>
          <w:p w14:paraId="38A46B4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6B4F"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4B" w14:textId="77777777" w:rsidR="00CA7A60" w:rsidRPr="009D5847" w:rsidRDefault="00CA7A60" w:rsidP="00FB60E5">
            <w:pPr>
              <w:ind w:left="0"/>
              <w:rPr>
                <w:b w:val="0"/>
              </w:rPr>
            </w:pPr>
            <w:r w:rsidRPr="009D5847">
              <w:rPr>
                <w:b w:val="0"/>
              </w:rPr>
              <w:t>Residential rehabilitation (n=176; 0.7%)</w:t>
            </w:r>
          </w:p>
        </w:tc>
        <w:tc>
          <w:tcPr>
            <w:tcW w:w="746" w:type="pct"/>
            <w:hideMark/>
          </w:tcPr>
          <w:p w14:paraId="38A46B4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(2.8%)</w:t>
            </w:r>
          </w:p>
        </w:tc>
        <w:tc>
          <w:tcPr>
            <w:tcW w:w="746" w:type="pct"/>
            <w:hideMark/>
          </w:tcPr>
          <w:p w14:paraId="38A46B4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4" w:type="pct"/>
            <w:hideMark/>
          </w:tcPr>
          <w:p w14:paraId="38A46B4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(3.4%)</w:t>
            </w:r>
          </w:p>
        </w:tc>
      </w:tr>
      <w:tr w:rsidR="00CA7A60" w:rsidRPr="00FB60E5" w14:paraId="38A46B54"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50" w14:textId="77777777" w:rsidR="00CA7A60" w:rsidRPr="009D5847" w:rsidRDefault="00CA7A60" w:rsidP="00FB60E5">
            <w:pPr>
              <w:ind w:left="0"/>
              <w:rPr>
                <w:b w:val="0"/>
              </w:rPr>
            </w:pPr>
            <w:r w:rsidRPr="009D5847">
              <w:rPr>
                <w:b w:val="0"/>
              </w:rPr>
              <w:t>Supported accommodation (n=269; 1.1%)</w:t>
            </w:r>
          </w:p>
        </w:tc>
        <w:tc>
          <w:tcPr>
            <w:tcW w:w="746" w:type="pct"/>
            <w:hideMark/>
          </w:tcPr>
          <w:p w14:paraId="38A46B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(2.2%)</w:t>
            </w:r>
          </w:p>
        </w:tc>
        <w:tc>
          <w:tcPr>
            <w:tcW w:w="746" w:type="pct"/>
            <w:hideMark/>
          </w:tcPr>
          <w:p w14:paraId="38A46B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(3.0%)</w:t>
            </w:r>
          </w:p>
        </w:tc>
        <w:tc>
          <w:tcPr>
            <w:tcW w:w="744" w:type="pct"/>
            <w:hideMark/>
          </w:tcPr>
          <w:p w14:paraId="38A46B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(2.2%)</w:t>
            </w:r>
          </w:p>
        </w:tc>
      </w:tr>
      <w:tr w:rsidR="00CA7A60" w:rsidRPr="00FB60E5" w14:paraId="38A46B59"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55" w14:textId="77777777" w:rsidR="00CA7A60" w:rsidRPr="009D5847" w:rsidRDefault="00CA7A60" w:rsidP="00FB60E5">
            <w:pPr>
              <w:ind w:left="0"/>
              <w:rPr>
                <w:b w:val="0"/>
              </w:rPr>
            </w:pPr>
            <w:r w:rsidRPr="009D5847">
              <w:rPr>
                <w:b w:val="0"/>
              </w:rPr>
              <w:t>Post withdrawal linkage (n=256; 1.0%)</w:t>
            </w:r>
          </w:p>
        </w:tc>
        <w:tc>
          <w:tcPr>
            <w:tcW w:w="746" w:type="pct"/>
            <w:hideMark/>
          </w:tcPr>
          <w:p w14:paraId="38A46B5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(3.5%)</w:t>
            </w:r>
          </w:p>
        </w:tc>
        <w:tc>
          <w:tcPr>
            <w:tcW w:w="746" w:type="pct"/>
            <w:hideMark/>
          </w:tcPr>
          <w:p w14:paraId="38A46B5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(3.9%)</w:t>
            </w:r>
          </w:p>
        </w:tc>
        <w:tc>
          <w:tcPr>
            <w:tcW w:w="744" w:type="pct"/>
            <w:hideMark/>
          </w:tcPr>
          <w:p w14:paraId="38A46B5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(3.5%)</w:t>
            </w:r>
          </w:p>
        </w:tc>
      </w:tr>
      <w:tr w:rsidR="00CA7A60" w:rsidRPr="00FB60E5" w14:paraId="38A46B5E"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5A" w14:textId="77777777" w:rsidR="00CA7A60" w:rsidRPr="009D5847" w:rsidRDefault="00CA7A60" w:rsidP="00FB60E5">
            <w:pPr>
              <w:ind w:left="0"/>
              <w:rPr>
                <w:b w:val="0"/>
              </w:rPr>
            </w:pPr>
            <w:r w:rsidRPr="009D5847">
              <w:rPr>
                <w:b w:val="0"/>
              </w:rPr>
              <w:t>Other/unknown (n=659; 2.6%)</w:t>
            </w:r>
          </w:p>
        </w:tc>
        <w:tc>
          <w:tcPr>
            <w:tcW w:w="746" w:type="pct"/>
            <w:hideMark/>
          </w:tcPr>
          <w:p w14:paraId="38A46B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 (2.7%)</w:t>
            </w:r>
          </w:p>
        </w:tc>
        <w:tc>
          <w:tcPr>
            <w:tcW w:w="746" w:type="pct"/>
            <w:hideMark/>
          </w:tcPr>
          <w:p w14:paraId="38A46B5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 (2.4%)</w:t>
            </w:r>
          </w:p>
        </w:tc>
        <w:tc>
          <w:tcPr>
            <w:tcW w:w="744" w:type="pct"/>
            <w:hideMark/>
          </w:tcPr>
          <w:p w14:paraId="38A46B5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 (2.0%)</w:t>
            </w:r>
          </w:p>
        </w:tc>
      </w:tr>
      <w:tr w:rsidR="00042CE9" w:rsidRPr="00FB60E5" w14:paraId="38A46B61"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B60" w14:textId="50A168F8" w:rsidR="00042CE9" w:rsidRPr="00042CE9" w:rsidRDefault="00042CE9" w:rsidP="00FB60E5">
            <w:pPr>
              <w:ind w:left="0"/>
              <w:rPr>
                <w:b w:val="0"/>
                <w:bCs w:val="0"/>
              </w:rPr>
            </w:pPr>
            <w:r w:rsidRPr="00FB60E5">
              <w:t>Treatment termination status</w:t>
            </w:r>
          </w:p>
        </w:tc>
      </w:tr>
      <w:tr w:rsidR="00CA7A60" w:rsidRPr="00FB60E5" w14:paraId="38A46B6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62" w14:textId="77777777" w:rsidR="00CA7A60" w:rsidRPr="009D5847" w:rsidRDefault="00CA7A60" w:rsidP="00FB60E5">
            <w:pPr>
              <w:ind w:left="0"/>
              <w:rPr>
                <w:b w:val="0"/>
              </w:rPr>
            </w:pPr>
            <w:r w:rsidRPr="009D5847">
              <w:rPr>
                <w:b w:val="0"/>
              </w:rPr>
              <w:t>Completed treatment (n=18690; 74.1%)</w:t>
            </w:r>
          </w:p>
        </w:tc>
        <w:tc>
          <w:tcPr>
            <w:tcW w:w="746" w:type="pct"/>
            <w:hideMark/>
          </w:tcPr>
          <w:p w14:paraId="38A46B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374 (2.0%)</w:t>
            </w:r>
          </w:p>
        </w:tc>
        <w:tc>
          <w:tcPr>
            <w:tcW w:w="746" w:type="pct"/>
            <w:hideMark/>
          </w:tcPr>
          <w:p w14:paraId="38A46B6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444 (2.4%)</w:t>
            </w:r>
          </w:p>
        </w:tc>
        <w:tc>
          <w:tcPr>
            <w:tcW w:w="744" w:type="pct"/>
            <w:hideMark/>
          </w:tcPr>
          <w:p w14:paraId="38A46B6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334 (1.8%)</w:t>
            </w:r>
          </w:p>
        </w:tc>
      </w:tr>
      <w:tr w:rsidR="00CA7A60" w:rsidRPr="00FB60E5" w14:paraId="38A46B6B"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67" w14:textId="77777777" w:rsidR="00CA7A60" w:rsidRPr="009D5847" w:rsidRDefault="00CA7A60" w:rsidP="00FB60E5">
            <w:pPr>
              <w:ind w:left="0"/>
              <w:rPr>
                <w:b w:val="0"/>
              </w:rPr>
            </w:pPr>
            <w:r w:rsidRPr="009D5847">
              <w:rPr>
                <w:b w:val="0"/>
              </w:rPr>
              <w:t>Not completed (n=6262; 24.8%)</w:t>
            </w:r>
          </w:p>
        </w:tc>
        <w:tc>
          <w:tcPr>
            <w:tcW w:w="746" w:type="pct"/>
            <w:hideMark/>
          </w:tcPr>
          <w:p w14:paraId="38A46B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134 (2.1%)</w:t>
            </w:r>
          </w:p>
        </w:tc>
        <w:tc>
          <w:tcPr>
            <w:tcW w:w="746" w:type="pct"/>
            <w:hideMark/>
          </w:tcPr>
          <w:p w14:paraId="38A46B6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158 (2.5%)</w:t>
            </w:r>
          </w:p>
        </w:tc>
        <w:tc>
          <w:tcPr>
            <w:tcW w:w="744" w:type="pct"/>
            <w:hideMark/>
          </w:tcPr>
          <w:p w14:paraId="38A46B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132 (2.1%)</w:t>
            </w:r>
          </w:p>
        </w:tc>
      </w:tr>
      <w:tr w:rsidR="00CA7A60" w:rsidRPr="00FB60E5" w14:paraId="38A46B70"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6C" w14:textId="77777777" w:rsidR="00CA7A60" w:rsidRPr="009D5847" w:rsidRDefault="00CA7A60" w:rsidP="00FB60E5">
            <w:pPr>
              <w:ind w:left="0"/>
              <w:rPr>
                <w:b w:val="0"/>
              </w:rPr>
            </w:pPr>
            <w:r w:rsidRPr="009D5847">
              <w:rPr>
                <w:b w:val="0"/>
              </w:rPr>
              <w:t>Unknown (n=277; 1.1%)</w:t>
            </w:r>
          </w:p>
        </w:tc>
        <w:tc>
          <w:tcPr>
            <w:tcW w:w="746" w:type="pct"/>
            <w:hideMark/>
          </w:tcPr>
          <w:p w14:paraId="38A46B6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 (3.6%)</w:t>
            </w:r>
          </w:p>
        </w:tc>
        <w:tc>
          <w:tcPr>
            <w:tcW w:w="746" w:type="pct"/>
            <w:hideMark/>
          </w:tcPr>
          <w:p w14:paraId="38A46B6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4" w:type="pct"/>
            <w:hideMark/>
          </w:tcPr>
          <w:p w14:paraId="38A46B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042CE9" w:rsidRPr="00FB60E5" w14:paraId="38A46B75"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B74" w14:textId="0C0E5F12" w:rsidR="00042CE9" w:rsidRPr="00FB60E5" w:rsidRDefault="00042CE9" w:rsidP="00FB60E5">
            <w:pPr>
              <w:ind w:left="0"/>
            </w:pPr>
            <w:r w:rsidRPr="00FB60E5">
              <w:t>Primary drug of concern</w:t>
            </w:r>
          </w:p>
        </w:tc>
      </w:tr>
      <w:tr w:rsidR="00CA7A60" w:rsidRPr="00FB60E5" w14:paraId="38A46B7A"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76" w14:textId="77777777" w:rsidR="00CA7A60" w:rsidRPr="009D5847" w:rsidRDefault="00CA7A60" w:rsidP="00FB60E5">
            <w:pPr>
              <w:ind w:left="0"/>
              <w:rPr>
                <w:b w:val="0"/>
              </w:rPr>
            </w:pPr>
            <w:r w:rsidRPr="009D5847">
              <w:rPr>
                <w:b w:val="0"/>
              </w:rPr>
              <w:t>Alcohol (n=11912; 47.2%)</w:t>
            </w:r>
          </w:p>
        </w:tc>
        <w:tc>
          <w:tcPr>
            <w:tcW w:w="746" w:type="pct"/>
            <w:hideMark/>
          </w:tcPr>
          <w:p w14:paraId="38A46B7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412 (3.5%)</w:t>
            </w:r>
          </w:p>
        </w:tc>
        <w:tc>
          <w:tcPr>
            <w:tcW w:w="746" w:type="pct"/>
            <w:hideMark/>
          </w:tcPr>
          <w:p w14:paraId="38A46B7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502 (4.2%)</w:t>
            </w:r>
          </w:p>
        </w:tc>
        <w:tc>
          <w:tcPr>
            <w:tcW w:w="744" w:type="pct"/>
            <w:hideMark/>
          </w:tcPr>
          <w:p w14:paraId="38A46B7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392 (3.3%)</w:t>
            </w:r>
          </w:p>
        </w:tc>
      </w:tr>
      <w:tr w:rsidR="00CA7A60" w:rsidRPr="00FB60E5" w14:paraId="38A46B7F"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7B" w14:textId="77777777" w:rsidR="00CA7A60" w:rsidRPr="009D5847" w:rsidRDefault="00CA7A60" w:rsidP="00FB60E5">
            <w:pPr>
              <w:ind w:left="0"/>
              <w:rPr>
                <w:b w:val="0"/>
              </w:rPr>
            </w:pPr>
            <w:r w:rsidRPr="009D5847">
              <w:rPr>
                <w:b w:val="0"/>
              </w:rPr>
              <w:t>Cannabis (n=5663; 22.4%)</w:t>
            </w:r>
          </w:p>
        </w:tc>
        <w:tc>
          <w:tcPr>
            <w:tcW w:w="746" w:type="pct"/>
            <w:hideMark/>
          </w:tcPr>
          <w:p w14:paraId="38A46B7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 (0.9%)</w:t>
            </w:r>
          </w:p>
        </w:tc>
        <w:tc>
          <w:tcPr>
            <w:tcW w:w="746" w:type="pct"/>
            <w:hideMark/>
          </w:tcPr>
          <w:p w14:paraId="38A46B7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51 (0.9%)</w:t>
            </w:r>
          </w:p>
        </w:tc>
        <w:tc>
          <w:tcPr>
            <w:tcW w:w="744" w:type="pct"/>
            <w:hideMark/>
          </w:tcPr>
          <w:p w14:paraId="38A46B7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 (0.6%)</w:t>
            </w:r>
          </w:p>
        </w:tc>
      </w:tr>
      <w:tr w:rsidR="00CA7A60" w:rsidRPr="00FB60E5" w14:paraId="38A46B84"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80" w14:textId="77777777" w:rsidR="00CA7A60" w:rsidRPr="009D5847" w:rsidRDefault="00CA7A60" w:rsidP="00FB60E5">
            <w:pPr>
              <w:ind w:left="0"/>
              <w:rPr>
                <w:b w:val="0"/>
              </w:rPr>
            </w:pPr>
            <w:r w:rsidRPr="009D5847">
              <w:rPr>
                <w:b w:val="0"/>
              </w:rPr>
              <w:t>Heroin &amp; other opioids (n=3863; 15.3%)</w:t>
            </w:r>
          </w:p>
        </w:tc>
        <w:tc>
          <w:tcPr>
            <w:tcW w:w="746" w:type="pct"/>
            <w:hideMark/>
          </w:tcPr>
          <w:p w14:paraId="38A46B8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 (0.6%)</w:t>
            </w:r>
          </w:p>
        </w:tc>
        <w:tc>
          <w:tcPr>
            <w:tcW w:w="746" w:type="pct"/>
            <w:hideMark/>
          </w:tcPr>
          <w:p w14:paraId="38A46B8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 (0.6%)</w:t>
            </w:r>
          </w:p>
        </w:tc>
        <w:tc>
          <w:tcPr>
            <w:tcW w:w="744" w:type="pct"/>
            <w:hideMark/>
          </w:tcPr>
          <w:p w14:paraId="38A46B8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 (0.5%)</w:t>
            </w:r>
          </w:p>
        </w:tc>
      </w:tr>
      <w:tr w:rsidR="00CA7A60" w:rsidRPr="00FB60E5" w14:paraId="38A46B89"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85" w14:textId="77777777" w:rsidR="00CA7A60" w:rsidRPr="009D5847" w:rsidRDefault="00CA7A60" w:rsidP="00FB60E5">
            <w:pPr>
              <w:ind w:left="0"/>
              <w:rPr>
                <w:b w:val="0"/>
              </w:rPr>
            </w:pPr>
            <w:r w:rsidRPr="009D5847">
              <w:rPr>
                <w:b w:val="0"/>
              </w:rPr>
              <w:lastRenderedPageBreak/>
              <w:t>Amphetamine &amp; other stimulants (n=2198; 8.7%)</w:t>
            </w:r>
          </w:p>
        </w:tc>
        <w:tc>
          <w:tcPr>
            <w:tcW w:w="746" w:type="pct"/>
            <w:hideMark/>
          </w:tcPr>
          <w:p w14:paraId="38A46B8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 (0.8%)</w:t>
            </w:r>
          </w:p>
        </w:tc>
        <w:tc>
          <w:tcPr>
            <w:tcW w:w="746" w:type="pct"/>
            <w:hideMark/>
          </w:tcPr>
          <w:p w14:paraId="38A46B8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(0.5%)</w:t>
            </w:r>
          </w:p>
        </w:tc>
        <w:tc>
          <w:tcPr>
            <w:tcW w:w="744" w:type="pct"/>
            <w:hideMark/>
          </w:tcPr>
          <w:p w14:paraId="38A46B8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(0.4%)</w:t>
            </w:r>
          </w:p>
        </w:tc>
      </w:tr>
      <w:tr w:rsidR="00CA7A60" w:rsidRPr="00FB60E5" w14:paraId="38A46B8E"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8A" w14:textId="77777777" w:rsidR="00CA7A60" w:rsidRPr="009D5847" w:rsidRDefault="00CA7A60" w:rsidP="00FB60E5">
            <w:pPr>
              <w:ind w:left="0"/>
              <w:rPr>
                <w:b w:val="0"/>
              </w:rPr>
            </w:pPr>
            <w:r w:rsidRPr="009D5847">
              <w:rPr>
                <w:b w:val="0"/>
              </w:rPr>
              <w:t>Benzodiazepines &amp; other tranquillisers (n=522; 2.1%)</w:t>
            </w:r>
          </w:p>
        </w:tc>
        <w:tc>
          <w:tcPr>
            <w:tcW w:w="746" w:type="pct"/>
            <w:hideMark/>
          </w:tcPr>
          <w:p w14:paraId="38A46B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6" w:type="pct"/>
            <w:hideMark/>
          </w:tcPr>
          <w:p w14:paraId="38A46B8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(1.7%)</w:t>
            </w:r>
          </w:p>
        </w:tc>
        <w:tc>
          <w:tcPr>
            <w:tcW w:w="744" w:type="pct"/>
            <w:hideMark/>
          </w:tcPr>
          <w:p w14:paraId="38A46B8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(1.1%)</w:t>
            </w:r>
          </w:p>
        </w:tc>
      </w:tr>
      <w:tr w:rsidR="00CA7A60" w:rsidRPr="00FB60E5" w14:paraId="38A46B93"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8F" w14:textId="77777777" w:rsidR="00CA7A60" w:rsidRPr="009D5847" w:rsidRDefault="00CA7A60" w:rsidP="00FB60E5">
            <w:pPr>
              <w:ind w:left="0"/>
              <w:rPr>
                <w:b w:val="0"/>
              </w:rPr>
            </w:pPr>
            <w:r w:rsidRPr="009D5847">
              <w:rPr>
                <w:b w:val="0"/>
              </w:rPr>
              <w:t>Other (n=730; 2.9%)</w:t>
            </w:r>
          </w:p>
        </w:tc>
        <w:tc>
          <w:tcPr>
            <w:tcW w:w="746" w:type="pct"/>
            <w:hideMark/>
          </w:tcPr>
          <w:p w14:paraId="38A46B9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6" w:type="pct"/>
            <w:hideMark/>
          </w:tcPr>
          <w:p w14:paraId="38A46B9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4" w:type="pct"/>
            <w:hideMark/>
          </w:tcPr>
          <w:p w14:paraId="38A46B9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(0.8%)</w:t>
            </w:r>
          </w:p>
        </w:tc>
      </w:tr>
      <w:tr w:rsidR="00CA7A60" w:rsidRPr="00FB60E5" w14:paraId="38A46B98"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94" w14:textId="77777777" w:rsidR="00CA7A60" w:rsidRPr="009D5847" w:rsidRDefault="00CA7A60" w:rsidP="00FB60E5">
            <w:pPr>
              <w:ind w:left="0"/>
              <w:rPr>
                <w:b w:val="0"/>
              </w:rPr>
            </w:pPr>
            <w:r w:rsidRPr="009D5847">
              <w:rPr>
                <w:b w:val="0"/>
              </w:rPr>
              <w:t>Unknown (n=341; 1.4%)</w:t>
            </w:r>
          </w:p>
        </w:tc>
        <w:tc>
          <w:tcPr>
            <w:tcW w:w="746" w:type="pct"/>
            <w:hideMark/>
          </w:tcPr>
          <w:p w14:paraId="38A46B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6" w:type="pct"/>
            <w:hideMark/>
          </w:tcPr>
          <w:p w14:paraId="38A46B9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(1.5%)</w:t>
            </w:r>
          </w:p>
        </w:tc>
        <w:tc>
          <w:tcPr>
            <w:tcW w:w="744" w:type="pct"/>
            <w:hideMark/>
          </w:tcPr>
          <w:p w14:paraId="38A46B9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bl>
    <w:p w14:paraId="38A46B9A" w14:textId="0D21675A" w:rsidR="00CA7A60" w:rsidRPr="00FB60E5" w:rsidRDefault="00CA7A60" w:rsidP="00FB60E5">
      <w:pPr>
        <w:ind w:left="0"/>
      </w:pPr>
      <w:r w:rsidRPr="00FB60E5">
        <w:t>Overall, there was a decrease in the proportion of other drug-related acute presentations to ED for AOD clients in the year following treatment engagement when compared with ED presentations in the year preceding treatment engagement (</w:t>
      </w:r>
      <w:r w:rsidR="001B3CBD">
        <w:fldChar w:fldCharType="begin"/>
      </w:r>
      <w:r w:rsidR="001B3CBD">
        <w:instrText xml:space="preserve"> REF _Ref387151790 \h </w:instrText>
      </w:r>
      <w:r w:rsidR="001B3CBD">
        <w:fldChar w:fldCharType="separate"/>
      </w:r>
      <w:r w:rsidR="001B3CBD" w:rsidRPr="00FB60E5">
        <w:t xml:space="preserve">Table </w:t>
      </w:r>
      <w:r w:rsidR="001B3CBD">
        <w:rPr>
          <w:noProof/>
        </w:rPr>
        <w:t>4</w:t>
      </w:r>
      <w:r w:rsidR="001B3CBD">
        <w:t>.</w:t>
      </w:r>
      <w:r w:rsidR="001B3CBD">
        <w:rPr>
          <w:noProof/>
        </w:rPr>
        <w:t>10</w:t>
      </w:r>
      <w:r w:rsidR="001B3CBD">
        <w:fldChar w:fldCharType="end"/>
      </w:r>
      <w:r w:rsidRPr="00FB60E5">
        <w:t xml:space="preserve">). Decreases in proportions of other drug-related acute ED presentations were evident for all treatment types except non-residential withdrawal, and for all drugs of concern on entry into AOD treatment except for cannabis (where there was no change), and </w:t>
      </w:r>
      <w:r w:rsidR="00B473EE" w:rsidRPr="00FB60E5">
        <w:t>amphetamines</w:t>
      </w:r>
      <w:r w:rsidRPr="00FB60E5">
        <w:t xml:space="preserve"> and other stimulants (which showed an increase in other drug-related acute presentations in the year following treatment engagement).</w:t>
      </w:r>
    </w:p>
    <w:p w14:paraId="38A46B9B" w14:textId="443BAF73" w:rsidR="00CA7A60" w:rsidRPr="00FB60E5" w:rsidRDefault="00CA7A60" w:rsidP="00552239">
      <w:pPr>
        <w:pStyle w:val="Caption"/>
      </w:pPr>
      <w:bookmarkStart w:id="253" w:name="_Ref387151790"/>
      <w:bookmarkStart w:id="254" w:name="_Toc387244634"/>
      <w:bookmarkStart w:id="255" w:name="_Toc531625807"/>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10</w:t>
      </w:r>
      <w:r w:rsidR="00552239">
        <w:fldChar w:fldCharType="end"/>
      </w:r>
      <w:bookmarkEnd w:id="253"/>
      <w:r w:rsidR="002C27A8">
        <w:t xml:space="preserve"> </w:t>
      </w:r>
      <w:r w:rsidRPr="00FB60E5">
        <w:t xml:space="preserve">ED presentations for other drug-related acute conditions by AOD </w:t>
      </w:r>
      <w:r w:rsidR="00727B57" w:rsidRPr="00FB60E5">
        <w:t>treatment</w:t>
      </w:r>
      <w:r w:rsidRPr="00FB60E5">
        <w:t xml:space="preserve"> type, primary drug of concern and treatment termination status, 2009/10, 2010/11 and 2011/12</w:t>
      </w:r>
      <w:bookmarkEnd w:id="254"/>
      <w:bookmarkEnd w:id="255"/>
    </w:p>
    <w:tbl>
      <w:tblPr>
        <w:tblStyle w:val="LightList-Accent1"/>
        <w:tblW w:w="5000" w:type="pct"/>
        <w:tblLook w:val="04A0" w:firstRow="1" w:lastRow="0" w:firstColumn="1" w:lastColumn="0" w:noHBand="0" w:noVBand="1"/>
        <w:tblDescription w:val="Table 4.10 is a list of ED presentations for other drug-related acute conditions by AOD treatment type, primary drug of concern and treatment termination status, 2009/10, 2010/11 and 2011/12"/>
      </w:tblPr>
      <w:tblGrid>
        <w:gridCol w:w="5109"/>
        <w:gridCol w:w="1377"/>
        <w:gridCol w:w="1379"/>
        <w:gridCol w:w="1377"/>
      </w:tblGrid>
      <w:tr w:rsidR="00CA7A60" w:rsidRPr="00FB60E5" w14:paraId="38A46B9E"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val="restart"/>
            <w:noWrap/>
            <w:hideMark/>
          </w:tcPr>
          <w:p w14:paraId="38A46B9C" w14:textId="77777777" w:rsidR="00CA7A60" w:rsidRPr="00FB60E5" w:rsidRDefault="00CA7A60" w:rsidP="00FB60E5">
            <w:pPr>
              <w:ind w:left="0"/>
            </w:pPr>
            <w:r w:rsidRPr="00FB60E5">
              <w:t> </w:t>
            </w:r>
          </w:p>
        </w:tc>
        <w:tc>
          <w:tcPr>
            <w:tcW w:w="2236" w:type="pct"/>
            <w:gridSpan w:val="3"/>
            <w:noWrap/>
            <w:hideMark/>
          </w:tcPr>
          <w:p w14:paraId="38A46B9D"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Other drug-related acute conditions</w:t>
            </w:r>
          </w:p>
        </w:tc>
      </w:tr>
      <w:tr w:rsidR="00CA7A60" w:rsidRPr="00FB60E5" w14:paraId="38A46BA3"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hideMark/>
          </w:tcPr>
          <w:p w14:paraId="38A46B9F" w14:textId="77777777" w:rsidR="00CA7A60" w:rsidRPr="00FB60E5" w:rsidRDefault="00CA7A60" w:rsidP="00FB60E5">
            <w:pPr>
              <w:ind w:left="0"/>
            </w:pPr>
          </w:p>
        </w:tc>
        <w:tc>
          <w:tcPr>
            <w:tcW w:w="745" w:type="pct"/>
            <w:hideMark/>
          </w:tcPr>
          <w:p w14:paraId="38A46BA0"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46" w:type="pct"/>
            <w:hideMark/>
          </w:tcPr>
          <w:p w14:paraId="38A46BA1"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45" w:type="pct"/>
            <w:hideMark/>
          </w:tcPr>
          <w:p w14:paraId="38A46BA2"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BA8"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A4" w14:textId="77777777" w:rsidR="00CA7A60" w:rsidRPr="009D5847" w:rsidRDefault="00CA7A60" w:rsidP="00FB60E5">
            <w:pPr>
              <w:ind w:left="0"/>
              <w:rPr>
                <w:b w:val="0"/>
              </w:rPr>
            </w:pPr>
            <w:r w:rsidRPr="009D5847">
              <w:rPr>
                <w:b w:val="0"/>
              </w:rPr>
              <w:t>Total (n=25229)</w:t>
            </w:r>
          </w:p>
        </w:tc>
        <w:tc>
          <w:tcPr>
            <w:tcW w:w="745" w:type="pct"/>
            <w:hideMark/>
          </w:tcPr>
          <w:p w14:paraId="38A46BA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602 (2.4%)</w:t>
            </w:r>
          </w:p>
        </w:tc>
        <w:tc>
          <w:tcPr>
            <w:tcW w:w="746" w:type="pct"/>
            <w:hideMark/>
          </w:tcPr>
          <w:p w14:paraId="38A46BA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672 (2.7%)</w:t>
            </w:r>
          </w:p>
        </w:tc>
        <w:tc>
          <w:tcPr>
            <w:tcW w:w="745" w:type="pct"/>
            <w:hideMark/>
          </w:tcPr>
          <w:p w14:paraId="38A46B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504 (2.0%)</w:t>
            </w:r>
          </w:p>
        </w:tc>
      </w:tr>
      <w:tr w:rsidR="00042CE9" w:rsidRPr="00FB60E5" w14:paraId="38A46BAD"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BAC" w14:textId="6EC6830F" w:rsidR="00042CE9" w:rsidRPr="00FB60E5" w:rsidRDefault="00042CE9" w:rsidP="00FB60E5">
            <w:pPr>
              <w:ind w:left="0"/>
            </w:pPr>
            <w:r w:rsidRPr="00FB60E5">
              <w:t>Treatment type</w:t>
            </w:r>
          </w:p>
        </w:tc>
      </w:tr>
      <w:tr w:rsidR="00CA7A60" w:rsidRPr="00FB60E5" w14:paraId="38A46BB2"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AE" w14:textId="77777777" w:rsidR="00CA7A60" w:rsidRPr="009D5847" w:rsidRDefault="00CA7A60" w:rsidP="00FB60E5">
            <w:pPr>
              <w:ind w:left="0"/>
              <w:rPr>
                <w:b w:val="0"/>
              </w:rPr>
            </w:pPr>
            <w:r w:rsidRPr="009D5847">
              <w:rPr>
                <w:b w:val="0"/>
              </w:rPr>
              <w:t>Counselling (n=11919; 47.2%)</w:t>
            </w:r>
          </w:p>
        </w:tc>
        <w:tc>
          <w:tcPr>
            <w:tcW w:w="745" w:type="pct"/>
            <w:hideMark/>
          </w:tcPr>
          <w:p w14:paraId="38A46BA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261 (2.2%)</w:t>
            </w:r>
          </w:p>
        </w:tc>
        <w:tc>
          <w:tcPr>
            <w:tcW w:w="746" w:type="pct"/>
            <w:hideMark/>
          </w:tcPr>
          <w:p w14:paraId="38A46BB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297 (2.5%)</w:t>
            </w:r>
          </w:p>
        </w:tc>
        <w:tc>
          <w:tcPr>
            <w:tcW w:w="745" w:type="pct"/>
            <w:hideMark/>
          </w:tcPr>
          <w:p w14:paraId="38A46B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225 (1.9%)</w:t>
            </w:r>
          </w:p>
        </w:tc>
      </w:tr>
      <w:tr w:rsidR="00CA7A60" w:rsidRPr="00FB60E5" w14:paraId="38A46BB7"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B3" w14:textId="77777777" w:rsidR="00CA7A60" w:rsidRPr="009D5847" w:rsidRDefault="00CA7A60" w:rsidP="00FB60E5">
            <w:pPr>
              <w:ind w:left="0"/>
              <w:rPr>
                <w:b w:val="0"/>
              </w:rPr>
            </w:pPr>
            <w:r w:rsidRPr="009D5847">
              <w:rPr>
                <w:b w:val="0"/>
              </w:rPr>
              <w:t>Residential withdrawal (n=1962; 7.8%)</w:t>
            </w:r>
          </w:p>
        </w:tc>
        <w:tc>
          <w:tcPr>
            <w:tcW w:w="745" w:type="pct"/>
            <w:hideMark/>
          </w:tcPr>
          <w:p w14:paraId="38A46BB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78 (4.0%)</w:t>
            </w:r>
          </w:p>
        </w:tc>
        <w:tc>
          <w:tcPr>
            <w:tcW w:w="746" w:type="pct"/>
            <w:hideMark/>
          </w:tcPr>
          <w:p w14:paraId="38A46BB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98 (5.0%)</w:t>
            </w:r>
          </w:p>
        </w:tc>
        <w:tc>
          <w:tcPr>
            <w:tcW w:w="745" w:type="pct"/>
            <w:hideMark/>
          </w:tcPr>
          <w:p w14:paraId="38A46BB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67 (3.4%)</w:t>
            </w:r>
          </w:p>
        </w:tc>
      </w:tr>
      <w:tr w:rsidR="00CA7A60" w:rsidRPr="00FB60E5" w14:paraId="38A46BBC"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B8" w14:textId="77777777" w:rsidR="00CA7A60" w:rsidRPr="009D5847" w:rsidRDefault="00CA7A60" w:rsidP="00FB60E5">
            <w:pPr>
              <w:ind w:left="0"/>
              <w:rPr>
                <w:b w:val="0"/>
              </w:rPr>
            </w:pPr>
            <w:r w:rsidRPr="009D5847">
              <w:rPr>
                <w:b w:val="0"/>
              </w:rPr>
              <w:t>Other withdrawal (n=2582; 10.2%)</w:t>
            </w:r>
          </w:p>
        </w:tc>
        <w:tc>
          <w:tcPr>
            <w:tcW w:w="745" w:type="pct"/>
            <w:hideMark/>
          </w:tcPr>
          <w:p w14:paraId="38A46BB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 (1.8%)</w:t>
            </w:r>
          </w:p>
        </w:tc>
        <w:tc>
          <w:tcPr>
            <w:tcW w:w="746" w:type="pct"/>
            <w:hideMark/>
          </w:tcPr>
          <w:p w14:paraId="38A46BB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72 (2.8%)</w:t>
            </w:r>
          </w:p>
        </w:tc>
        <w:tc>
          <w:tcPr>
            <w:tcW w:w="745" w:type="pct"/>
            <w:hideMark/>
          </w:tcPr>
          <w:p w14:paraId="38A46B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 (2.1%)</w:t>
            </w:r>
          </w:p>
        </w:tc>
      </w:tr>
      <w:tr w:rsidR="00CA7A60" w:rsidRPr="00FB60E5" w14:paraId="38A46BC1"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BD" w14:textId="77777777" w:rsidR="00CA7A60" w:rsidRPr="009D5847" w:rsidRDefault="00CA7A60" w:rsidP="00FB60E5">
            <w:pPr>
              <w:ind w:left="0"/>
              <w:rPr>
                <w:b w:val="0"/>
              </w:rPr>
            </w:pPr>
            <w:r w:rsidRPr="009D5847">
              <w:rPr>
                <w:b w:val="0"/>
              </w:rPr>
              <w:t>Outreach (n=2368; 9.4%)</w:t>
            </w:r>
          </w:p>
        </w:tc>
        <w:tc>
          <w:tcPr>
            <w:tcW w:w="745" w:type="pct"/>
            <w:hideMark/>
          </w:tcPr>
          <w:p w14:paraId="38A46BB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 (2.3%)</w:t>
            </w:r>
          </w:p>
        </w:tc>
        <w:tc>
          <w:tcPr>
            <w:tcW w:w="746" w:type="pct"/>
            <w:hideMark/>
          </w:tcPr>
          <w:p w14:paraId="38A46BB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64 (2.7%)</w:t>
            </w:r>
          </w:p>
        </w:tc>
        <w:tc>
          <w:tcPr>
            <w:tcW w:w="745" w:type="pct"/>
            <w:hideMark/>
          </w:tcPr>
          <w:p w14:paraId="38A46BC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 (1.9%)</w:t>
            </w:r>
          </w:p>
        </w:tc>
      </w:tr>
      <w:tr w:rsidR="00CA7A60" w:rsidRPr="00FB60E5" w14:paraId="38A46BC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C2" w14:textId="77777777" w:rsidR="00CA7A60" w:rsidRPr="009D5847" w:rsidRDefault="00CA7A60" w:rsidP="00FB60E5">
            <w:pPr>
              <w:ind w:left="0"/>
              <w:rPr>
                <w:b w:val="0"/>
              </w:rPr>
            </w:pPr>
            <w:r w:rsidRPr="009D5847">
              <w:rPr>
                <w:b w:val="0"/>
              </w:rPr>
              <w:t>Brokerage (n=3904; 15.5%)</w:t>
            </w:r>
          </w:p>
        </w:tc>
        <w:tc>
          <w:tcPr>
            <w:tcW w:w="745" w:type="pct"/>
            <w:hideMark/>
          </w:tcPr>
          <w:p w14:paraId="38A46BC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103 (2.6%)</w:t>
            </w:r>
          </w:p>
        </w:tc>
        <w:tc>
          <w:tcPr>
            <w:tcW w:w="746" w:type="pct"/>
            <w:hideMark/>
          </w:tcPr>
          <w:p w14:paraId="38A46BC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76 (1.9%)</w:t>
            </w:r>
          </w:p>
        </w:tc>
        <w:tc>
          <w:tcPr>
            <w:tcW w:w="745" w:type="pct"/>
            <w:hideMark/>
          </w:tcPr>
          <w:p w14:paraId="38A46BC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69 (1.8%)</w:t>
            </w:r>
          </w:p>
        </w:tc>
      </w:tr>
      <w:tr w:rsidR="00CA7A60" w:rsidRPr="00FB60E5" w14:paraId="38A46BCB"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C7" w14:textId="77777777" w:rsidR="00CA7A60" w:rsidRPr="009D5847" w:rsidRDefault="00CA7A60" w:rsidP="00FB60E5">
            <w:pPr>
              <w:ind w:left="0"/>
              <w:rPr>
                <w:b w:val="0"/>
              </w:rPr>
            </w:pPr>
            <w:r w:rsidRPr="009D5847">
              <w:rPr>
                <w:b w:val="0"/>
              </w:rPr>
              <w:t>Aboriginal services (n=733; 2.9%)</w:t>
            </w:r>
          </w:p>
        </w:tc>
        <w:tc>
          <w:tcPr>
            <w:tcW w:w="745" w:type="pct"/>
            <w:hideMark/>
          </w:tcPr>
          <w:p w14:paraId="38A46BC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(1.2%)</w:t>
            </w:r>
          </w:p>
        </w:tc>
        <w:tc>
          <w:tcPr>
            <w:tcW w:w="746" w:type="pct"/>
            <w:hideMark/>
          </w:tcPr>
          <w:p w14:paraId="38A46BC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(1.6%)</w:t>
            </w:r>
          </w:p>
        </w:tc>
        <w:tc>
          <w:tcPr>
            <w:tcW w:w="745" w:type="pct"/>
            <w:hideMark/>
          </w:tcPr>
          <w:p w14:paraId="38A46BC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 (1.0%)</w:t>
            </w:r>
          </w:p>
        </w:tc>
      </w:tr>
      <w:tr w:rsidR="00CA7A60" w:rsidRPr="00FB60E5" w14:paraId="38A46BD0"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CC" w14:textId="77777777" w:rsidR="00CA7A60" w:rsidRPr="009D5847" w:rsidRDefault="00CA7A60" w:rsidP="00FB60E5">
            <w:pPr>
              <w:ind w:left="0"/>
              <w:rPr>
                <w:b w:val="0"/>
              </w:rPr>
            </w:pPr>
            <w:r w:rsidRPr="009D5847">
              <w:rPr>
                <w:b w:val="0"/>
              </w:rPr>
              <w:t>Specialist pharmacotherapy (n=401; 1.6%)</w:t>
            </w:r>
          </w:p>
        </w:tc>
        <w:tc>
          <w:tcPr>
            <w:tcW w:w="745" w:type="pct"/>
            <w:hideMark/>
          </w:tcPr>
          <w:p w14:paraId="38A46BC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 (4.2%)</w:t>
            </w:r>
          </w:p>
        </w:tc>
        <w:tc>
          <w:tcPr>
            <w:tcW w:w="746" w:type="pct"/>
            <w:hideMark/>
          </w:tcPr>
          <w:p w14:paraId="38A46BC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 (4.7%)</w:t>
            </w:r>
          </w:p>
        </w:tc>
        <w:tc>
          <w:tcPr>
            <w:tcW w:w="745" w:type="pct"/>
            <w:hideMark/>
          </w:tcPr>
          <w:p w14:paraId="38A46B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 (4.0%)</w:t>
            </w:r>
          </w:p>
        </w:tc>
      </w:tr>
      <w:tr w:rsidR="00CA7A60" w:rsidRPr="00FB60E5" w14:paraId="38A46BD5"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D1" w14:textId="77777777" w:rsidR="00CA7A60" w:rsidRPr="009D5847" w:rsidRDefault="00CA7A60" w:rsidP="00FB60E5">
            <w:pPr>
              <w:ind w:left="0"/>
              <w:rPr>
                <w:b w:val="0"/>
              </w:rPr>
            </w:pPr>
            <w:r w:rsidRPr="009D5847">
              <w:rPr>
                <w:b w:val="0"/>
              </w:rPr>
              <w:t>Residential rehabilitation (n=176; 0.7%)</w:t>
            </w:r>
          </w:p>
        </w:tc>
        <w:tc>
          <w:tcPr>
            <w:tcW w:w="745" w:type="pct"/>
            <w:hideMark/>
          </w:tcPr>
          <w:p w14:paraId="38A46BD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6" w:type="pct"/>
            <w:hideMark/>
          </w:tcPr>
          <w:p w14:paraId="38A46BD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5" w:type="pct"/>
            <w:hideMark/>
          </w:tcPr>
          <w:p w14:paraId="38A46BD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6BDA"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D6" w14:textId="77777777" w:rsidR="00CA7A60" w:rsidRPr="009D5847" w:rsidRDefault="00CA7A60" w:rsidP="00FB60E5">
            <w:pPr>
              <w:ind w:left="0"/>
              <w:rPr>
                <w:b w:val="0"/>
              </w:rPr>
            </w:pPr>
            <w:r w:rsidRPr="009D5847">
              <w:rPr>
                <w:b w:val="0"/>
              </w:rPr>
              <w:t>Supported accommodation (n=269; 1.1%)</w:t>
            </w:r>
          </w:p>
        </w:tc>
        <w:tc>
          <w:tcPr>
            <w:tcW w:w="745" w:type="pct"/>
            <w:hideMark/>
          </w:tcPr>
          <w:p w14:paraId="38A46BD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(3.3%)</w:t>
            </w:r>
          </w:p>
        </w:tc>
        <w:tc>
          <w:tcPr>
            <w:tcW w:w="746" w:type="pct"/>
            <w:hideMark/>
          </w:tcPr>
          <w:p w14:paraId="38A46BD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(3.0%)</w:t>
            </w:r>
          </w:p>
        </w:tc>
        <w:tc>
          <w:tcPr>
            <w:tcW w:w="745" w:type="pct"/>
            <w:hideMark/>
          </w:tcPr>
          <w:p w14:paraId="38A46B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(3.0%)</w:t>
            </w:r>
          </w:p>
        </w:tc>
      </w:tr>
      <w:tr w:rsidR="00CA7A60" w:rsidRPr="00FB60E5" w14:paraId="38A46BDF"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DB" w14:textId="77777777" w:rsidR="00CA7A60" w:rsidRPr="009D5847" w:rsidRDefault="00CA7A60" w:rsidP="00FB60E5">
            <w:pPr>
              <w:ind w:left="0"/>
              <w:rPr>
                <w:b w:val="0"/>
              </w:rPr>
            </w:pPr>
            <w:r w:rsidRPr="009D5847">
              <w:rPr>
                <w:b w:val="0"/>
              </w:rPr>
              <w:t>Post withdrawal linkage (n=256; 1.0%)</w:t>
            </w:r>
          </w:p>
        </w:tc>
        <w:tc>
          <w:tcPr>
            <w:tcW w:w="745" w:type="pct"/>
            <w:hideMark/>
          </w:tcPr>
          <w:p w14:paraId="38A46BD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(2.3%)</w:t>
            </w:r>
          </w:p>
        </w:tc>
        <w:tc>
          <w:tcPr>
            <w:tcW w:w="746" w:type="pct"/>
            <w:hideMark/>
          </w:tcPr>
          <w:p w14:paraId="38A46BD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(3.9%)</w:t>
            </w:r>
          </w:p>
        </w:tc>
        <w:tc>
          <w:tcPr>
            <w:tcW w:w="745" w:type="pct"/>
            <w:hideMark/>
          </w:tcPr>
          <w:p w14:paraId="38A46BD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6BE4"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E0" w14:textId="77777777" w:rsidR="00CA7A60" w:rsidRPr="009D5847" w:rsidRDefault="00CA7A60" w:rsidP="00FB60E5">
            <w:pPr>
              <w:ind w:left="0"/>
              <w:rPr>
                <w:b w:val="0"/>
              </w:rPr>
            </w:pPr>
            <w:r w:rsidRPr="009D5847">
              <w:rPr>
                <w:b w:val="0"/>
              </w:rPr>
              <w:t>Other/unknown (n=659; 2.6%)</w:t>
            </w:r>
          </w:p>
        </w:tc>
        <w:tc>
          <w:tcPr>
            <w:tcW w:w="745" w:type="pct"/>
            <w:hideMark/>
          </w:tcPr>
          <w:p w14:paraId="38A46BE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 (2.6%)</w:t>
            </w:r>
          </w:p>
        </w:tc>
        <w:tc>
          <w:tcPr>
            <w:tcW w:w="746" w:type="pct"/>
            <w:hideMark/>
          </w:tcPr>
          <w:p w14:paraId="38A46BE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 (2.1%)</w:t>
            </w:r>
          </w:p>
        </w:tc>
        <w:tc>
          <w:tcPr>
            <w:tcW w:w="745" w:type="pct"/>
            <w:hideMark/>
          </w:tcPr>
          <w:p w14:paraId="38A46BE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(1.1%)</w:t>
            </w:r>
          </w:p>
        </w:tc>
      </w:tr>
      <w:tr w:rsidR="00042CE9" w:rsidRPr="00FB60E5" w14:paraId="38A46BE7"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BE6" w14:textId="53259924" w:rsidR="00042CE9" w:rsidRPr="00042CE9" w:rsidRDefault="00042CE9" w:rsidP="00FB60E5">
            <w:pPr>
              <w:ind w:left="0"/>
              <w:rPr>
                <w:b w:val="0"/>
                <w:bCs w:val="0"/>
              </w:rPr>
            </w:pPr>
            <w:r w:rsidRPr="00FB60E5">
              <w:t>Treatment termination status</w:t>
            </w:r>
          </w:p>
        </w:tc>
      </w:tr>
      <w:tr w:rsidR="00CA7A60" w:rsidRPr="00FB60E5" w14:paraId="38A46BEC"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E8" w14:textId="77777777" w:rsidR="00CA7A60" w:rsidRPr="009D5847" w:rsidRDefault="00CA7A60" w:rsidP="00FB60E5">
            <w:pPr>
              <w:ind w:left="0"/>
              <w:rPr>
                <w:b w:val="0"/>
              </w:rPr>
            </w:pPr>
            <w:r w:rsidRPr="009D5847">
              <w:rPr>
                <w:b w:val="0"/>
              </w:rPr>
              <w:t>Completed treatment (n=18690; 74.1%)</w:t>
            </w:r>
          </w:p>
        </w:tc>
        <w:tc>
          <w:tcPr>
            <w:tcW w:w="745" w:type="pct"/>
            <w:hideMark/>
          </w:tcPr>
          <w:p w14:paraId="38A46BE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404 (2.2%)</w:t>
            </w:r>
          </w:p>
        </w:tc>
        <w:tc>
          <w:tcPr>
            <w:tcW w:w="746" w:type="pct"/>
            <w:hideMark/>
          </w:tcPr>
          <w:p w14:paraId="38A46BE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434 (2.3%)</w:t>
            </w:r>
          </w:p>
        </w:tc>
        <w:tc>
          <w:tcPr>
            <w:tcW w:w="745" w:type="pct"/>
            <w:hideMark/>
          </w:tcPr>
          <w:p w14:paraId="38A46BE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354 (1.9%)</w:t>
            </w:r>
          </w:p>
        </w:tc>
      </w:tr>
      <w:tr w:rsidR="00CA7A60" w:rsidRPr="00FB60E5" w14:paraId="38A46BF1"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ED" w14:textId="77777777" w:rsidR="00CA7A60" w:rsidRPr="009D5847" w:rsidRDefault="00CA7A60" w:rsidP="00FB60E5">
            <w:pPr>
              <w:ind w:left="0"/>
              <w:rPr>
                <w:b w:val="0"/>
              </w:rPr>
            </w:pPr>
            <w:r w:rsidRPr="009D5847">
              <w:rPr>
                <w:b w:val="0"/>
              </w:rPr>
              <w:t>Not completed (n=6262; 24.8%)</w:t>
            </w:r>
          </w:p>
        </w:tc>
        <w:tc>
          <w:tcPr>
            <w:tcW w:w="745" w:type="pct"/>
            <w:hideMark/>
          </w:tcPr>
          <w:p w14:paraId="38A46BE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192 (3.1%)</w:t>
            </w:r>
          </w:p>
        </w:tc>
        <w:tc>
          <w:tcPr>
            <w:tcW w:w="746" w:type="pct"/>
            <w:hideMark/>
          </w:tcPr>
          <w:p w14:paraId="38A46BE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231 (3.7%)</w:t>
            </w:r>
          </w:p>
        </w:tc>
        <w:tc>
          <w:tcPr>
            <w:tcW w:w="745" w:type="pct"/>
            <w:hideMark/>
          </w:tcPr>
          <w:p w14:paraId="38A46BF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148 (2.4%)</w:t>
            </w:r>
          </w:p>
        </w:tc>
      </w:tr>
      <w:tr w:rsidR="00CA7A60" w:rsidRPr="00FB60E5" w14:paraId="38A46BF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BF2" w14:textId="77777777" w:rsidR="00CA7A60" w:rsidRPr="009D5847" w:rsidRDefault="00CA7A60" w:rsidP="00FB60E5">
            <w:pPr>
              <w:ind w:left="0"/>
              <w:rPr>
                <w:b w:val="0"/>
              </w:rPr>
            </w:pPr>
            <w:r w:rsidRPr="009D5847">
              <w:rPr>
                <w:b w:val="0"/>
              </w:rPr>
              <w:t>Unknown (n=277; 1.1%)</w:t>
            </w:r>
          </w:p>
        </w:tc>
        <w:tc>
          <w:tcPr>
            <w:tcW w:w="745" w:type="pct"/>
            <w:hideMark/>
          </w:tcPr>
          <w:p w14:paraId="38A46BF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(2.2%)</w:t>
            </w:r>
          </w:p>
        </w:tc>
        <w:tc>
          <w:tcPr>
            <w:tcW w:w="746" w:type="pct"/>
            <w:hideMark/>
          </w:tcPr>
          <w:p w14:paraId="38A46BF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(2.5%)</w:t>
            </w:r>
          </w:p>
        </w:tc>
        <w:tc>
          <w:tcPr>
            <w:tcW w:w="745" w:type="pct"/>
            <w:hideMark/>
          </w:tcPr>
          <w:p w14:paraId="38A46BF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042CE9" w:rsidRPr="00FB60E5" w14:paraId="38A46BFB"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BFA" w14:textId="3B87356C" w:rsidR="00042CE9" w:rsidRPr="00FB60E5" w:rsidRDefault="00042CE9" w:rsidP="00FB60E5">
            <w:pPr>
              <w:ind w:left="0"/>
            </w:pPr>
            <w:r w:rsidRPr="00FB60E5">
              <w:t>Primary drug of concern</w:t>
            </w:r>
          </w:p>
        </w:tc>
      </w:tr>
      <w:tr w:rsidR="00CA7A60" w:rsidRPr="00FB60E5" w14:paraId="38A46C00"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BFC" w14:textId="77777777" w:rsidR="00CA7A60" w:rsidRPr="009D5847" w:rsidRDefault="00CA7A60" w:rsidP="00FB60E5">
            <w:pPr>
              <w:ind w:left="0"/>
              <w:rPr>
                <w:b w:val="0"/>
              </w:rPr>
            </w:pPr>
            <w:r w:rsidRPr="009D5847">
              <w:rPr>
                <w:b w:val="0"/>
              </w:rPr>
              <w:t>Alcohol (n=11912; 47.2%)</w:t>
            </w:r>
          </w:p>
        </w:tc>
        <w:tc>
          <w:tcPr>
            <w:tcW w:w="745" w:type="pct"/>
            <w:hideMark/>
          </w:tcPr>
          <w:p w14:paraId="38A46BF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246 (2.1%)</w:t>
            </w:r>
          </w:p>
        </w:tc>
        <w:tc>
          <w:tcPr>
            <w:tcW w:w="746" w:type="pct"/>
            <w:hideMark/>
          </w:tcPr>
          <w:p w14:paraId="38A46BF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248 (2.1%)</w:t>
            </w:r>
          </w:p>
        </w:tc>
        <w:tc>
          <w:tcPr>
            <w:tcW w:w="745" w:type="pct"/>
            <w:hideMark/>
          </w:tcPr>
          <w:p w14:paraId="38A46BF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198 (1.7%)</w:t>
            </w:r>
          </w:p>
        </w:tc>
      </w:tr>
      <w:tr w:rsidR="00CA7A60" w:rsidRPr="00FB60E5" w14:paraId="38A46C05"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C01" w14:textId="77777777" w:rsidR="00CA7A60" w:rsidRPr="009D5847" w:rsidRDefault="00CA7A60" w:rsidP="00FB60E5">
            <w:pPr>
              <w:ind w:left="0"/>
              <w:rPr>
                <w:b w:val="0"/>
              </w:rPr>
            </w:pPr>
            <w:r w:rsidRPr="009D5847">
              <w:rPr>
                <w:b w:val="0"/>
              </w:rPr>
              <w:t>Cannabis (n=5663; 22.4%)</w:t>
            </w:r>
          </w:p>
        </w:tc>
        <w:tc>
          <w:tcPr>
            <w:tcW w:w="745" w:type="pct"/>
            <w:hideMark/>
          </w:tcPr>
          <w:p w14:paraId="38A46C0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97 (1.7%)</w:t>
            </w:r>
          </w:p>
        </w:tc>
        <w:tc>
          <w:tcPr>
            <w:tcW w:w="746" w:type="pct"/>
            <w:hideMark/>
          </w:tcPr>
          <w:p w14:paraId="38A46C0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121 (2.1%)</w:t>
            </w:r>
          </w:p>
        </w:tc>
        <w:tc>
          <w:tcPr>
            <w:tcW w:w="745" w:type="pct"/>
            <w:hideMark/>
          </w:tcPr>
          <w:p w14:paraId="38A46C0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95 (1.7%)</w:t>
            </w:r>
          </w:p>
        </w:tc>
      </w:tr>
      <w:tr w:rsidR="00CA7A60" w:rsidRPr="00FB60E5" w14:paraId="38A46C0A"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C06" w14:textId="77777777" w:rsidR="00CA7A60" w:rsidRPr="009D5847" w:rsidRDefault="00CA7A60" w:rsidP="00FB60E5">
            <w:pPr>
              <w:ind w:left="0"/>
              <w:rPr>
                <w:b w:val="0"/>
              </w:rPr>
            </w:pPr>
            <w:r w:rsidRPr="009D5847">
              <w:rPr>
                <w:b w:val="0"/>
              </w:rPr>
              <w:t>Heroin &amp; other opioids (n=3863; 15.3%)</w:t>
            </w:r>
          </w:p>
        </w:tc>
        <w:tc>
          <w:tcPr>
            <w:tcW w:w="745" w:type="pct"/>
            <w:hideMark/>
          </w:tcPr>
          <w:p w14:paraId="38A46C0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149 (3.9%)</w:t>
            </w:r>
          </w:p>
        </w:tc>
        <w:tc>
          <w:tcPr>
            <w:tcW w:w="746" w:type="pct"/>
            <w:hideMark/>
          </w:tcPr>
          <w:p w14:paraId="38A46C0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173 (4.5%)</w:t>
            </w:r>
          </w:p>
        </w:tc>
        <w:tc>
          <w:tcPr>
            <w:tcW w:w="745" w:type="pct"/>
            <w:hideMark/>
          </w:tcPr>
          <w:p w14:paraId="38A46C0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116 (3.0%)</w:t>
            </w:r>
          </w:p>
        </w:tc>
      </w:tr>
      <w:tr w:rsidR="00CA7A60" w:rsidRPr="00FB60E5" w14:paraId="38A46C0F"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C0B" w14:textId="77777777" w:rsidR="00CA7A60" w:rsidRPr="009D5847" w:rsidRDefault="00CA7A60" w:rsidP="00FB60E5">
            <w:pPr>
              <w:ind w:left="0"/>
              <w:rPr>
                <w:b w:val="0"/>
              </w:rPr>
            </w:pPr>
            <w:r w:rsidRPr="009D5847">
              <w:rPr>
                <w:b w:val="0"/>
              </w:rPr>
              <w:t>Amphetamine &amp; other stimulants (n=2198; 8.7%)</w:t>
            </w:r>
          </w:p>
        </w:tc>
        <w:tc>
          <w:tcPr>
            <w:tcW w:w="745" w:type="pct"/>
            <w:hideMark/>
          </w:tcPr>
          <w:p w14:paraId="38A46C0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 (2.2%)</w:t>
            </w:r>
          </w:p>
        </w:tc>
        <w:tc>
          <w:tcPr>
            <w:tcW w:w="746" w:type="pct"/>
            <w:hideMark/>
          </w:tcPr>
          <w:p w14:paraId="38A46C0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65 (3.0%)</w:t>
            </w:r>
          </w:p>
        </w:tc>
        <w:tc>
          <w:tcPr>
            <w:tcW w:w="745" w:type="pct"/>
            <w:hideMark/>
          </w:tcPr>
          <w:p w14:paraId="38A46C0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58 (2.6%)</w:t>
            </w:r>
          </w:p>
        </w:tc>
      </w:tr>
      <w:tr w:rsidR="00CA7A60" w:rsidRPr="00FB60E5" w14:paraId="38A46C14"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10" w14:textId="77777777" w:rsidR="00CA7A60" w:rsidRPr="009D5847" w:rsidRDefault="00CA7A60" w:rsidP="00FB60E5">
            <w:pPr>
              <w:ind w:left="0"/>
              <w:rPr>
                <w:b w:val="0"/>
              </w:rPr>
            </w:pPr>
            <w:r w:rsidRPr="009D5847">
              <w:rPr>
                <w:b w:val="0"/>
              </w:rPr>
              <w:t xml:space="preserve">Benzodiazepines &amp; other tranquillisers (n=522; </w:t>
            </w:r>
            <w:r w:rsidRPr="009D5847">
              <w:rPr>
                <w:b w:val="0"/>
              </w:rPr>
              <w:lastRenderedPageBreak/>
              <w:t>2.1%)</w:t>
            </w:r>
          </w:p>
        </w:tc>
        <w:tc>
          <w:tcPr>
            <w:tcW w:w="745" w:type="pct"/>
            <w:hideMark/>
          </w:tcPr>
          <w:p w14:paraId="38A46C1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lastRenderedPageBreak/>
              <w:t>28 (5.4%)</w:t>
            </w:r>
          </w:p>
        </w:tc>
        <w:tc>
          <w:tcPr>
            <w:tcW w:w="746" w:type="pct"/>
            <w:hideMark/>
          </w:tcPr>
          <w:p w14:paraId="38A46C1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 (6.1%)</w:t>
            </w:r>
          </w:p>
        </w:tc>
        <w:tc>
          <w:tcPr>
            <w:tcW w:w="745" w:type="pct"/>
            <w:hideMark/>
          </w:tcPr>
          <w:p w14:paraId="38A46C1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 (4.4%)</w:t>
            </w:r>
          </w:p>
        </w:tc>
      </w:tr>
      <w:tr w:rsidR="00CA7A60" w:rsidRPr="00FB60E5" w14:paraId="38A46C19"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15" w14:textId="77777777" w:rsidR="00CA7A60" w:rsidRPr="009D5847" w:rsidRDefault="00CA7A60" w:rsidP="00FB60E5">
            <w:pPr>
              <w:ind w:left="0"/>
              <w:rPr>
                <w:b w:val="0"/>
              </w:rPr>
            </w:pPr>
            <w:r w:rsidRPr="009D5847">
              <w:rPr>
                <w:b w:val="0"/>
              </w:rPr>
              <w:lastRenderedPageBreak/>
              <w:t>Other (n=730; 2.9%)</w:t>
            </w:r>
          </w:p>
        </w:tc>
        <w:tc>
          <w:tcPr>
            <w:tcW w:w="745" w:type="pct"/>
            <w:hideMark/>
          </w:tcPr>
          <w:p w14:paraId="38A46C1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 (2.9%)</w:t>
            </w:r>
          </w:p>
        </w:tc>
        <w:tc>
          <w:tcPr>
            <w:tcW w:w="746" w:type="pct"/>
            <w:hideMark/>
          </w:tcPr>
          <w:p w14:paraId="38A46C1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 (2.9%)</w:t>
            </w:r>
          </w:p>
        </w:tc>
        <w:tc>
          <w:tcPr>
            <w:tcW w:w="745" w:type="pct"/>
            <w:hideMark/>
          </w:tcPr>
          <w:p w14:paraId="38A46C1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(1.4%)</w:t>
            </w:r>
          </w:p>
        </w:tc>
      </w:tr>
      <w:tr w:rsidR="00CA7A60" w:rsidRPr="00FB60E5" w14:paraId="38A46C1E"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1A" w14:textId="77777777" w:rsidR="00CA7A60" w:rsidRPr="009D5847" w:rsidRDefault="00CA7A60" w:rsidP="00FB60E5">
            <w:pPr>
              <w:ind w:left="0"/>
              <w:rPr>
                <w:b w:val="0"/>
              </w:rPr>
            </w:pPr>
            <w:r w:rsidRPr="009D5847">
              <w:rPr>
                <w:b w:val="0"/>
              </w:rPr>
              <w:t>Unknown (n=341; 1.4%)</w:t>
            </w:r>
          </w:p>
        </w:tc>
        <w:tc>
          <w:tcPr>
            <w:tcW w:w="745" w:type="pct"/>
            <w:hideMark/>
          </w:tcPr>
          <w:p w14:paraId="38A46C1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 (3.8%)</w:t>
            </w:r>
          </w:p>
        </w:tc>
        <w:tc>
          <w:tcPr>
            <w:tcW w:w="746" w:type="pct"/>
            <w:hideMark/>
          </w:tcPr>
          <w:p w14:paraId="38A46C1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(3.5%)</w:t>
            </w:r>
          </w:p>
        </w:tc>
        <w:tc>
          <w:tcPr>
            <w:tcW w:w="745" w:type="pct"/>
            <w:hideMark/>
          </w:tcPr>
          <w:p w14:paraId="38A46C1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bl>
    <w:p w14:paraId="6AEE8041" w14:textId="77777777" w:rsidR="002C27A8" w:rsidRDefault="009A63CC" w:rsidP="00FB60E5">
      <w:pPr>
        <w:ind w:left="0"/>
      </w:pPr>
      <w:fldSimple w:instr=" REF _Ref386641988  \* MERGEFORMAT ">
        <w:r w:rsidR="00E150CA" w:rsidRPr="00FB60E5">
          <w:t>Table 4.11</w:t>
        </w:r>
      </w:fldSimple>
      <w:r w:rsidR="00CA7A60" w:rsidRPr="00FB60E5">
        <w:t xml:space="preserve"> shows the proportion of AOD clients diagnosed in the ED with an alcohol-related chronic condition across the three years by AOD treatment characteristics and primary drug of concern on entry into AOD treatment. Overall, there was stability in proportions of clients presenting with alcohol-related chronic conditions over the three years presented. This is likely a reflection of patterns of morbidity associated with alcohol-related chronic conditions, with need for acute treatment of recurring symptoms even after reduction or cessation of alcohol consumption</w:t>
      </w:r>
      <w:r w:rsidR="002C27A8">
        <w:t>.</w:t>
      </w:r>
    </w:p>
    <w:p w14:paraId="38A46C23" w14:textId="61F0C501" w:rsidR="00CA7A60" w:rsidRPr="00FB60E5" w:rsidRDefault="00CA7A60" w:rsidP="00552239">
      <w:pPr>
        <w:pStyle w:val="Caption"/>
      </w:pPr>
      <w:bookmarkStart w:id="256" w:name="_Ref386641988"/>
      <w:bookmarkStart w:id="257" w:name="_Toc387244635"/>
      <w:bookmarkStart w:id="258" w:name="_Toc531625808"/>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11</w:t>
      </w:r>
      <w:r w:rsidR="00552239">
        <w:fldChar w:fldCharType="end"/>
      </w:r>
      <w:bookmarkEnd w:id="256"/>
      <w:r w:rsidR="002C27A8">
        <w:t xml:space="preserve"> </w:t>
      </w:r>
      <w:r w:rsidRPr="00FB60E5">
        <w:t xml:space="preserve">ED presentations for alcohol-related chronic conditions by AOD </w:t>
      </w:r>
      <w:r w:rsidR="004B5CD4" w:rsidRPr="00FB60E5">
        <w:t>treatment</w:t>
      </w:r>
      <w:r w:rsidRPr="00FB60E5">
        <w:t xml:space="preserve"> type, primary drug of concern and treatment termination status, 2009/10, 2010/11 and 2011/12</w:t>
      </w:r>
      <w:bookmarkEnd w:id="257"/>
      <w:bookmarkEnd w:id="258"/>
    </w:p>
    <w:tbl>
      <w:tblPr>
        <w:tblStyle w:val="LightList-Accent1"/>
        <w:tblW w:w="5000" w:type="pct"/>
        <w:tblLook w:val="04A0" w:firstRow="1" w:lastRow="0" w:firstColumn="1" w:lastColumn="0" w:noHBand="0" w:noVBand="1"/>
        <w:tblDescription w:val="Table 4.11 is a list of ED presentations for alcohol-related chronic conditions by AOD treatment type, primary drug of concern and treatment termination status, 2009/10, 2010/11 and 2011/12"/>
      </w:tblPr>
      <w:tblGrid>
        <w:gridCol w:w="5015"/>
        <w:gridCol w:w="1410"/>
        <w:gridCol w:w="1410"/>
        <w:gridCol w:w="1407"/>
      </w:tblGrid>
      <w:tr w:rsidR="00CA7A60" w:rsidRPr="00FB60E5" w14:paraId="38A46C26"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3" w:type="pct"/>
            <w:vMerge w:val="restart"/>
            <w:noWrap/>
            <w:hideMark/>
          </w:tcPr>
          <w:p w14:paraId="38A46C24" w14:textId="77777777" w:rsidR="00CA7A60" w:rsidRPr="00FB60E5" w:rsidRDefault="00CA7A60" w:rsidP="00FB60E5">
            <w:pPr>
              <w:ind w:left="0"/>
            </w:pPr>
            <w:r w:rsidRPr="00FB60E5">
              <w:t> </w:t>
            </w:r>
          </w:p>
        </w:tc>
        <w:tc>
          <w:tcPr>
            <w:tcW w:w="2287" w:type="pct"/>
            <w:gridSpan w:val="3"/>
            <w:noWrap/>
            <w:hideMark/>
          </w:tcPr>
          <w:p w14:paraId="38A46C2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Alcohol related chronic conditions</w:t>
            </w:r>
          </w:p>
        </w:tc>
      </w:tr>
      <w:tr w:rsidR="00CA7A60" w:rsidRPr="00FB60E5" w14:paraId="38A46C2B"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3" w:type="pct"/>
            <w:vMerge/>
            <w:hideMark/>
          </w:tcPr>
          <w:p w14:paraId="38A46C27" w14:textId="77777777" w:rsidR="00CA7A60" w:rsidRPr="00FB60E5" w:rsidRDefault="00CA7A60" w:rsidP="00FB60E5">
            <w:pPr>
              <w:ind w:left="0"/>
            </w:pPr>
          </w:p>
        </w:tc>
        <w:tc>
          <w:tcPr>
            <w:tcW w:w="763" w:type="pct"/>
            <w:hideMark/>
          </w:tcPr>
          <w:p w14:paraId="38A46C2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63" w:type="pct"/>
            <w:hideMark/>
          </w:tcPr>
          <w:p w14:paraId="38A46C29"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61" w:type="pct"/>
            <w:hideMark/>
          </w:tcPr>
          <w:p w14:paraId="38A46C2A"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C30"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noWrap/>
            <w:hideMark/>
          </w:tcPr>
          <w:p w14:paraId="38A46C2C" w14:textId="77777777" w:rsidR="00CA7A60" w:rsidRPr="00DB0399" w:rsidRDefault="00CA7A60" w:rsidP="00FB60E5">
            <w:pPr>
              <w:ind w:left="0"/>
              <w:rPr>
                <w:b w:val="0"/>
              </w:rPr>
            </w:pPr>
            <w:r w:rsidRPr="00DB0399">
              <w:rPr>
                <w:b w:val="0"/>
              </w:rPr>
              <w:t>Total (n=25229)</w:t>
            </w:r>
          </w:p>
        </w:tc>
        <w:tc>
          <w:tcPr>
            <w:tcW w:w="763" w:type="pct"/>
            <w:hideMark/>
          </w:tcPr>
          <w:p w14:paraId="38A46C2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463 (1.8%)</w:t>
            </w:r>
          </w:p>
        </w:tc>
        <w:tc>
          <w:tcPr>
            <w:tcW w:w="763" w:type="pct"/>
            <w:hideMark/>
          </w:tcPr>
          <w:p w14:paraId="38A46C2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492 (2.0%)</w:t>
            </w:r>
          </w:p>
        </w:tc>
        <w:tc>
          <w:tcPr>
            <w:tcW w:w="761" w:type="pct"/>
            <w:hideMark/>
          </w:tcPr>
          <w:p w14:paraId="38A46C2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442 (1.8%)</w:t>
            </w:r>
          </w:p>
        </w:tc>
      </w:tr>
      <w:tr w:rsidR="00DB0399" w:rsidRPr="00FB60E5" w14:paraId="38A46C35"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C34" w14:textId="7923681C" w:rsidR="00DB0399" w:rsidRPr="00FB60E5" w:rsidRDefault="00DB0399" w:rsidP="00FB60E5">
            <w:pPr>
              <w:ind w:left="0"/>
            </w:pPr>
            <w:r w:rsidRPr="00FB60E5">
              <w:t>Treatment type</w:t>
            </w:r>
          </w:p>
        </w:tc>
      </w:tr>
      <w:tr w:rsidR="00CA7A60" w:rsidRPr="00FB60E5" w14:paraId="38A46C3A"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36" w14:textId="77777777" w:rsidR="00CA7A60" w:rsidRPr="00DB0399" w:rsidRDefault="00CA7A60" w:rsidP="00FB60E5">
            <w:pPr>
              <w:ind w:left="0"/>
              <w:rPr>
                <w:b w:val="0"/>
              </w:rPr>
            </w:pPr>
            <w:r w:rsidRPr="00DB0399">
              <w:rPr>
                <w:b w:val="0"/>
              </w:rPr>
              <w:t>Counselling (n=11919; 47.2%)</w:t>
            </w:r>
          </w:p>
        </w:tc>
        <w:tc>
          <w:tcPr>
            <w:tcW w:w="763" w:type="pct"/>
            <w:hideMark/>
          </w:tcPr>
          <w:p w14:paraId="38A46C3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216 (1.8%)</w:t>
            </w:r>
          </w:p>
        </w:tc>
        <w:tc>
          <w:tcPr>
            <w:tcW w:w="763" w:type="pct"/>
            <w:hideMark/>
          </w:tcPr>
          <w:p w14:paraId="38A46C3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224 (1.9%)</w:t>
            </w:r>
          </w:p>
        </w:tc>
        <w:tc>
          <w:tcPr>
            <w:tcW w:w="761" w:type="pct"/>
            <w:hideMark/>
          </w:tcPr>
          <w:p w14:paraId="38A46C3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211 (1.8%)</w:t>
            </w:r>
          </w:p>
        </w:tc>
      </w:tr>
      <w:tr w:rsidR="00CA7A60" w:rsidRPr="00FB60E5" w14:paraId="38A46C3F"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3B" w14:textId="77777777" w:rsidR="00CA7A60" w:rsidRPr="00DB0399" w:rsidRDefault="00CA7A60" w:rsidP="00FB60E5">
            <w:pPr>
              <w:ind w:left="0"/>
              <w:rPr>
                <w:b w:val="0"/>
              </w:rPr>
            </w:pPr>
            <w:r w:rsidRPr="00DB0399">
              <w:rPr>
                <w:b w:val="0"/>
              </w:rPr>
              <w:t>Residential withdrawal (n=1962; 7.8%)</w:t>
            </w:r>
          </w:p>
        </w:tc>
        <w:tc>
          <w:tcPr>
            <w:tcW w:w="763" w:type="pct"/>
            <w:hideMark/>
          </w:tcPr>
          <w:p w14:paraId="38A46C3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68 (3.5%)</w:t>
            </w:r>
          </w:p>
        </w:tc>
        <w:tc>
          <w:tcPr>
            <w:tcW w:w="763" w:type="pct"/>
            <w:hideMark/>
          </w:tcPr>
          <w:p w14:paraId="38A46C3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78 (4.0%)</w:t>
            </w:r>
          </w:p>
        </w:tc>
        <w:tc>
          <w:tcPr>
            <w:tcW w:w="761" w:type="pct"/>
            <w:hideMark/>
          </w:tcPr>
          <w:p w14:paraId="38A46C3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 (2.7%)</w:t>
            </w:r>
          </w:p>
        </w:tc>
      </w:tr>
      <w:tr w:rsidR="00CA7A60" w:rsidRPr="00FB60E5" w14:paraId="38A46C44"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40" w14:textId="77777777" w:rsidR="00CA7A60" w:rsidRPr="00DB0399" w:rsidRDefault="00CA7A60" w:rsidP="00FB60E5">
            <w:pPr>
              <w:ind w:left="0"/>
              <w:rPr>
                <w:b w:val="0"/>
              </w:rPr>
            </w:pPr>
            <w:r w:rsidRPr="00DB0399">
              <w:rPr>
                <w:b w:val="0"/>
              </w:rPr>
              <w:t>Other withdrawal (n=2582; 10.2%)</w:t>
            </w:r>
          </w:p>
        </w:tc>
        <w:tc>
          <w:tcPr>
            <w:tcW w:w="763" w:type="pct"/>
            <w:hideMark/>
          </w:tcPr>
          <w:p w14:paraId="38A46C4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52 (2.0%)</w:t>
            </w:r>
          </w:p>
        </w:tc>
        <w:tc>
          <w:tcPr>
            <w:tcW w:w="763" w:type="pct"/>
            <w:hideMark/>
          </w:tcPr>
          <w:p w14:paraId="38A46C4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 (2.5%)</w:t>
            </w:r>
          </w:p>
        </w:tc>
        <w:tc>
          <w:tcPr>
            <w:tcW w:w="761" w:type="pct"/>
            <w:hideMark/>
          </w:tcPr>
          <w:p w14:paraId="38A46C4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62 (2.4%)</w:t>
            </w:r>
          </w:p>
        </w:tc>
      </w:tr>
      <w:tr w:rsidR="00CA7A60" w:rsidRPr="00FB60E5" w14:paraId="38A46C49"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45" w14:textId="77777777" w:rsidR="00CA7A60" w:rsidRPr="00DB0399" w:rsidRDefault="00CA7A60" w:rsidP="00FB60E5">
            <w:pPr>
              <w:ind w:left="0"/>
              <w:rPr>
                <w:b w:val="0"/>
              </w:rPr>
            </w:pPr>
            <w:r w:rsidRPr="00DB0399">
              <w:rPr>
                <w:b w:val="0"/>
              </w:rPr>
              <w:t>Outreach (n=2368; 9.4%)</w:t>
            </w:r>
          </w:p>
        </w:tc>
        <w:tc>
          <w:tcPr>
            <w:tcW w:w="763" w:type="pct"/>
            <w:hideMark/>
          </w:tcPr>
          <w:p w14:paraId="38A46C4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 (0.9%)</w:t>
            </w:r>
          </w:p>
        </w:tc>
        <w:tc>
          <w:tcPr>
            <w:tcW w:w="763" w:type="pct"/>
            <w:hideMark/>
          </w:tcPr>
          <w:p w14:paraId="38A46C4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 (1.3%)</w:t>
            </w:r>
          </w:p>
        </w:tc>
        <w:tc>
          <w:tcPr>
            <w:tcW w:w="761" w:type="pct"/>
            <w:hideMark/>
          </w:tcPr>
          <w:p w14:paraId="38A46C4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(0.7%)</w:t>
            </w:r>
          </w:p>
        </w:tc>
      </w:tr>
      <w:tr w:rsidR="00CA7A60" w:rsidRPr="00FB60E5" w14:paraId="38A46C4E"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4A" w14:textId="77777777" w:rsidR="00CA7A60" w:rsidRPr="00DB0399" w:rsidRDefault="00CA7A60" w:rsidP="00FB60E5">
            <w:pPr>
              <w:ind w:left="0"/>
              <w:rPr>
                <w:b w:val="0"/>
              </w:rPr>
            </w:pPr>
            <w:r w:rsidRPr="00DB0399">
              <w:rPr>
                <w:b w:val="0"/>
              </w:rPr>
              <w:t>Brokerage (n=3904; 15.5%)</w:t>
            </w:r>
          </w:p>
        </w:tc>
        <w:tc>
          <w:tcPr>
            <w:tcW w:w="763" w:type="pct"/>
            <w:hideMark/>
          </w:tcPr>
          <w:p w14:paraId="38A46C4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 (1.2%)</w:t>
            </w:r>
          </w:p>
        </w:tc>
        <w:tc>
          <w:tcPr>
            <w:tcW w:w="763" w:type="pct"/>
            <w:hideMark/>
          </w:tcPr>
          <w:p w14:paraId="38A46C4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 (1.3%)</w:t>
            </w:r>
          </w:p>
        </w:tc>
        <w:tc>
          <w:tcPr>
            <w:tcW w:w="761" w:type="pct"/>
            <w:hideMark/>
          </w:tcPr>
          <w:p w14:paraId="38A46C4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54 (1.4%)</w:t>
            </w:r>
          </w:p>
        </w:tc>
      </w:tr>
      <w:tr w:rsidR="00CA7A60" w:rsidRPr="00FB60E5" w14:paraId="38A46C53"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4F" w14:textId="77777777" w:rsidR="00CA7A60" w:rsidRPr="00DB0399" w:rsidRDefault="00CA7A60" w:rsidP="00FB60E5">
            <w:pPr>
              <w:ind w:left="0"/>
              <w:rPr>
                <w:b w:val="0"/>
              </w:rPr>
            </w:pPr>
            <w:r w:rsidRPr="00DB0399">
              <w:rPr>
                <w:b w:val="0"/>
              </w:rPr>
              <w:t>Aboriginal services (n=733; 2.9%)</w:t>
            </w:r>
          </w:p>
        </w:tc>
        <w:tc>
          <w:tcPr>
            <w:tcW w:w="763" w:type="pct"/>
            <w:hideMark/>
          </w:tcPr>
          <w:p w14:paraId="38A46C5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 (3.7%)</w:t>
            </w:r>
          </w:p>
        </w:tc>
        <w:tc>
          <w:tcPr>
            <w:tcW w:w="763" w:type="pct"/>
            <w:hideMark/>
          </w:tcPr>
          <w:p w14:paraId="38A46C5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 (2.3%)</w:t>
            </w:r>
          </w:p>
        </w:tc>
        <w:tc>
          <w:tcPr>
            <w:tcW w:w="761" w:type="pct"/>
            <w:hideMark/>
          </w:tcPr>
          <w:p w14:paraId="38A46C5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(2.2%)</w:t>
            </w:r>
          </w:p>
        </w:tc>
      </w:tr>
      <w:tr w:rsidR="00CA7A60" w:rsidRPr="00FB60E5" w14:paraId="38A46C58"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54" w14:textId="77777777" w:rsidR="00CA7A60" w:rsidRPr="00DB0399" w:rsidRDefault="00CA7A60" w:rsidP="00FB60E5">
            <w:pPr>
              <w:ind w:left="0"/>
              <w:rPr>
                <w:b w:val="0"/>
              </w:rPr>
            </w:pPr>
            <w:r w:rsidRPr="00DB0399">
              <w:rPr>
                <w:b w:val="0"/>
              </w:rPr>
              <w:t>Specialist pharmacotherapy (n=401; 1.6%)</w:t>
            </w:r>
          </w:p>
        </w:tc>
        <w:tc>
          <w:tcPr>
            <w:tcW w:w="763" w:type="pct"/>
            <w:hideMark/>
          </w:tcPr>
          <w:p w14:paraId="38A46C5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(1.7%)</w:t>
            </w:r>
          </w:p>
        </w:tc>
        <w:tc>
          <w:tcPr>
            <w:tcW w:w="763" w:type="pct"/>
            <w:hideMark/>
          </w:tcPr>
          <w:p w14:paraId="38A46C5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(2.0%)</w:t>
            </w:r>
          </w:p>
        </w:tc>
        <w:tc>
          <w:tcPr>
            <w:tcW w:w="761" w:type="pct"/>
            <w:hideMark/>
          </w:tcPr>
          <w:p w14:paraId="38A46C5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(1.5%)</w:t>
            </w:r>
          </w:p>
        </w:tc>
      </w:tr>
      <w:tr w:rsidR="00CA7A60" w:rsidRPr="00FB60E5" w14:paraId="38A46C5D"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59" w14:textId="77777777" w:rsidR="00CA7A60" w:rsidRPr="00DB0399" w:rsidRDefault="00CA7A60" w:rsidP="00FB60E5">
            <w:pPr>
              <w:ind w:left="0"/>
              <w:rPr>
                <w:b w:val="0"/>
              </w:rPr>
            </w:pPr>
            <w:r w:rsidRPr="00DB0399">
              <w:rPr>
                <w:b w:val="0"/>
              </w:rPr>
              <w:t>Residential rehabilitation (n=176; 0.7%)</w:t>
            </w:r>
          </w:p>
        </w:tc>
        <w:tc>
          <w:tcPr>
            <w:tcW w:w="763" w:type="pct"/>
            <w:hideMark/>
          </w:tcPr>
          <w:p w14:paraId="38A46C5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63" w:type="pct"/>
            <w:hideMark/>
          </w:tcPr>
          <w:p w14:paraId="38A46C5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61" w:type="pct"/>
            <w:hideMark/>
          </w:tcPr>
          <w:p w14:paraId="38A46C5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6C62"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5E" w14:textId="77777777" w:rsidR="00CA7A60" w:rsidRPr="00DB0399" w:rsidRDefault="00CA7A60" w:rsidP="00FB60E5">
            <w:pPr>
              <w:ind w:left="0"/>
              <w:rPr>
                <w:b w:val="0"/>
              </w:rPr>
            </w:pPr>
            <w:r w:rsidRPr="00DB0399">
              <w:rPr>
                <w:b w:val="0"/>
              </w:rPr>
              <w:t>Supported accommodation (n=269; 1.1%)</w:t>
            </w:r>
          </w:p>
        </w:tc>
        <w:tc>
          <w:tcPr>
            <w:tcW w:w="763" w:type="pct"/>
            <w:hideMark/>
          </w:tcPr>
          <w:p w14:paraId="38A46C5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63" w:type="pct"/>
            <w:hideMark/>
          </w:tcPr>
          <w:p w14:paraId="38A46C6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(1.9%)</w:t>
            </w:r>
          </w:p>
        </w:tc>
        <w:tc>
          <w:tcPr>
            <w:tcW w:w="761" w:type="pct"/>
            <w:hideMark/>
          </w:tcPr>
          <w:p w14:paraId="38A46C6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(1.9%)</w:t>
            </w:r>
          </w:p>
        </w:tc>
      </w:tr>
      <w:tr w:rsidR="00CA7A60" w:rsidRPr="00FB60E5" w14:paraId="38A46C6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63" w14:textId="77777777" w:rsidR="00CA7A60" w:rsidRPr="00DB0399" w:rsidRDefault="00CA7A60" w:rsidP="00FB60E5">
            <w:pPr>
              <w:ind w:left="0"/>
              <w:rPr>
                <w:b w:val="0"/>
              </w:rPr>
            </w:pPr>
            <w:r w:rsidRPr="00DB0399">
              <w:rPr>
                <w:b w:val="0"/>
              </w:rPr>
              <w:t>Post withdrawal linkage (n=256; 1.0%)</w:t>
            </w:r>
          </w:p>
        </w:tc>
        <w:tc>
          <w:tcPr>
            <w:tcW w:w="763" w:type="pct"/>
            <w:hideMark/>
          </w:tcPr>
          <w:p w14:paraId="38A46C6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 (3.1%)</w:t>
            </w:r>
          </w:p>
        </w:tc>
        <w:tc>
          <w:tcPr>
            <w:tcW w:w="763" w:type="pct"/>
            <w:hideMark/>
          </w:tcPr>
          <w:p w14:paraId="38A46C6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(2.0%)</w:t>
            </w:r>
          </w:p>
        </w:tc>
        <w:tc>
          <w:tcPr>
            <w:tcW w:w="761" w:type="pct"/>
            <w:hideMark/>
          </w:tcPr>
          <w:p w14:paraId="38A46C6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6C6C"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68" w14:textId="77777777" w:rsidR="00CA7A60" w:rsidRPr="00DB0399" w:rsidRDefault="00CA7A60" w:rsidP="00FB60E5">
            <w:pPr>
              <w:ind w:left="0"/>
              <w:rPr>
                <w:b w:val="0"/>
              </w:rPr>
            </w:pPr>
            <w:r w:rsidRPr="00DB0399">
              <w:rPr>
                <w:b w:val="0"/>
              </w:rPr>
              <w:t>Other/unknown (n=659; 2.6%)</w:t>
            </w:r>
          </w:p>
        </w:tc>
        <w:tc>
          <w:tcPr>
            <w:tcW w:w="763" w:type="pct"/>
            <w:hideMark/>
          </w:tcPr>
          <w:p w14:paraId="38A46C6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(1.2%)</w:t>
            </w:r>
          </w:p>
        </w:tc>
        <w:tc>
          <w:tcPr>
            <w:tcW w:w="763" w:type="pct"/>
            <w:hideMark/>
          </w:tcPr>
          <w:p w14:paraId="38A46C6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 (1.5%)</w:t>
            </w:r>
          </w:p>
        </w:tc>
        <w:tc>
          <w:tcPr>
            <w:tcW w:w="761" w:type="pct"/>
            <w:hideMark/>
          </w:tcPr>
          <w:p w14:paraId="38A46C6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 (2.0%)</w:t>
            </w:r>
          </w:p>
        </w:tc>
      </w:tr>
      <w:tr w:rsidR="00DB0399" w:rsidRPr="00FB60E5" w14:paraId="38A46C6F"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C6E" w14:textId="7B6D197C" w:rsidR="00DB0399" w:rsidRPr="00DB0399" w:rsidRDefault="00DB0399" w:rsidP="00FB60E5">
            <w:pPr>
              <w:ind w:left="0"/>
              <w:rPr>
                <w:b w:val="0"/>
                <w:bCs w:val="0"/>
              </w:rPr>
            </w:pPr>
            <w:r w:rsidRPr="00FB60E5">
              <w:t>Treatment termination status</w:t>
            </w:r>
          </w:p>
        </w:tc>
      </w:tr>
      <w:tr w:rsidR="00CA7A60" w:rsidRPr="00FB60E5" w14:paraId="38A46C74"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70" w14:textId="77777777" w:rsidR="00CA7A60" w:rsidRPr="00DB0399" w:rsidRDefault="00CA7A60" w:rsidP="00FB60E5">
            <w:pPr>
              <w:ind w:left="0"/>
              <w:rPr>
                <w:b w:val="0"/>
              </w:rPr>
            </w:pPr>
            <w:r w:rsidRPr="00DB0399">
              <w:rPr>
                <w:b w:val="0"/>
              </w:rPr>
              <w:t>Completed treatment (n=18690; 74.1%)</w:t>
            </w:r>
          </w:p>
        </w:tc>
        <w:tc>
          <w:tcPr>
            <w:tcW w:w="763" w:type="pct"/>
            <w:hideMark/>
          </w:tcPr>
          <w:p w14:paraId="38A46C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325 (1.7%)</w:t>
            </w:r>
          </w:p>
        </w:tc>
        <w:tc>
          <w:tcPr>
            <w:tcW w:w="763" w:type="pct"/>
            <w:hideMark/>
          </w:tcPr>
          <w:p w14:paraId="38A46C7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347 (1.9%)</w:t>
            </w:r>
          </w:p>
        </w:tc>
        <w:tc>
          <w:tcPr>
            <w:tcW w:w="761" w:type="pct"/>
            <w:hideMark/>
          </w:tcPr>
          <w:p w14:paraId="38A46C7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315 (1.7%)</w:t>
            </w:r>
          </w:p>
        </w:tc>
      </w:tr>
      <w:tr w:rsidR="00CA7A60" w:rsidRPr="00FB60E5" w14:paraId="38A46C79"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75" w14:textId="77777777" w:rsidR="00CA7A60" w:rsidRPr="00DB0399" w:rsidRDefault="00CA7A60" w:rsidP="00FB60E5">
            <w:pPr>
              <w:ind w:left="0"/>
              <w:rPr>
                <w:b w:val="0"/>
              </w:rPr>
            </w:pPr>
            <w:r w:rsidRPr="00DB0399">
              <w:rPr>
                <w:b w:val="0"/>
              </w:rPr>
              <w:t>Not completed (n=6262; 24.8%)</w:t>
            </w:r>
          </w:p>
        </w:tc>
        <w:tc>
          <w:tcPr>
            <w:tcW w:w="763" w:type="pct"/>
            <w:hideMark/>
          </w:tcPr>
          <w:p w14:paraId="38A46C7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131 (2.1%)</w:t>
            </w:r>
          </w:p>
        </w:tc>
        <w:tc>
          <w:tcPr>
            <w:tcW w:w="763" w:type="pct"/>
            <w:hideMark/>
          </w:tcPr>
          <w:p w14:paraId="38A46C7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136 (2.2%)</w:t>
            </w:r>
          </w:p>
        </w:tc>
        <w:tc>
          <w:tcPr>
            <w:tcW w:w="761" w:type="pct"/>
            <w:hideMark/>
          </w:tcPr>
          <w:p w14:paraId="38A46C7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122 (1.9%)</w:t>
            </w:r>
          </w:p>
        </w:tc>
      </w:tr>
      <w:tr w:rsidR="00CA7A60" w:rsidRPr="00FB60E5" w14:paraId="38A46C7E"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7A" w14:textId="77777777" w:rsidR="00CA7A60" w:rsidRPr="00DB0399" w:rsidRDefault="00CA7A60" w:rsidP="00FB60E5">
            <w:pPr>
              <w:ind w:left="0"/>
              <w:rPr>
                <w:b w:val="0"/>
              </w:rPr>
            </w:pPr>
            <w:r w:rsidRPr="00DB0399">
              <w:rPr>
                <w:b w:val="0"/>
              </w:rPr>
              <w:t>Unknown (n=277; 1.1%)</w:t>
            </w:r>
          </w:p>
        </w:tc>
        <w:tc>
          <w:tcPr>
            <w:tcW w:w="763" w:type="pct"/>
            <w:hideMark/>
          </w:tcPr>
          <w:p w14:paraId="38A46C7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(2.5%)</w:t>
            </w:r>
          </w:p>
        </w:tc>
        <w:tc>
          <w:tcPr>
            <w:tcW w:w="763" w:type="pct"/>
            <w:hideMark/>
          </w:tcPr>
          <w:p w14:paraId="38A46C7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(3.2%)</w:t>
            </w:r>
          </w:p>
        </w:tc>
        <w:tc>
          <w:tcPr>
            <w:tcW w:w="761" w:type="pct"/>
            <w:hideMark/>
          </w:tcPr>
          <w:p w14:paraId="38A46C7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(1.8%)</w:t>
            </w:r>
          </w:p>
        </w:tc>
      </w:tr>
      <w:tr w:rsidR="00DB0399" w:rsidRPr="00FB60E5" w14:paraId="38A46C83"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C82" w14:textId="7A333C1D" w:rsidR="00DB0399" w:rsidRPr="00FB60E5" w:rsidRDefault="00DB0399" w:rsidP="00FB60E5">
            <w:pPr>
              <w:ind w:left="0"/>
            </w:pPr>
            <w:r w:rsidRPr="00FB60E5">
              <w:t>Primary drug of concern</w:t>
            </w:r>
          </w:p>
        </w:tc>
      </w:tr>
      <w:tr w:rsidR="00CA7A60" w:rsidRPr="00FB60E5" w14:paraId="38A46C88"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noWrap/>
            <w:hideMark/>
          </w:tcPr>
          <w:p w14:paraId="38A46C84" w14:textId="77777777" w:rsidR="00CA7A60" w:rsidRPr="00DB0399" w:rsidRDefault="00CA7A60" w:rsidP="00FB60E5">
            <w:pPr>
              <w:ind w:left="0"/>
              <w:rPr>
                <w:b w:val="0"/>
              </w:rPr>
            </w:pPr>
            <w:r w:rsidRPr="00DB0399">
              <w:rPr>
                <w:b w:val="0"/>
              </w:rPr>
              <w:t>Alcohol (n=11912; 47.2%)</w:t>
            </w:r>
          </w:p>
        </w:tc>
        <w:tc>
          <w:tcPr>
            <w:tcW w:w="763" w:type="pct"/>
            <w:hideMark/>
          </w:tcPr>
          <w:p w14:paraId="38A46C8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274 (2.3%)</w:t>
            </w:r>
          </w:p>
        </w:tc>
        <w:tc>
          <w:tcPr>
            <w:tcW w:w="763" w:type="pct"/>
            <w:hideMark/>
          </w:tcPr>
          <w:p w14:paraId="38A46C8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302 (2.5%)</w:t>
            </w:r>
          </w:p>
        </w:tc>
        <w:tc>
          <w:tcPr>
            <w:tcW w:w="761" w:type="pct"/>
            <w:hideMark/>
          </w:tcPr>
          <w:p w14:paraId="38A46C8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270 (2.3%)</w:t>
            </w:r>
          </w:p>
        </w:tc>
      </w:tr>
      <w:tr w:rsidR="00CA7A60" w:rsidRPr="00FB60E5" w14:paraId="38A46C8D"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noWrap/>
            <w:hideMark/>
          </w:tcPr>
          <w:p w14:paraId="38A46C89" w14:textId="77777777" w:rsidR="00CA7A60" w:rsidRPr="00DB0399" w:rsidRDefault="00CA7A60" w:rsidP="00FB60E5">
            <w:pPr>
              <w:ind w:left="0"/>
              <w:rPr>
                <w:b w:val="0"/>
              </w:rPr>
            </w:pPr>
            <w:r w:rsidRPr="00DB0399">
              <w:rPr>
                <w:b w:val="0"/>
              </w:rPr>
              <w:t>Cannabis (n=5663; 22.4%)</w:t>
            </w:r>
          </w:p>
        </w:tc>
        <w:tc>
          <w:tcPr>
            <w:tcW w:w="763" w:type="pct"/>
            <w:hideMark/>
          </w:tcPr>
          <w:p w14:paraId="38A46C8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74 (1.3%)</w:t>
            </w:r>
          </w:p>
        </w:tc>
        <w:tc>
          <w:tcPr>
            <w:tcW w:w="763" w:type="pct"/>
            <w:hideMark/>
          </w:tcPr>
          <w:p w14:paraId="38A46C8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68 (1.2%)</w:t>
            </w:r>
          </w:p>
        </w:tc>
        <w:tc>
          <w:tcPr>
            <w:tcW w:w="761" w:type="pct"/>
            <w:hideMark/>
          </w:tcPr>
          <w:p w14:paraId="38A46C8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70 (1.2%)</w:t>
            </w:r>
          </w:p>
        </w:tc>
      </w:tr>
      <w:tr w:rsidR="00CA7A60" w:rsidRPr="00FB60E5" w14:paraId="38A46C92"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noWrap/>
            <w:hideMark/>
          </w:tcPr>
          <w:p w14:paraId="38A46C8E" w14:textId="77777777" w:rsidR="00CA7A60" w:rsidRPr="00DB0399" w:rsidRDefault="00CA7A60" w:rsidP="00FB60E5">
            <w:pPr>
              <w:ind w:left="0"/>
              <w:rPr>
                <w:b w:val="0"/>
              </w:rPr>
            </w:pPr>
            <w:r w:rsidRPr="00DB0399">
              <w:rPr>
                <w:b w:val="0"/>
              </w:rPr>
              <w:t>Heroin &amp; other opioids (n=3863; 15.3%)</w:t>
            </w:r>
          </w:p>
        </w:tc>
        <w:tc>
          <w:tcPr>
            <w:tcW w:w="763" w:type="pct"/>
            <w:hideMark/>
          </w:tcPr>
          <w:p w14:paraId="38A46C8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64 (1.7%)</w:t>
            </w:r>
          </w:p>
        </w:tc>
        <w:tc>
          <w:tcPr>
            <w:tcW w:w="763" w:type="pct"/>
            <w:hideMark/>
          </w:tcPr>
          <w:p w14:paraId="38A46C9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70 (1.8%)</w:t>
            </w:r>
          </w:p>
        </w:tc>
        <w:tc>
          <w:tcPr>
            <w:tcW w:w="761" w:type="pct"/>
            <w:hideMark/>
          </w:tcPr>
          <w:p w14:paraId="38A46C9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 (1.3%)</w:t>
            </w:r>
          </w:p>
        </w:tc>
      </w:tr>
      <w:tr w:rsidR="00CA7A60" w:rsidRPr="00FB60E5" w14:paraId="38A46C9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noWrap/>
            <w:hideMark/>
          </w:tcPr>
          <w:p w14:paraId="38A46C93" w14:textId="77777777" w:rsidR="00CA7A60" w:rsidRPr="00DB0399" w:rsidRDefault="00CA7A60" w:rsidP="00FB60E5">
            <w:pPr>
              <w:ind w:left="0"/>
              <w:rPr>
                <w:b w:val="0"/>
              </w:rPr>
            </w:pPr>
            <w:r w:rsidRPr="00DB0399">
              <w:rPr>
                <w:b w:val="0"/>
              </w:rPr>
              <w:t>Amphetamine &amp; other stimulants (n=2198; 8.7%)</w:t>
            </w:r>
          </w:p>
        </w:tc>
        <w:tc>
          <w:tcPr>
            <w:tcW w:w="763" w:type="pct"/>
            <w:hideMark/>
          </w:tcPr>
          <w:p w14:paraId="38A46C9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 (1.0%)</w:t>
            </w:r>
          </w:p>
        </w:tc>
        <w:tc>
          <w:tcPr>
            <w:tcW w:w="763" w:type="pct"/>
            <w:hideMark/>
          </w:tcPr>
          <w:p w14:paraId="38A46C9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 (0.9%)</w:t>
            </w:r>
          </w:p>
        </w:tc>
        <w:tc>
          <w:tcPr>
            <w:tcW w:w="761" w:type="pct"/>
            <w:hideMark/>
          </w:tcPr>
          <w:p w14:paraId="38A46C9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 (1.0%)</w:t>
            </w:r>
          </w:p>
        </w:tc>
      </w:tr>
      <w:tr w:rsidR="00CA7A60" w:rsidRPr="00FB60E5" w14:paraId="38A46C9C"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98" w14:textId="77777777" w:rsidR="00CA7A60" w:rsidRPr="00DB0399" w:rsidRDefault="00CA7A60" w:rsidP="00FB60E5">
            <w:pPr>
              <w:ind w:left="0"/>
              <w:rPr>
                <w:b w:val="0"/>
              </w:rPr>
            </w:pPr>
            <w:r w:rsidRPr="00DB0399">
              <w:rPr>
                <w:b w:val="0"/>
              </w:rPr>
              <w:t>Benzodiazepines &amp; other tranquillisers (n=522; 2.1%)</w:t>
            </w:r>
          </w:p>
        </w:tc>
        <w:tc>
          <w:tcPr>
            <w:tcW w:w="763" w:type="pct"/>
            <w:hideMark/>
          </w:tcPr>
          <w:p w14:paraId="38A46C9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63" w:type="pct"/>
            <w:hideMark/>
          </w:tcPr>
          <w:p w14:paraId="38A46C9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(1.7%)</w:t>
            </w:r>
          </w:p>
        </w:tc>
        <w:tc>
          <w:tcPr>
            <w:tcW w:w="761" w:type="pct"/>
            <w:hideMark/>
          </w:tcPr>
          <w:p w14:paraId="38A46C9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(2.3%)</w:t>
            </w:r>
          </w:p>
        </w:tc>
      </w:tr>
      <w:tr w:rsidR="00CA7A60" w:rsidRPr="00FB60E5" w14:paraId="38A46CA1"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9D" w14:textId="77777777" w:rsidR="00CA7A60" w:rsidRPr="00DB0399" w:rsidRDefault="00CA7A60" w:rsidP="00FB60E5">
            <w:pPr>
              <w:ind w:left="0"/>
              <w:rPr>
                <w:b w:val="0"/>
              </w:rPr>
            </w:pPr>
            <w:r w:rsidRPr="00DB0399">
              <w:rPr>
                <w:b w:val="0"/>
              </w:rPr>
              <w:t>Other (n=730; 2.9%)</w:t>
            </w:r>
          </w:p>
        </w:tc>
        <w:tc>
          <w:tcPr>
            <w:tcW w:w="763" w:type="pct"/>
            <w:hideMark/>
          </w:tcPr>
          <w:p w14:paraId="38A46C9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 (2.9%)</w:t>
            </w:r>
          </w:p>
        </w:tc>
        <w:tc>
          <w:tcPr>
            <w:tcW w:w="763" w:type="pct"/>
            <w:hideMark/>
          </w:tcPr>
          <w:p w14:paraId="38A46C9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(2.2%)</w:t>
            </w:r>
          </w:p>
        </w:tc>
        <w:tc>
          <w:tcPr>
            <w:tcW w:w="761" w:type="pct"/>
            <w:hideMark/>
          </w:tcPr>
          <w:p w14:paraId="38A46CA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 (1.9%)</w:t>
            </w:r>
          </w:p>
        </w:tc>
      </w:tr>
      <w:tr w:rsidR="00CA7A60" w:rsidRPr="00FB60E5" w14:paraId="38A46CA6"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13" w:type="pct"/>
            <w:hideMark/>
          </w:tcPr>
          <w:p w14:paraId="38A46CA2" w14:textId="77777777" w:rsidR="00CA7A60" w:rsidRPr="00DB0399" w:rsidRDefault="00CA7A60" w:rsidP="00FB60E5">
            <w:pPr>
              <w:ind w:left="0"/>
              <w:rPr>
                <w:b w:val="0"/>
              </w:rPr>
            </w:pPr>
            <w:r w:rsidRPr="00DB0399">
              <w:rPr>
                <w:b w:val="0"/>
              </w:rPr>
              <w:t>Unknown (n=341; 1.4%)</w:t>
            </w:r>
          </w:p>
        </w:tc>
        <w:tc>
          <w:tcPr>
            <w:tcW w:w="763" w:type="pct"/>
            <w:hideMark/>
          </w:tcPr>
          <w:p w14:paraId="38A46CA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(1.5%)</w:t>
            </w:r>
          </w:p>
        </w:tc>
        <w:tc>
          <w:tcPr>
            <w:tcW w:w="763" w:type="pct"/>
            <w:hideMark/>
          </w:tcPr>
          <w:p w14:paraId="38A46CA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(2.3%)</w:t>
            </w:r>
          </w:p>
        </w:tc>
        <w:tc>
          <w:tcPr>
            <w:tcW w:w="761" w:type="pct"/>
            <w:hideMark/>
          </w:tcPr>
          <w:p w14:paraId="38A46CA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bl>
    <w:p w14:paraId="3FD68569" w14:textId="257F87B6" w:rsidR="002C27A8" w:rsidRDefault="00CA7A60" w:rsidP="00FB60E5">
      <w:pPr>
        <w:ind w:left="0"/>
      </w:pPr>
      <w:r w:rsidRPr="00FB60E5">
        <w:lastRenderedPageBreak/>
        <w:t>Following AOD treatment, there was a decrease in the proportion of clients presenting to ED with an injury (</w:t>
      </w:r>
      <w:r w:rsidR="001B3CBD">
        <w:fldChar w:fldCharType="begin"/>
      </w:r>
      <w:r w:rsidR="001B3CBD">
        <w:instrText xml:space="preserve"> REF _Ref386854650 \h </w:instrText>
      </w:r>
      <w:r w:rsidR="001B3CBD">
        <w:fldChar w:fldCharType="separate"/>
      </w:r>
      <w:r w:rsidR="001B3CBD" w:rsidRPr="00FB60E5">
        <w:t xml:space="preserve">Table </w:t>
      </w:r>
      <w:r w:rsidR="001B3CBD">
        <w:rPr>
          <w:noProof/>
        </w:rPr>
        <w:t>4</w:t>
      </w:r>
      <w:r w:rsidR="001B3CBD">
        <w:t>.</w:t>
      </w:r>
      <w:r w:rsidR="001B3CBD">
        <w:rPr>
          <w:noProof/>
        </w:rPr>
        <w:t>12</w:t>
      </w:r>
      <w:r w:rsidR="001B3CBD">
        <w:fldChar w:fldCharType="end"/>
      </w:r>
      <w:r w:rsidRPr="00FB60E5">
        <w:t>). Across all treatment types, primary drugs of concern, and treatment termination status categories, there were reductions in proportions of AOD clients diagnosed in the ED with injuries between the year preceding AOD treatment and the year following AOD treatment engagement</w:t>
      </w:r>
      <w:r w:rsidR="002C27A8">
        <w:t>.</w:t>
      </w:r>
    </w:p>
    <w:p w14:paraId="38A46CAA" w14:textId="7FAF4BC1" w:rsidR="00CA7A60" w:rsidRPr="00FB60E5" w:rsidRDefault="00CA7A60" w:rsidP="00552239">
      <w:pPr>
        <w:pStyle w:val="Caption"/>
      </w:pPr>
      <w:bookmarkStart w:id="259" w:name="_Ref386854650"/>
      <w:bookmarkStart w:id="260" w:name="_Toc387244636"/>
      <w:bookmarkStart w:id="261" w:name="_Toc531625809"/>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12</w:t>
      </w:r>
      <w:r w:rsidR="00552239">
        <w:fldChar w:fldCharType="end"/>
      </w:r>
      <w:bookmarkEnd w:id="259"/>
      <w:r w:rsidR="002C27A8">
        <w:t xml:space="preserve"> </w:t>
      </w:r>
      <w:r w:rsidRPr="00FB60E5">
        <w:t xml:space="preserve">ED presentations for injuries by AOD </w:t>
      </w:r>
      <w:r w:rsidR="004B5CD4" w:rsidRPr="00FB60E5">
        <w:t>treatment</w:t>
      </w:r>
      <w:r w:rsidRPr="00FB60E5">
        <w:t xml:space="preserve"> type, primary drug of concern and treatment termination status, 2009/10, 2010/11 and 2011/12</w:t>
      </w:r>
      <w:bookmarkEnd w:id="260"/>
      <w:bookmarkEnd w:id="261"/>
    </w:p>
    <w:tbl>
      <w:tblPr>
        <w:tblStyle w:val="LightList-Accent1"/>
        <w:tblW w:w="5000" w:type="pct"/>
        <w:tblLook w:val="04A0" w:firstRow="1" w:lastRow="0" w:firstColumn="1" w:lastColumn="0" w:noHBand="0" w:noVBand="1"/>
        <w:tblDescription w:val="Table 4.12 is a list of ED presentations for injuries by AOD treatment type, primary drug of concern and treatment termination status, 2009/10, 2010/11 and 2011/12"/>
      </w:tblPr>
      <w:tblGrid>
        <w:gridCol w:w="5109"/>
        <w:gridCol w:w="1379"/>
        <w:gridCol w:w="1379"/>
        <w:gridCol w:w="1375"/>
      </w:tblGrid>
      <w:tr w:rsidR="00CA7A60" w:rsidRPr="00FB60E5" w14:paraId="38A46CAD"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val="restart"/>
            <w:noWrap/>
            <w:hideMark/>
          </w:tcPr>
          <w:p w14:paraId="38A46CAB" w14:textId="77777777" w:rsidR="00CA7A60" w:rsidRPr="00FB60E5" w:rsidRDefault="00CA7A60" w:rsidP="00FB60E5">
            <w:pPr>
              <w:ind w:left="0"/>
            </w:pPr>
            <w:r w:rsidRPr="00FB60E5">
              <w:t> </w:t>
            </w:r>
          </w:p>
        </w:tc>
        <w:tc>
          <w:tcPr>
            <w:tcW w:w="2236" w:type="pct"/>
            <w:gridSpan w:val="3"/>
            <w:noWrap/>
            <w:hideMark/>
          </w:tcPr>
          <w:p w14:paraId="38A46CAC"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Injuries</w:t>
            </w:r>
          </w:p>
        </w:tc>
      </w:tr>
      <w:tr w:rsidR="00CA7A60" w:rsidRPr="00FB60E5" w14:paraId="38A46CB2"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hideMark/>
          </w:tcPr>
          <w:p w14:paraId="38A46CAE" w14:textId="77777777" w:rsidR="00CA7A60" w:rsidRPr="00FB60E5" w:rsidRDefault="00CA7A60" w:rsidP="00FB60E5">
            <w:pPr>
              <w:ind w:left="0"/>
            </w:pPr>
          </w:p>
        </w:tc>
        <w:tc>
          <w:tcPr>
            <w:tcW w:w="746" w:type="pct"/>
            <w:hideMark/>
          </w:tcPr>
          <w:p w14:paraId="38A46CAF"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46" w:type="pct"/>
            <w:hideMark/>
          </w:tcPr>
          <w:p w14:paraId="38A46CB0"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44" w:type="pct"/>
            <w:hideMark/>
          </w:tcPr>
          <w:p w14:paraId="38A46CB1"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CB7"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CB3" w14:textId="77777777" w:rsidR="00CA7A60" w:rsidRPr="00DB0399" w:rsidRDefault="00CA7A60" w:rsidP="00FB60E5">
            <w:pPr>
              <w:ind w:left="0"/>
              <w:rPr>
                <w:b w:val="0"/>
              </w:rPr>
            </w:pPr>
            <w:r w:rsidRPr="00DB0399">
              <w:rPr>
                <w:b w:val="0"/>
              </w:rPr>
              <w:t>Total (n=25229)</w:t>
            </w:r>
          </w:p>
        </w:tc>
        <w:tc>
          <w:tcPr>
            <w:tcW w:w="746" w:type="pct"/>
            <w:hideMark/>
          </w:tcPr>
          <w:p w14:paraId="38A46CB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2924 (11.6%)</w:t>
            </w:r>
          </w:p>
        </w:tc>
        <w:tc>
          <w:tcPr>
            <w:tcW w:w="746" w:type="pct"/>
            <w:hideMark/>
          </w:tcPr>
          <w:p w14:paraId="38A46CB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2717 (10.8%)</w:t>
            </w:r>
          </w:p>
        </w:tc>
        <w:tc>
          <w:tcPr>
            <w:tcW w:w="744" w:type="pct"/>
            <w:hideMark/>
          </w:tcPr>
          <w:p w14:paraId="38A46CB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2507 (9.9%)</w:t>
            </w:r>
          </w:p>
        </w:tc>
      </w:tr>
      <w:tr w:rsidR="00DB0399" w:rsidRPr="00FB60E5" w14:paraId="38A46CBC"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CBB" w14:textId="5DE0EE37" w:rsidR="00DB0399" w:rsidRPr="00FB60E5" w:rsidRDefault="00DB0399" w:rsidP="00FB60E5">
            <w:pPr>
              <w:ind w:left="0"/>
            </w:pPr>
            <w:r w:rsidRPr="00FB60E5">
              <w:t>Treatment type</w:t>
            </w:r>
          </w:p>
        </w:tc>
      </w:tr>
      <w:tr w:rsidR="00CA7A60" w:rsidRPr="00FB60E5" w14:paraId="38A46CC1"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BD" w14:textId="77777777" w:rsidR="00CA7A60" w:rsidRPr="00DB0399" w:rsidRDefault="00CA7A60" w:rsidP="00FB60E5">
            <w:pPr>
              <w:ind w:left="0"/>
              <w:rPr>
                <w:b w:val="0"/>
              </w:rPr>
            </w:pPr>
            <w:r w:rsidRPr="00DB0399">
              <w:rPr>
                <w:b w:val="0"/>
              </w:rPr>
              <w:t>Counselling (n=11919; 47.2%)</w:t>
            </w:r>
          </w:p>
        </w:tc>
        <w:tc>
          <w:tcPr>
            <w:tcW w:w="746" w:type="pct"/>
            <w:hideMark/>
          </w:tcPr>
          <w:p w14:paraId="38A46CB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1302 (10.9%)</w:t>
            </w:r>
          </w:p>
        </w:tc>
        <w:tc>
          <w:tcPr>
            <w:tcW w:w="746" w:type="pct"/>
            <w:hideMark/>
          </w:tcPr>
          <w:p w14:paraId="38A46CB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1213 (10.2%)</w:t>
            </w:r>
          </w:p>
        </w:tc>
        <w:tc>
          <w:tcPr>
            <w:tcW w:w="744" w:type="pct"/>
            <w:hideMark/>
          </w:tcPr>
          <w:p w14:paraId="38A46CC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1123 (9.4%)</w:t>
            </w:r>
          </w:p>
        </w:tc>
      </w:tr>
      <w:tr w:rsidR="00CA7A60" w:rsidRPr="00FB60E5" w14:paraId="38A46CC6"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C2" w14:textId="77777777" w:rsidR="00CA7A60" w:rsidRPr="00DB0399" w:rsidRDefault="00CA7A60" w:rsidP="00FB60E5">
            <w:pPr>
              <w:ind w:left="0"/>
              <w:rPr>
                <w:b w:val="0"/>
              </w:rPr>
            </w:pPr>
            <w:r w:rsidRPr="00DB0399">
              <w:rPr>
                <w:b w:val="0"/>
              </w:rPr>
              <w:t>Residential withdrawal (n=1962; 7.8%)</w:t>
            </w:r>
          </w:p>
        </w:tc>
        <w:tc>
          <w:tcPr>
            <w:tcW w:w="746" w:type="pct"/>
            <w:hideMark/>
          </w:tcPr>
          <w:p w14:paraId="38A46CC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259 (13.2%)</w:t>
            </w:r>
          </w:p>
        </w:tc>
        <w:tc>
          <w:tcPr>
            <w:tcW w:w="746" w:type="pct"/>
            <w:hideMark/>
          </w:tcPr>
          <w:p w14:paraId="38A46CC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278 (14.2%)</w:t>
            </w:r>
          </w:p>
        </w:tc>
        <w:tc>
          <w:tcPr>
            <w:tcW w:w="744" w:type="pct"/>
            <w:hideMark/>
          </w:tcPr>
          <w:p w14:paraId="38A46CC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245 (12.5%)</w:t>
            </w:r>
          </w:p>
        </w:tc>
      </w:tr>
      <w:tr w:rsidR="00CA7A60" w:rsidRPr="00FB60E5" w14:paraId="38A46CCB"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C7" w14:textId="77777777" w:rsidR="00CA7A60" w:rsidRPr="00DB0399" w:rsidRDefault="00CA7A60" w:rsidP="00FB60E5">
            <w:pPr>
              <w:ind w:left="0"/>
              <w:rPr>
                <w:b w:val="0"/>
              </w:rPr>
            </w:pPr>
            <w:r w:rsidRPr="00DB0399">
              <w:rPr>
                <w:b w:val="0"/>
              </w:rPr>
              <w:t>Other withdrawal (n=2582; 10.2%)</w:t>
            </w:r>
          </w:p>
        </w:tc>
        <w:tc>
          <w:tcPr>
            <w:tcW w:w="746" w:type="pct"/>
            <w:hideMark/>
          </w:tcPr>
          <w:p w14:paraId="38A46CC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248 (9.6%)</w:t>
            </w:r>
          </w:p>
        </w:tc>
        <w:tc>
          <w:tcPr>
            <w:tcW w:w="746" w:type="pct"/>
            <w:hideMark/>
          </w:tcPr>
          <w:p w14:paraId="38A46CC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250 (9.7%)</w:t>
            </w:r>
          </w:p>
        </w:tc>
        <w:tc>
          <w:tcPr>
            <w:tcW w:w="744" w:type="pct"/>
            <w:hideMark/>
          </w:tcPr>
          <w:p w14:paraId="38A46CC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211 (8.2%)</w:t>
            </w:r>
          </w:p>
        </w:tc>
      </w:tr>
      <w:tr w:rsidR="00CA7A60" w:rsidRPr="00FB60E5" w14:paraId="38A46CD0"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CC" w14:textId="77777777" w:rsidR="00CA7A60" w:rsidRPr="00DB0399" w:rsidRDefault="00CA7A60" w:rsidP="00FB60E5">
            <w:pPr>
              <w:ind w:left="0"/>
              <w:rPr>
                <w:b w:val="0"/>
              </w:rPr>
            </w:pPr>
            <w:r w:rsidRPr="00DB0399">
              <w:rPr>
                <w:b w:val="0"/>
              </w:rPr>
              <w:t>Outreach (n=2368; 9.4%)</w:t>
            </w:r>
          </w:p>
        </w:tc>
        <w:tc>
          <w:tcPr>
            <w:tcW w:w="746" w:type="pct"/>
            <w:hideMark/>
          </w:tcPr>
          <w:p w14:paraId="38A46CC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325 (13.7%)</w:t>
            </w:r>
          </w:p>
        </w:tc>
        <w:tc>
          <w:tcPr>
            <w:tcW w:w="746" w:type="pct"/>
            <w:hideMark/>
          </w:tcPr>
          <w:p w14:paraId="38A46CC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292 (12.3%)</w:t>
            </w:r>
          </w:p>
        </w:tc>
        <w:tc>
          <w:tcPr>
            <w:tcW w:w="744" w:type="pct"/>
            <w:hideMark/>
          </w:tcPr>
          <w:p w14:paraId="38A46CC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268 (11.3%)</w:t>
            </w:r>
          </w:p>
        </w:tc>
      </w:tr>
      <w:tr w:rsidR="00CA7A60" w:rsidRPr="00FB60E5" w14:paraId="38A46CD5"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D1" w14:textId="77777777" w:rsidR="00CA7A60" w:rsidRPr="00DB0399" w:rsidRDefault="00CA7A60" w:rsidP="00FB60E5">
            <w:pPr>
              <w:ind w:left="0"/>
              <w:rPr>
                <w:b w:val="0"/>
              </w:rPr>
            </w:pPr>
            <w:r w:rsidRPr="00DB0399">
              <w:rPr>
                <w:b w:val="0"/>
              </w:rPr>
              <w:t>Brokerage (n=3904; 15.5%)</w:t>
            </w:r>
          </w:p>
        </w:tc>
        <w:tc>
          <w:tcPr>
            <w:tcW w:w="746" w:type="pct"/>
            <w:hideMark/>
          </w:tcPr>
          <w:p w14:paraId="38A46CD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503 (12.9%)</w:t>
            </w:r>
          </w:p>
        </w:tc>
        <w:tc>
          <w:tcPr>
            <w:tcW w:w="746" w:type="pct"/>
            <w:hideMark/>
          </w:tcPr>
          <w:p w14:paraId="38A46CD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438 (11.2%)</w:t>
            </w:r>
          </w:p>
        </w:tc>
        <w:tc>
          <w:tcPr>
            <w:tcW w:w="744" w:type="pct"/>
            <w:hideMark/>
          </w:tcPr>
          <w:p w14:paraId="38A46CD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424 (10.9%)</w:t>
            </w:r>
          </w:p>
        </w:tc>
      </w:tr>
      <w:tr w:rsidR="00CA7A60" w:rsidRPr="00FB60E5" w14:paraId="38A46CDA"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D6" w14:textId="77777777" w:rsidR="00CA7A60" w:rsidRPr="00DB0399" w:rsidRDefault="00CA7A60" w:rsidP="00FB60E5">
            <w:pPr>
              <w:ind w:left="0"/>
              <w:rPr>
                <w:b w:val="0"/>
              </w:rPr>
            </w:pPr>
            <w:r w:rsidRPr="00DB0399">
              <w:rPr>
                <w:b w:val="0"/>
              </w:rPr>
              <w:t>Aboriginal services (n=733; 2.9%)</w:t>
            </w:r>
          </w:p>
        </w:tc>
        <w:tc>
          <w:tcPr>
            <w:tcW w:w="746" w:type="pct"/>
            <w:hideMark/>
          </w:tcPr>
          <w:p w14:paraId="38A46CD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89 (12.1%)</w:t>
            </w:r>
          </w:p>
        </w:tc>
        <w:tc>
          <w:tcPr>
            <w:tcW w:w="746" w:type="pct"/>
            <w:hideMark/>
          </w:tcPr>
          <w:p w14:paraId="38A46CD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83 (11.3%)</w:t>
            </w:r>
          </w:p>
        </w:tc>
        <w:tc>
          <w:tcPr>
            <w:tcW w:w="744" w:type="pct"/>
            <w:hideMark/>
          </w:tcPr>
          <w:p w14:paraId="38A46CD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77 (10.5%)</w:t>
            </w:r>
          </w:p>
        </w:tc>
      </w:tr>
      <w:tr w:rsidR="00CA7A60" w:rsidRPr="00FB60E5" w14:paraId="38A46CD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DB" w14:textId="77777777" w:rsidR="00CA7A60" w:rsidRPr="00DB0399" w:rsidRDefault="00CA7A60" w:rsidP="00FB60E5">
            <w:pPr>
              <w:ind w:left="0"/>
              <w:rPr>
                <w:b w:val="0"/>
              </w:rPr>
            </w:pPr>
            <w:r w:rsidRPr="00DB0399">
              <w:rPr>
                <w:b w:val="0"/>
              </w:rPr>
              <w:t>Specialist pharmacotherapy (n=401; 1.6%)</w:t>
            </w:r>
          </w:p>
        </w:tc>
        <w:tc>
          <w:tcPr>
            <w:tcW w:w="746" w:type="pct"/>
            <w:hideMark/>
          </w:tcPr>
          <w:p w14:paraId="38A46CD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 (11.5%)</w:t>
            </w:r>
          </w:p>
        </w:tc>
        <w:tc>
          <w:tcPr>
            <w:tcW w:w="746" w:type="pct"/>
            <w:hideMark/>
          </w:tcPr>
          <w:p w14:paraId="38A46CD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 (10.2%)</w:t>
            </w:r>
          </w:p>
        </w:tc>
        <w:tc>
          <w:tcPr>
            <w:tcW w:w="744" w:type="pct"/>
            <w:hideMark/>
          </w:tcPr>
          <w:p w14:paraId="38A46CD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 (10.5%)</w:t>
            </w:r>
          </w:p>
        </w:tc>
      </w:tr>
      <w:tr w:rsidR="00CA7A60" w:rsidRPr="00FB60E5" w14:paraId="38A46CE4"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E0" w14:textId="77777777" w:rsidR="00CA7A60" w:rsidRPr="00DB0399" w:rsidRDefault="00CA7A60" w:rsidP="00FB60E5">
            <w:pPr>
              <w:ind w:left="0"/>
              <w:rPr>
                <w:b w:val="0"/>
              </w:rPr>
            </w:pPr>
            <w:r w:rsidRPr="00DB0399">
              <w:rPr>
                <w:b w:val="0"/>
              </w:rPr>
              <w:t>Residential rehabilitation (n=176; 0.7%)</w:t>
            </w:r>
          </w:p>
        </w:tc>
        <w:tc>
          <w:tcPr>
            <w:tcW w:w="746" w:type="pct"/>
            <w:hideMark/>
          </w:tcPr>
          <w:p w14:paraId="38A46CE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 (15.3%)</w:t>
            </w:r>
          </w:p>
        </w:tc>
        <w:tc>
          <w:tcPr>
            <w:tcW w:w="746" w:type="pct"/>
            <w:hideMark/>
          </w:tcPr>
          <w:p w14:paraId="38A46CE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 (8.5%)</w:t>
            </w:r>
          </w:p>
        </w:tc>
        <w:tc>
          <w:tcPr>
            <w:tcW w:w="744" w:type="pct"/>
            <w:hideMark/>
          </w:tcPr>
          <w:p w14:paraId="38A46CE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 (10.2%)</w:t>
            </w:r>
          </w:p>
        </w:tc>
      </w:tr>
      <w:tr w:rsidR="00CA7A60" w:rsidRPr="00FB60E5" w14:paraId="38A46CE9"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E5" w14:textId="77777777" w:rsidR="00CA7A60" w:rsidRPr="00DB0399" w:rsidRDefault="00CA7A60" w:rsidP="00FB60E5">
            <w:pPr>
              <w:ind w:left="0"/>
              <w:rPr>
                <w:b w:val="0"/>
              </w:rPr>
            </w:pPr>
            <w:r w:rsidRPr="00DB0399">
              <w:rPr>
                <w:b w:val="0"/>
              </w:rPr>
              <w:t>Supported accommodation (n=269; 1.1%)</w:t>
            </w:r>
          </w:p>
        </w:tc>
        <w:tc>
          <w:tcPr>
            <w:tcW w:w="746" w:type="pct"/>
            <w:hideMark/>
          </w:tcPr>
          <w:p w14:paraId="38A46CE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 (11.2%)</w:t>
            </w:r>
          </w:p>
        </w:tc>
        <w:tc>
          <w:tcPr>
            <w:tcW w:w="746" w:type="pct"/>
            <w:hideMark/>
          </w:tcPr>
          <w:p w14:paraId="38A46CE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 (7.1%)</w:t>
            </w:r>
          </w:p>
        </w:tc>
        <w:tc>
          <w:tcPr>
            <w:tcW w:w="744" w:type="pct"/>
            <w:hideMark/>
          </w:tcPr>
          <w:p w14:paraId="38A46CE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 (9.3%)</w:t>
            </w:r>
          </w:p>
        </w:tc>
      </w:tr>
      <w:tr w:rsidR="00CA7A60" w:rsidRPr="00FB60E5" w14:paraId="38A46CEE"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EA" w14:textId="77777777" w:rsidR="00CA7A60" w:rsidRPr="00DB0399" w:rsidRDefault="00CA7A60" w:rsidP="00FB60E5">
            <w:pPr>
              <w:ind w:left="0"/>
              <w:rPr>
                <w:b w:val="0"/>
              </w:rPr>
            </w:pPr>
            <w:r w:rsidRPr="00DB0399">
              <w:rPr>
                <w:b w:val="0"/>
              </w:rPr>
              <w:t>Post withdrawal linkage (n=256; 1.0%)</w:t>
            </w:r>
          </w:p>
        </w:tc>
        <w:tc>
          <w:tcPr>
            <w:tcW w:w="746" w:type="pct"/>
            <w:hideMark/>
          </w:tcPr>
          <w:p w14:paraId="38A46CE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 (9.8%)</w:t>
            </w:r>
          </w:p>
        </w:tc>
        <w:tc>
          <w:tcPr>
            <w:tcW w:w="746" w:type="pct"/>
            <w:hideMark/>
          </w:tcPr>
          <w:p w14:paraId="38A46CE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 (8.6%)</w:t>
            </w:r>
          </w:p>
        </w:tc>
        <w:tc>
          <w:tcPr>
            <w:tcW w:w="744" w:type="pct"/>
            <w:hideMark/>
          </w:tcPr>
          <w:p w14:paraId="38A46CE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 (9.4%)</w:t>
            </w:r>
          </w:p>
        </w:tc>
      </w:tr>
      <w:tr w:rsidR="00CA7A60" w:rsidRPr="00FB60E5" w14:paraId="38A46CF3"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EF" w14:textId="77777777" w:rsidR="00CA7A60" w:rsidRPr="00DB0399" w:rsidRDefault="00CA7A60" w:rsidP="00FB60E5">
            <w:pPr>
              <w:ind w:left="0"/>
              <w:rPr>
                <w:b w:val="0"/>
              </w:rPr>
            </w:pPr>
            <w:r w:rsidRPr="00DB0399">
              <w:rPr>
                <w:b w:val="0"/>
              </w:rPr>
              <w:t>Other/unknown (n=659; 2.6%)</w:t>
            </w:r>
          </w:p>
        </w:tc>
        <w:tc>
          <w:tcPr>
            <w:tcW w:w="746" w:type="pct"/>
            <w:hideMark/>
          </w:tcPr>
          <w:p w14:paraId="38A46CF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70 (10.6%)</w:t>
            </w:r>
          </w:p>
        </w:tc>
        <w:tc>
          <w:tcPr>
            <w:tcW w:w="746" w:type="pct"/>
            <w:hideMark/>
          </w:tcPr>
          <w:p w14:paraId="38A46CF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66 (10.0%)</w:t>
            </w:r>
          </w:p>
        </w:tc>
        <w:tc>
          <w:tcPr>
            <w:tcW w:w="744" w:type="pct"/>
            <w:hideMark/>
          </w:tcPr>
          <w:p w14:paraId="38A46CF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50 (7.6%)</w:t>
            </w:r>
          </w:p>
        </w:tc>
      </w:tr>
      <w:tr w:rsidR="00DB0399" w:rsidRPr="00FB60E5" w14:paraId="38A46CF6"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CF5" w14:textId="3E97C085" w:rsidR="00DB0399" w:rsidRPr="00DB0399" w:rsidRDefault="00DB0399" w:rsidP="00FB60E5">
            <w:pPr>
              <w:ind w:left="0"/>
              <w:rPr>
                <w:b w:val="0"/>
                <w:bCs w:val="0"/>
              </w:rPr>
            </w:pPr>
            <w:r w:rsidRPr="00FB60E5">
              <w:t>Treatment termination status</w:t>
            </w:r>
          </w:p>
        </w:tc>
      </w:tr>
      <w:tr w:rsidR="00CA7A60" w:rsidRPr="00FB60E5" w14:paraId="38A46CFB"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F7" w14:textId="77777777" w:rsidR="00CA7A60" w:rsidRPr="00DB0399" w:rsidRDefault="00CA7A60" w:rsidP="00FB60E5">
            <w:pPr>
              <w:ind w:left="0"/>
              <w:rPr>
                <w:b w:val="0"/>
              </w:rPr>
            </w:pPr>
            <w:r w:rsidRPr="00DB0399">
              <w:rPr>
                <w:b w:val="0"/>
              </w:rPr>
              <w:t>Completed treatment (n=18690; 74.1%)</w:t>
            </w:r>
          </w:p>
        </w:tc>
        <w:tc>
          <w:tcPr>
            <w:tcW w:w="746" w:type="pct"/>
            <w:hideMark/>
          </w:tcPr>
          <w:p w14:paraId="38A46CF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2149 (11.5%)</w:t>
            </w:r>
          </w:p>
        </w:tc>
        <w:tc>
          <w:tcPr>
            <w:tcW w:w="746" w:type="pct"/>
            <w:hideMark/>
          </w:tcPr>
          <w:p w14:paraId="38A46CF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1986 (10.6%)</w:t>
            </w:r>
          </w:p>
        </w:tc>
        <w:tc>
          <w:tcPr>
            <w:tcW w:w="744" w:type="pct"/>
            <w:hideMark/>
          </w:tcPr>
          <w:p w14:paraId="38A46CF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1819 (9.7%)</w:t>
            </w:r>
          </w:p>
        </w:tc>
      </w:tr>
      <w:tr w:rsidR="00CA7A60" w:rsidRPr="00FB60E5" w14:paraId="38A46D00"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CFC" w14:textId="77777777" w:rsidR="00CA7A60" w:rsidRPr="00DB0399" w:rsidRDefault="00CA7A60" w:rsidP="00FB60E5">
            <w:pPr>
              <w:ind w:left="0"/>
              <w:rPr>
                <w:b w:val="0"/>
              </w:rPr>
            </w:pPr>
            <w:r w:rsidRPr="00DB0399">
              <w:rPr>
                <w:b w:val="0"/>
              </w:rPr>
              <w:t>Not completed (n=6262; 24.8%)</w:t>
            </w:r>
          </w:p>
        </w:tc>
        <w:tc>
          <w:tcPr>
            <w:tcW w:w="746" w:type="pct"/>
            <w:hideMark/>
          </w:tcPr>
          <w:p w14:paraId="38A46CF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740 (11.8%)</w:t>
            </w:r>
          </w:p>
        </w:tc>
        <w:tc>
          <w:tcPr>
            <w:tcW w:w="746" w:type="pct"/>
            <w:hideMark/>
          </w:tcPr>
          <w:p w14:paraId="38A46CF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709 (11.3%)</w:t>
            </w:r>
          </w:p>
        </w:tc>
        <w:tc>
          <w:tcPr>
            <w:tcW w:w="744" w:type="pct"/>
            <w:hideMark/>
          </w:tcPr>
          <w:p w14:paraId="38A46CF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660 (10.5%)</w:t>
            </w:r>
          </w:p>
        </w:tc>
      </w:tr>
      <w:tr w:rsidR="00CA7A60" w:rsidRPr="00FB60E5" w14:paraId="38A46D05"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01" w14:textId="77777777" w:rsidR="00CA7A60" w:rsidRPr="00DB0399" w:rsidRDefault="00CA7A60" w:rsidP="00FB60E5">
            <w:pPr>
              <w:ind w:left="0"/>
              <w:rPr>
                <w:b w:val="0"/>
              </w:rPr>
            </w:pPr>
            <w:r w:rsidRPr="00DB0399">
              <w:rPr>
                <w:b w:val="0"/>
              </w:rPr>
              <w:t>Unknown (n=277; 1.1%)</w:t>
            </w:r>
          </w:p>
        </w:tc>
        <w:tc>
          <w:tcPr>
            <w:tcW w:w="746" w:type="pct"/>
            <w:hideMark/>
          </w:tcPr>
          <w:p w14:paraId="38A46D0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 (12.6%)</w:t>
            </w:r>
          </w:p>
        </w:tc>
        <w:tc>
          <w:tcPr>
            <w:tcW w:w="746" w:type="pct"/>
            <w:hideMark/>
          </w:tcPr>
          <w:p w14:paraId="38A46D0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 (7.9%)</w:t>
            </w:r>
          </w:p>
        </w:tc>
        <w:tc>
          <w:tcPr>
            <w:tcW w:w="744" w:type="pct"/>
            <w:hideMark/>
          </w:tcPr>
          <w:p w14:paraId="38A46D0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 (10.1%)</w:t>
            </w:r>
          </w:p>
        </w:tc>
      </w:tr>
      <w:tr w:rsidR="00DB0399" w:rsidRPr="00FB60E5" w14:paraId="38A46D0A"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D09" w14:textId="5F013764" w:rsidR="00DB0399" w:rsidRPr="00DB0399" w:rsidRDefault="00DB0399" w:rsidP="00FB60E5">
            <w:pPr>
              <w:ind w:left="0"/>
            </w:pPr>
            <w:r w:rsidRPr="00DB0399">
              <w:t>Primary drug of concern</w:t>
            </w:r>
          </w:p>
        </w:tc>
      </w:tr>
      <w:tr w:rsidR="00CA7A60" w:rsidRPr="00FB60E5" w14:paraId="38A46D0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0B" w14:textId="77777777" w:rsidR="00CA7A60" w:rsidRPr="00DB0399" w:rsidRDefault="00CA7A60" w:rsidP="00FB60E5">
            <w:pPr>
              <w:ind w:left="0"/>
              <w:rPr>
                <w:b w:val="0"/>
              </w:rPr>
            </w:pPr>
            <w:r w:rsidRPr="00DB0399">
              <w:rPr>
                <w:b w:val="0"/>
              </w:rPr>
              <w:t>Alcohol (n=11912; 47.2%)</w:t>
            </w:r>
          </w:p>
        </w:tc>
        <w:tc>
          <w:tcPr>
            <w:tcW w:w="746" w:type="pct"/>
            <w:hideMark/>
          </w:tcPr>
          <w:p w14:paraId="38A46D0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1441 (12.1%)</w:t>
            </w:r>
          </w:p>
        </w:tc>
        <w:tc>
          <w:tcPr>
            <w:tcW w:w="746" w:type="pct"/>
            <w:hideMark/>
          </w:tcPr>
          <w:p w14:paraId="38A46D0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1369 (11.5%)</w:t>
            </w:r>
          </w:p>
        </w:tc>
        <w:tc>
          <w:tcPr>
            <w:tcW w:w="744" w:type="pct"/>
            <w:hideMark/>
          </w:tcPr>
          <w:p w14:paraId="38A46D0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1187 (10.0%)</w:t>
            </w:r>
          </w:p>
        </w:tc>
      </w:tr>
      <w:tr w:rsidR="00CA7A60" w:rsidRPr="00FB60E5" w14:paraId="38A46D14"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10" w14:textId="77777777" w:rsidR="00CA7A60" w:rsidRPr="00DB0399" w:rsidRDefault="00CA7A60" w:rsidP="00FB60E5">
            <w:pPr>
              <w:ind w:left="0"/>
              <w:rPr>
                <w:b w:val="0"/>
              </w:rPr>
            </w:pPr>
            <w:r w:rsidRPr="00DB0399">
              <w:rPr>
                <w:b w:val="0"/>
              </w:rPr>
              <w:t>Cannabis (n=5663; 22.4%)</w:t>
            </w:r>
          </w:p>
        </w:tc>
        <w:tc>
          <w:tcPr>
            <w:tcW w:w="746" w:type="pct"/>
            <w:hideMark/>
          </w:tcPr>
          <w:p w14:paraId="38A46D1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685 (12.1%)</w:t>
            </w:r>
          </w:p>
        </w:tc>
        <w:tc>
          <w:tcPr>
            <w:tcW w:w="746" w:type="pct"/>
            <w:hideMark/>
          </w:tcPr>
          <w:p w14:paraId="38A46D1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619 (10.9%)</w:t>
            </w:r>
          </w:p>
        </w:tc>
        <w:tc>
          <w:tcPr>
            <w:tcW w:w="744" w:type="pct"/>
            <w:hideMark/>
          </w:tcPr>
          <w:p w14:paraId="38A46D1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593 (10.5%)</w:t>
            </w:r>
          </w:p>
        </w:tc>
      </w:tr>
      <w:tr w:rsidR="00CA7A60" w:rsidRPr="00FB60E5" w14:paraId="38A46D19"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15" w14:textId="77777777" w:rsidR="00CA7A60" w:rsidRPr="00DB0399" w:rsidRDefault="00CA7A60" w:rsidP="00FB60E5">
            <w:pPr>
              <w:ind w:left="0"/>
              <w:rPr>
                <w:b w:val="0"/>
              </w:rPr>
            </w:pPr>
            <w:r w:rsidRPr="00DB0399">
              <w:rPr>
                <w:b w:val="0"/>
              </w:rPr>
              <w:t>Heroin &amp; other opioids (n=3863; 15.3%)</w:t>
            </w:r>
          </w:p>
        </w:tc>
        <w:tc>
          <w:tcPr>
            <w:tcW w:w="746" w:type="pct"/>
            <w:hideMark/>
          </w:tcPr>
          <w:p w14:paraId="38A46D1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413 (10.7%)</w:t>
            </w:r>
          </w:p>
        </w:tc>
        <w:tc>
          <w:tcPr>
            <w:tcW w:w="746" w:type="pct"/>
            <w:hideMark/>
          </w:tcPr>
          <w:p w14:paraId="38A46D1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360 (9.3%)</w:t>
            </w:r>
          </w:p>
        </w:tc>
        <w:tc>
          <w:tcPr>
            <w:tcW w:w="744" w:type="pct"/>
            <w:hideMark/>
          </w:tcPr>
          <w:p w14:paraId="38A46D1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342 (8.9%)</w:t>
            </w:r>
          </w:p>
        </w:tc>
      </w:tr>
      <w:tr w:rsidR="00CA7A60" w:rsidRPr="00FB60E5" w14:paraId="38A46D1E"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1A" w14:textId="77777777" w:rsidR="00CA7A60" w:rsidRPr="00DB0399" w:rsidRDefault="00CA7A60" w:rsidP="00FB60E5">
            <w:pPr>
              <w:ind w:left="0"/>
              <w:rPr>
                <w:b w:val="0"/>
              </w:rPr>
            </w:pPr>
            <w:r w:rsidRPr="00DB0399">
              <w:rPr>
                <w:b w:val="0"/>
              </w:rPr>
              <w:t>Amphetamine &amp; other stimulants (n=2198; 8.7%)</w:t>
            </w:r>
          </w:p>
        </w:tc>
        <w:tc>
          <w:tcPr>
            <w:tcW w:w="746" w:type="pct"/>
            <w:hideMark/>
          </w:tcPr>
          <w:p w14:paraId="38A46D1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238 (10.8%)</w:t>
            </w:r>
          </w:p>
        </w:tc>
        <w:tc>
          <w:tcPr>
            <w:tcW w:w="746" w:type="pct"/>
            <w:hideMark/>
          </w:tcPr>
          <w:p w14:paraId="38A46D1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224 (10.2%)</w:t>
            </w:r>
          </w:p>
        </w:tc>
        <w:tc>
          <w:tcPr>
            <w:tcW w:w="744" w:type="pct"/>
            <w:hideMark/>
          </w:tcPr>
          <w:p w14:paraId="38A46D1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239 (10.9%)</w:t>
            </w:r>
          </w:p>
        </w:tc>
      </w:tr>
      <w:tr w:rsidR="00CA7A60" w:rsidRPr="00FB60E5" w14:paraId="38A46D23"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1F" w14:textId="77777777" w:rsidR="00CA7A60" w:rsidRPr="00DB0399" w:rsidRDefault="00CA7A60" w:rsidP="00FB60E5">
            <w:pPr>
              <w:ind w:left="0"/>
              <w:rPr>
                <w:b w:val="0"/>
              </w:rPr>
            </w:pPr>
            <w:r w:rsidRPr="00DB0399">
              <w:rPr>
                <w:b w:val="0"/>
              </w:rPr>
              <w:t>Benzodiazepines &amp; other tranquillisers (n=522; 2.1%)</w:t>
            </w:r>
          </w:p>
        </w:tc>
        <w:tc>
          <w:tcPr>
            <w:tcW w:w="746" w:type="pct"/>
            <w:hideMark/>
          </w:tcPr>
          <w:p w14:paraId="38A46D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 (9.2%)</w:t>
            </w:r>
          </w:p>
        </w:tc>
        <w:tc>
          <w:tcPr>
            <w:tcW w:w="746" w:type="pct"/>
            <w:hideMark/>
          </w:tcPr>
          <w:p w14:paraId="38A46D2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40 (7.7%)</w:t>
            </w:r>
          </w:p>
        </w:tc>
        <w:tc>
          <w:tcPr>
            <w:tcW w:w="744" w:type="pct"/>
            <w:hideMark/>
          </w:tcPr>
          <w:p w14:paraId="38A46D2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 (6.9%)</w:t>
            </w:r>
          </w:p>
        </w:tc>
      </w:tr>
      <w:tr w:rsidR="00CA7A60" w:rsidRPr="00FB60E5" w14:paraId="38A46D28"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24" w14:textId="77777777" w:rsidR="00CA7A60" w:rsidRPr="00DB0399" w:rsidRDefault="00CA7A60" w:rsidP="00FB60E5">
            <w:pPr>
              <w:ind w:left="0"/>
              <w:rPr>
                <w:b w:val="0"/>
              </w:rPr>
            </w:pPr>
            <w:r w:rsidRPr="00DB0399">
              <w:rPr>
                <w:b w:val="0"/>
              </w:rPr>
              <w:t>Other (n=730; 2.9%)</w:t>
            </w:r>
          </w:p>
        </w:tc>
        <w:tc>
          <w:tcPr>
            <w:tcW w:w="746" w:type="pct"/>
            <w:hideMark/>
          </w:tcPr>
          <w:p w14:paraId="38A46D2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73 (10.0%)</w:t>
            </w:r>
          </w:p>
        </w:tc>
        <w:tc>
          <w:tcPr>
            <w:tcW w:w="746" w:type="pct"/>
            <w:hideMark/>
          </w:tcPr>
          <w:p w14:paraId="38A46D2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73 (10.0%)</w:t>
            </w:r>
          </w:p>
        </w:tc>
        <w:tc>
          <w:tcPr>
            <w:tcW w:w="744" w:type="pct"/>
            <w:hideMark/>
          </w:tcPr>
          <w:p w14:paraId="38A46D2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72 (9.9%)</w:t>
            </w:r>
          </w:p>
        </w:tc>
      </w:tr>
      <w:tr w:rsidR="00CA7A60" w:rsidRPr="00FB60E5" w14:paraId="38A46D2D"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29" w14:textId="77777777" w:rsidR="00CA7A60" w:rsidRPr="00DB0399" w:rsidRDefault="00CA7A60" w:rsidP="00FB60E5">
            <w:pPr>
              <w:ind w:left="0"/>
              <w:rPr>
                <w:b w:val="0"/>
              </w:rPr>
            </w:pPr>
            <w:r w:rsidRPr="00DB0399">
              <w:rPr>
                <w:b w:val="0"/>
              </w:rPr>
              <w:lastRenderedPageBreak/>
              <w:t>Unknown (n=341; 1.4%)</w:t>
            </w:r>
          </w:p>
        </w:tc>
        <w:tc>
          <w:tcPr>
            <w:tcW w:w="746" w:type="pct"/>
            <w:hideMark/>
          </w:tcPr>
          <w:p w14:paraId="38A46D2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 (7.6%)</w:t>
            </w:r>
          </w:p>
        </w:tc>
        <w:tc>
          <w:tcPr>
            <w:tcW w:w="746" w:type="pct"/>
            <w:hideMark/>
          </w:tcPr>
          <w:p w14:paraId="38A46D2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 (9.4%)</w:t>
            </w:r>
          </w:p>
        </w:tc>
        <w:tc>
          <w:tcPr>
            <w:tcW w:w="744" w:type="pct"/>
            <w:hideMark/>
          </w:tcPr>
          <w:p w14:paraId="38A46D2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 (11.1%)</w:t>
            </w:r>
          </w:p>
        </w:tc>
      </w:tr>
    </w:tbl>
    <w:p w14:paraId="38A46D2F" w14:textId="0A593324" w:rsidR="00CA7A60" w:rsidRPr="00FB60E5" w:rsidRDefault="00CA7A60" w:rsidP="00FB60E5">
      <w:pPr>
        <w:ind w:left="0"/>
      </w:pPr>
      <w:r w:rsidRPr="00FB60E5">
        <w:t xml:space="preserve">ED presentations for non-AOD-related conditions are shown in </w:t>
      </w:r>
      <w:r w:rsidR="00BE3D19" w:rsidRPr="00FB60E5">
        <w:fldChar w:fldCharType="begin"/>
      </w:r>
      <w:r w:rsidR="009F30FB" w:rsidRPr="00FB60E5">
        <w:instrText xml:space="preserve"> REF _Ref386854875 </w:instrText>
      </w:r>
      <w:r w:rsidR="00FB60E5" w:rsidRPr="00FB60E5">
        <w:instrText xml:space="preserve"> \* MERGEFORMAT </w:instrText>
      </w:r>
      <w:r w:rsidR="00BE3D19" w:rsidRPr="00FB60E5">
        <w:fldChar w:fldCharType="separate"/>
      </w:r>
      <w:r w:rsidR="00E150CA" w:rsidRPr="00FB60E5">
        <w:t>Table 4.13</w:t>
      </w:r>
      <w:r w:rsidR="00BE3D19" w:rsidRPr="00FB60E5">
        <w:fldChar w:fldCharType="end"/>
      </w:r>
      <w:r w:rsidRPr="00FB60E5">
        <w:t xml:space="preserve"> for the AOD client cohort. There was a small reduction in the proportion of clients presenting with non-AOD-related conditions in the year following AOD treatment, and this reduction was evident for most treatment types. While decreases in presentations were evident across most primary drugs of concern, there was no change in the proportion of clients with non-AOD-related presentation to ED where the primary drug of concern was benzodiazepines and other tranquilizers. For clients with a primary drug of concern of </w:t>
      </w:r>
      <w:r w:rsidR="00B473EE" w:rsidRPr="00FB60E5">
        <w:t>amphetamines</w:t>
      </w:r>
      <w:r w:rsidRPr="00FB60E5">
        <w:t xml:space="preserve"> and other stimulants on entry into AOD treatment, there was an increase in ED presentations with non-AOD-related diagnoses in the year following AOD treatment when compared with the year prior to AOD treatment.</w:t>
      </w:r>
    </w:p>
    <w:p w14:paraId="38A46D31" w14:textId="309FFF90" w:rsidR="00CA7A60" w:rsidRPr="00FB60E5" w:rsidRDefault="00CA7A60" w:rsidP="00552239">
      <w:pPr>
        <w:pStyle w:val="Caption"/>
      </w:pPr>
      <w:bookmarkStart w:id="262" w:name="_Ref386854875"/>
      <w:bookmarkStart w:id="263" w:name="_Toc387244637"/>
      <w:bookmarkStart w:id="264" w:name="_Toc531625810"/>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13</w:t>
      </w:r>
      <w:r w:rsidR="00552239">
        <w:fldChar w:fldCharType="end"/>
      </w:r>
      <w:bookmarkEnd w:id="262"/>
      <w:r w:rsidR="002C27A8">
        <w:t xml:space="preserve"> </w:t>
      </w:r>
      <w:r w:rsidRPr="00FB60E5">
        <w:t xml:space="preserve">ED presentations for non-AOD-related conditions by AOD </w:t>
      </w:r>
      <w:r w:rsidR="004B5CD4" w:rsidRPr="00FB60E5">
        <w:t>treatment</w:t>
      </w:r>
      <w:r w:rsidRPr="00FB60E5">
        <w:t xml:space="preserve"> type, primary drug of concern and treatment termination status, 2009/10, 2010/11 and 2011/12</w:t>
      </w:r>
      <w:bookmarkEnd w:id="263"/>
      <w:bookmarkEnd w:id="264"/>
    </w:p>
    <w:tbl>
      <w:tblPr>
        <w:tblStyle w:val="LightList-Accent1"/>
        <w:tblW w:w="5000" w:type="pct"/>
        <w:tblLook w:val="04A0" w:firstRow="1" w:lastRow="0" w:firstColumn="1" w:lastColumn="0" w:noHBand="0" w:noVBand="1"/>
        <w:tblDescription w:val="Table 4.13 is a list of ED presentations for non-AOD-related conditions by AOD treatment type, primary drug of concern and treatment termination status, 2009/10, 2010/11 and 2011/12"/>
      </w:tblPr>
      <w:tblGrid>
        <w:gridCol w:w="5109"/>
        <w:gridCol w:w="1379"/>
        <w:gridCol w:w="1379"/>
        <w:gridCol w:w="1375"/>
      </w:tblGrid>
      <w:tr w:rsidR="00CA7A60" w:rsidRPr="00FB60E5" w14:paraId="38A46D34"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val="restart"/>
            <w:noWrap/>
            <w:hideMark/>
          </w:tcPr>
          <w:p w14:paraId="38A46D32" w14:textId="77777777" w:rsidR="00CA7A60" w:rsidRPr="00FB60E5" w:rsidRDefault="00CA7A60" w:rsidP="00FB60E5">
            <w:pPr>
              <w:ind w:left="0"/>
            </w:pPr>
            <w:r w:rsidRPr="00FB60E5">
              <w:t> </w:t>
            </w:r>
          </w:p>
        </w:tc>
        <w:tc>
          <w:tcPr>
            <w:tcW w:w="2236" w:type="pct"/>
            <w:gridSpan w:val="3"/>
            <w:noWrap/>
            <w:hideMark/>
          </w:tcPr>
          <w:p w14:paraId="38A46D33"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Non-AOD-related conditions </w:t>
            </w:r>
          </w:p>
        </w:tc>
      </w:tr>
      <w:tr w:rsidR="00CA7A60" w:rsidRPr="00FB60E5" w14:paraId="38A46D39"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hideMark/>
          </w:tcPr>
          <w:p w14:paraId="38A46D35" w14:textId="77777777" w:rsidR="00CA7A60" w:rsidRPr="00FB60E5" w:rsidRDefault="00CA7A60" w:rsidP="00FB60E5">
            <w:pPr>
              <w:ind w:left="0"/>
            </w:pPr>
          </w:p>
        </w:tc>
        <w:tc>
          <w:tcPr>
            <w:tcW w:w="746" w:type="pct"/>
            <w:hideMark/>
          </w:tcPr>
          <w:p w14:paraId="38A46D3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09/10 (%)</w:t>
            </w:r>
          </w:p>
        </w:tc>
        <w:tc>
          <w:tcPr>
            <w:tcW w:w="746" w:type="pct"/>
            <w:hideMark/>
          </w:tcPr>
          <w:p w14:paraId="38A46D3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10/11 (%)</w:t>
            </w:r>
          </w:p>
        </w:tc>
        <w:tc>
          <w:tcPr>
            <w:tcW w:w="744" w:type="pct"/>
            <w:hideMark/>
          </w:tcPr>
          <w:p w14:paraId="38A46D3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ED 11/12 (%)</w:t>
            </w:r>
          </w:p>
        </w:tc>
      </w:tr>
      <w:tr w:rsidR="00CA7A60" w:rsidRPr="00FB60E5" w14:paraId="38A46D3E"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3A" w14:textId="77777777" w:rsidR="00CA7A60" w:rsidRPr="00DB0399" w:rsidRDefault="00CA7A60" w:rsidP="00FB60E5">
            <w:pPr>
              <w:ind w:left="0"/>
              <w:rPr>
                <w:b w:val="0"/>
              </w:rPr>
            </w:pPr>
            <w:r w:rsidRPr="00DB0399">
              <w:rPr>
                <w:b w:val="0"/>
              </w:rPr>
              <w:t>Total (n=25229)</w:t>
            </w:r>
          </w:p>
        </w:tc>
        <w:tc>
          <w:tcPr>
            <w:tcW w:w="746" w:type="pct"/>
            <w:hideMark/>
          </w:tcPr>
          <w:p w14:paraId="38A46D3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4828 (19.1%)</w:t>
            </w:r>
          </w:p>
        </w:tc>
        <w:tc>
          <w:tcPr>
            <w:tcW w:w="746" w:type="pct"/>
            <w:hideMark/>
          </w:tcPr>
          <w:p w14:paraId="38A46D3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4923 (19.5%)</w:t>
            </w:r>
          </w:p>
        </w:tc>
        <w:tc>
          <w:tcPr>
            <w:tcW w:w="744" w:type="pct"/>
            <w:hideMark/>
          </w:tcPr>
          <w:p w14:paraId="38A46D3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4642 (18.4%)</w:t>
            </w:r>
          </w:p>
        </w:tc>
      </w:tr>
      <w:tr w:rsidR="00DB0399" w:rsidRPr="00FB60E5" w14:paraId="38A46D43"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D42" w14:textId="65EC44D7" w:rsidR="00DB0399" w:rsidRPr="00FB60E5" w:rsidRDefault="00DB0399" w:rsidP="00FB60E5">
            <w:pPr>
              <w:ind w:left="0"/>
            </w:pPr>
            <w:r w:rsidRPr="00FB60E5">
              <w:t>Treatment type</w:t>
            </w:r>
          </w:p>
        </w:tc>
      </w:tr>
      <w:tr w:rsidR="00CA7A60" w:rsidRPr="00FB60E5" w14:paraId="38A46D48"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44" w14:textId="77777777" w:rsidR="00CA7A60" w:rsidRPr="00DB0399" w:rsidRDefault="00CA7A60" w:rsidP="00FB60E5">
            <w:pPr>
              <w:ind w:left="0"/>
              <w:rPr>
                <w:b w:val="0"/>
              </w:rPr>
            </w:pPr>
            <w:r w:rsidRPr="00DB0399">
              <w:rPr>
                <w:b w:val="0"/>
              </w:rPr>
              <w:t>Counselling (n=11919; 47.2%)</w:t>
            </w:r>
          </w:p>
        </w:tc>
        <w:tc>
          <w:tcPr>
            <w:tcW w:w="746" w:type="pct"/>
            <w:hideMark/>
          </w:tcPr>
          <w:p w14:paraId="38A46D4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2209 (18.5%)</w:t>
            </w:r>
          </w:p>
        </w:tc>
        <w:tc>
          <w:tcPr>
            <w:tcW w:w="746" w:type="pct"/>
            <w:hideMark/>
          </w:tcPr>
          <w:p w14:paraId="38A46D4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2344 (19.7%)</w:t>
            </w:r>
          </w:p>
        </w:tc>
        <w:tc>
          <w:tcPr>
            <w:tcW w:w="744" w:type="pct"/>
            <w:hideMark/>
          </w:tcPr>
          <w:p w14:paraId="38A46D4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2092 (17.6%)</w:t>
            </w:r>
          </w:p>
        </w:tc>
      </w:tr>
      <w:tr w:rsidR="00CA7A60" w:rsidRPr="00FB60E5" w14:paraId="38A46D4D"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49" w14:textId="77777777" w:rsidR="00CA7A60" w:rsidRPr="00DB0399" w:rsidRDefault="00CA7A60" w:rsidP="00FB60E5">
            <w:pPr>
              <w:ind w:left="0"/>
              <w:rPr>
                <w:b w:val="0"/>
              </w:rPr>
            </w:pPr>
            <w:r w:rsidRPr="00DB0399">
              <w:rPr>
                <w:b w:val="0"/>
              </w:rPr>
              <w:t>Residential withdrawal (n=1962; 7.8%)</w:t>
            </w:r>
          </w:p>
        </w:tc>
        <w:tc>
          <w:tcPr>
            <w:tcW w:w="746" w:type="pct"/>
            <w:hideMark/>
          </w:tcPr>
          <w:p w14:paraId="38A46D4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502 (25.6%)</w:t>
            </w:r>
          </w:p>
        </w:tc>
        <w:tc>
          <w:tcPr>
            <w:tcW w:w="746" w:type="pct"/>
            <w:hideMark/>
          </w:tcPr>
          <w:p w14:paraId="38A46D4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526 (26.8%)</w:t>
            </w:r>
          </w:p>
        </w:tc>
        <w:tc>
          <w:tcPr>
            <w:tcW w:w="744" w:type="pct"/>
            <w:hideMark/>
          </w:tcPr>
          <w:p w14:paraId="38A46D4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482 (24.6%)</w:t>
            </w:r>
          </w:p>
        </w:tc>
      </w:tr>
      <w:tr w:rsidR="00CA7A60" w:rsidRPr="00FB60E5" w14:paraId="38A46D52"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4E" w14:textId="77777777" w:rsidR="00CA7A60" w:rsidRPr="00DB0399" w:rsidRDefault="00CA7A60" w:rsidP="00FB60E5">
            <w:pPr>
              <w:ind w:left="0"/>
              <w:rPr>
                <w:b w:val="0"/>
              </w:rPr>
            </w:pPr>
            <w:r w:rsidRPr="00DB0399">
              <w:rPr>
                <w:b w:val="0"/>
              </w:rPr>
              <w:t>Other withdrawal (n=2582; 10.2%)</w:t>
            </w:r>
          </w:p>
        </w:tc>
        <w:tc>
          <w:tcPr>
            <w:tcW w:w="746" w:type="pct"/>
            <w:hideMark/>
          </w:tcPr>
          <w:p w14:paraId="38A46D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481 (18.6%)</w:t>
            </w:r>
          </w:p>
        </w:tc>
        <w:tc>
          <w:tcPr>
            <w:tcW w:w="746" w:type="pct"/>
            <w:hideMark/>
          </w:tcPr>
          <w:p w14:paraId="38A46D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523 (20.3%)</w:t>
            </w:r>
          </w:p>
        </w:tc>
        <w:tc>
          <w:tcPr>
            <w:tcW w:w="744" w:type="pct"/>
            <w:hideMark/>
          </w:tcPr>
          <w:p w14:paraId="38A46D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473 (18.3%)</w:t>
            </w:r>
          </w:p>
        </w:tc>
      </w:tr>
      <w:tr w:rsidR="00CA7A60" w:rsidRPr="00FB60E5" w14:paraId="38A46D5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53" w14:textId="77777777" w:rsidR="00CA7A60" w:rsidRPr="00DB0399" w:rsidRDefault="00CA7A60" w:rsidP="00FB60E5">
            <w:pPr>
              <w:ind w:left="0"/>
              <w:rPr>
                <w:b w:val="0"/>
              </w:rPr>
            </w:pPr>
            <w:r w:rsidRPr="00DB0399">
              <w:rPr>
                <w:b w:val="0"/>
              </w:rPr>
              <w:t>Outreach (n=2368; 9.4%)</w:t>
            </w:r>
          </w:p>
        </w:tc>
        <w:tc>
          <w:tcPr>
            <w:tcW w:w="746" w:type="pct"/>
            <w:hideMark/>
          </w:tcPr>
          <w:p w14:paraId="38A46D5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426 (18.0%)</w:t>
            </w:r>
          </w:p>
        </w:tc>
        <w:tc>
          <w:tcPr>
            <w:tcW w:w="746" w:type="pct"/>
            <w:hideMark/>
          </w:tcPr>
          <w:p w14:paraId="38A46D5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433 (18.3%)</w:t>
            </w:r>
          </w:p>
        </w:tc>
        <w:tc>
          <w:tcPr>
            <w:tcW w:w="744" w:type="pct"/>
            <w:hideMark/>
          </w:tcPr>
          <w:p w14:paraId="38A46D5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433 (18.3%)</w:t>
            </w:r>
          </w:p>
        </w:tc>
      </w:tr>
      <w:tr w:rsidR="00CA7A60" w:rsidRPr="00FB60E5" w14:paraId="38A46D5C"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58" w14:textId="77777777" w:rsidR="00CA7A60" w:rsidRPr="00DB0399" w:rsidRDefault="00CA7A60" w:rsidP="00FB60E5">
            <w:pPr>
              <w:ind w:left="0"/>
              <w:rPr>
                <w:b w:val="0"/>
              </w:rPr>
            </w:pPr>
            <w:r w:rsidRPr="00DB0399">
              <w:rPr>
                <w:b w:val="0"/>
              </w:rPr>
              <w:t>Brokerage (n=3904; 15.5%)</w:t>
            </w:r>
          </w:p>
        </w:tc>
        <w:tc>
          <w:tcPr>
            <w:tcW w:w="746" w:type="pct"/>
            <w:hideMark/>
          </w:tcPr>
          <w:p w14:paraId="38A46D5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698 (17.9%)</w:t>
            </w:r>
          </w:p>
        </w:tc>
        <w:tc>
          <w:tcPr>
            <w:tcW w:w="746" w:type="pct"/>
            <w:hideMark/>
          </w:tcPr>
          <w:p w14:paraId="38A46D5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584 (15.0%)</w:t>
            </w:r>
          </w:p>
        </w:tc>
        <w:tc>
          <w:tcPr>
            <w:tcW w:w="744" w:type="pct"/>
            <w:hideMark/>
          </w:tcPr>
          <w:p w14:paraId="38A46D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678 (17.4%)</w:t>
            </w:r>
          </w:p>
        </w:tc>
      </w:tr>
      <w:tr w:rsidR="00CA7A60" w:rsidRPr="00FB60E5" w14:paraId="38A46D61"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5D" w14:textId="77777777" w:rsidR="00CA7A60" w:rsidRPr="00DB0399" w:rsidRDefault="00CA7A60" w:rsidP="00FB60E5">
            <w:pPr>
              <w:ind w:left="0"/>
              <w:rPr>
                <w:b w:val="0"/>
              </w:rPr>
            </w:pPr>
            <w:r w:rsidRPr="00DB0399">
              <w:rPr>
                <w:b w:val="0"/>
              </w:rPr>
              <w:t>Aboriginal services (n=733; 2.9%)</w:t>
            </w:r>
          </w:p>
        </w:tc>
        <w:tc>
          <w:tcPr>
            <w:tcW w:w="746" w:type="pct"/>
            <w:hideMark/>
          </w:tcPr>
          <w:p w14:paraId="38A46D5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132 (18.0%)</w:t>
            </w:r>
          </w:p>
        </w:tc>
        <w:tc>
          <w:tcPr>
            <w:tcW w:w="746" w:type="pct"/>
            <w:hideMark/>
          </w:tcPr>
          <w:p w14:paraId="38A46D5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134 (18.3%)</w:t>
            </w:r>
          </w:p>
        </w:tc>
        <w:tc>
          <w:tcPr>
            <w:tcW w:w="744" w:type="pct"/>
            <w:hideMark/>
          </w:tcPr>
          <w:p w14:paraId="38A46D6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131 (17.9%)</w:t>
            </w:r>
          </w:p>
        </w:tc>
      </w:tr>
      <w:tr w:rsidR="00CA7A60" w:rsidRPr="00FB60E5" w14:paraId="38A46D66"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62" w14:textId="77777777" w:rsidR="00CA7A60" w:rsidRPr="00DB0399" w:rsidRDefault="00CA7A60" w:rsidP="00FB60E5">
            <w:pPr>
              <w:ind w:left="0"/>
              <w:rPr>
                <w:b w:val="0"/>
              </w:rPr>
            </w:pPr>
            <w:r w:rsidRPr="00DB0399">
              <w:rPr>
                <w:b w:val="0"/>
              </w:rPr>
              <w:t>Specialist pharmacotherapy (n=401; 1.6%)</w:t>
            </w:r>
          </w:p>
        </w:tc>
        <w:tc>
          <w:tcPr>
            <w:tcW w:w="746" w:type="pct"/>
            <w:hideMark/>
          </w:tcPr>
          <w:p w14:paraId="38A46D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114 (28.4%)</w:t>
            </w:r>
          </w:p>
        </w:tc>
        <w:tc>
          <w:tcPr>
            <w:tcW w:w="746" w:type="pct"/>
            <w:hideMark/>
          </w:tcPr>
          <w:p w14:paraId="38A46D6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103 (25.7%)</w:t>
            </w:r>
          </w:p>
        </w:tc>
        <w:tc>
          <w:tcPr>
            <w:tcW w:w="744" w:type="pct"/>
            <w:hideMark/>
          </w:tcPr>
          <w:p w14:paraId="38A46D6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109 (27.2%)</w:t>
            </w:r>
          </w:p>
        </w:tc>
      </w:tr>
      <w:tr w:rsidR="00CA7A60" w:rsidRPr="00FB60E5" w14:paraId="38A46D6B"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67" w14:textId="77777777" w:rsidR="00CA7A60" w:rsidRPr="00DB0399" w:rsidRDefault="00CA7A60" w:rsidP="00FB60E5">
            <w:pPr>
              <w:ind w:left="0"/>
              <w:rPr>
                <w:b w:val="0"/>
              </w:rPr>
            </w:pPr>
            <w:r w:rsidRPr="00DB0399">
              <w:rPr>
                <w:b w:val="0"/>
              </w:rPr>
              <w:t>Residential rehabilitation (n=176; 0.7%)</w:t>
            </w:r>
          </w:p>
        </w:tc>
        <w:tc>
          <w:tcPr>
            <w:tcW w:w="746" w:type="pct"/>
            <w:hideMark/>
          </w:tcPr>
          <w:p w14:paraId="38A46D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31 (17.6%)</w:t>
            </w:r>
          </w:p>
        </w:tc>
        <w:tc>
          <w:tcPr>
            <w:tcW w:w="746" w:type="pct"/>
            <w:hideMark/>
          </w:tcPr>
          <w:p w14:paraId="38A46D6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 (16.5%)</w:t>
            </w:r>
          </w:p>
        </w:tc>
        <w:tc>
          <w:tcPr>
            <w:tcW w:w="744" w:type="pct"/>
            <w:hideMark/>
          </w:tcPr>
          <w:p w14:paraId="38A46D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 (15.3%)</w:t>
            </w:r>
          </w:p>
        </w:tc>
      </w:tr>
      <w:tr w:rsidR="00CA7A60" w:rsidRPr="00FB60E5" w14:paraId="38A46D70"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6C" w14:textId="77777777" w:rsidR="00CA7A60" w:rsidRPr="00DB0399" w:rsidRDefault="00CA7A60" w:rsidP="00FB60E5">
            <w:pPr>
              <w:ind w:left="0"/>
              <w:rPr>
                <w:b w:val="0"/>
              </w:rPr>
            </w:pPr>
            <w:r w:rsidRPr="00DB0399">
              <w:rPr>
                <w:b w:val="0"/>
              </w:rPr>
              <w:t>Supported accommodation (n=269; 1.1%)</w:t>
            </w:r>
          </w:p>
        </w:tc>
        <w:tc>
          <w:tcPr>
            <w:tcW w:w="746" w:type="pct"/>
            <w:hideMark/>
          </w:tcPr>
          <w:p w14:paraId="38A46D6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 (22.3%)</w:t>
            </w:r>
          </w:p>
        </w:tc>
        <w:tc>
          <w:tcPr>
            <w:tcW w:w="746" w:type="pct"/>
            <w:hideMark/>
          </w:tcPr>
          <w:p w14:paraId="38A46D6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 (22.3%)</w:t>
            </w:r>
          </w:p>
        </w:tc>
        <w:tc>
          <w:tcPr>
            <w:tcW w:w="744" w:type="pct"/>
            <w:hideMark/>
          </w:tcPr>
          <w:p w14:paraId="38A46D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 (24.2%)</w:t>
            </w:r>
          </w:p>
        </w:tc>
      </w:tr>
      <w:tr w:rsidR="00CA7A60" w:rsidRPr="00FB60E5" w14:paraId="38A46D75"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71" w14:textId="77777777" w:rsidR="00CA7A60" w:rsidRPr="00DB0399" w:rsidRDefault="00CA7A60" w:rsidP="00FB60E5">
            <w:pPr>
              <w:ind w:left="0"/>
              <w:rPr>
                <w:b w:val="0"/>
              </w:rPr>
            </w:pPr>
            <w:r w:rsidRPr="00DB0399">
              <w:rPr>
                <w:b w:val="0"/>
              </w:rPr>
              <w:t>Post withdrawal linkage (n=256; 1.0%)</w:t>
            </w:r>
          </w:p>
        </w:tc>
        <w:tc>
          <w:tcPr>
            <w:tcW w:w="746" w:type="pct"/>
            <w:hideMark/>
          </w:tcPr>
          <w:p w14:paraId="38A46D7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47 (18.4%)</w:t>
            </w:r>
          </w:p>
        </w:tc>
        <w:tc>
          <w:tcPr>
            <w:tcW w:w="746" w:type="pct"/>
            <w:hideMark/>
          </w:tcPr>
          <w:p w14:paraId="38A46D7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 (16.0%)</w:t>
            </w:r>
          </w:p>
        </w:tc>
        <w:tc>
          <w:tcPr>
            <w:tcW w:w="744" w:type="pct"/>
            <w:hideMark/>
          </w:tcPr>
          <w:p w14:paraId="38A46D7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 (16.8%)</w:t>
            </w:r>
          </w:p>
        </w:tc>
      </w:tr>
      <w:tr w:rsidR="00CA7A60" w:rsidRPr="00FB60E5" w14:paraId="38A46D7A"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76" w14:textId="77777777" w:rsidR="00CA7A60" w:rsidRPr="00DB0399" w:rsidRDefault="00CA7A60" w:rsidP="00FB60E5">
            <w:pPr>
              <w:ind w:left="0"/>
              <w:rPr>
                <w:b w:val="0"/>
              </w:rPr>
            </w:pPr>
            <w:r w:rsidRPr="00DB0399">
              <w:rPr>
                <w:b w:val="0"/>
              </w:rPr>
              <w:t>Other/unknown (n=659; 2.6%)</w:t>
            </w:r>
          </w:p>
        </w:tc>
        <w:tc>
          <w:tcPr>
            <w:tcW w:w="746" w:type="pct"/>
            <w:hideMark/>
          </w:tcPr>
          <w:p w14:paraId="38A46D7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128 (19.4%)</w:t>
            </w:r>
          </w:p>
        </w:tc>
        <w:tc>
          <w:tcPr>
            <w:tcW w:w="746" w:type="pct"/>
            <w:hideMark/>
          </w:tcPr>
          <w:p w14:paraId="38A46D7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146 (22.2%)</w:t>
            </w:r>
          </w:p>
        </w:tc>
        <w:tc>
          <w:tcPr>
            <w:tcW w:w="744" w:type="pct"/>
            <w:hideMark/>
          </w:tcPr>
          <w:p w14:paraId="38A46D7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109 (16.5%)</w:t>
            </w:r>
          </w:p>
        </w:tc>
      </w:tr>
      <w:tr w:rsidR="00DB0399" w:rsidRPr="00FB60E5" w14:paraId="38A46D7D"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D7C" w14:textId="514BAACE" w:rsidR="00DB0399" w:rsidRPr="00DB0399" w:rsidRDefault="00DB0399" w:rsidP="00FB60E5">
            <w:pPr>
              <w:ind w:left="0"/>
              <w:rPr>
                <w:b w:val="0"/>
                <w:bCs w:val="0"/>
              </w:rPr>
            </w:pPr>
            <w:r w:rsidRPr="00FB60E5">
              <w:t>Treatment termination status</w:t>
            </w:r>
          </w:p>
        </w:tc>
      </w:tr>
      <w:tr w:rsidR="00CA7A60" w:rsidRPr="00FB60E5" w14:paraId="38A46D82"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7E" w14:textId="77777777" w:rsidR="00CA7A60" w:rsidRPr="00DB0399" w:rsidRDefault="00CA7A60" w:rsidP="00FB60E5">
            <w:pPr>
              <w:ind w:left="0"/>
              <w:rPr>
                <w:b w:val="0"/>
              </w:rPr>
            </w:pPr>
            <w:r w:rsidRPr="00DB0399">
              <w:rPr>
                <w:b w:val="0"/>
              </w:rPr>
              <w:t>Completed treatment (n=18690; 74.1%)</w:t>
            </w:r>
          </w:p>
        </w:tc>
        <w:tc>
          <w:tcPr>
            <w:tcW w:w="746" w:type="pct"/>
            <w:hideMark/>
          </w:tcPr>
          <w:p w14:paraId="38A46D7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3487 (18.7%)</w:t>
            </w:r>
          </w:p>
        </w:tc>
        <w:tc>
          <w:tcPr>
            <w:tcW w:w="746" w:type="pct"/>
            <w:hideMark/>
          </w:tcPr>
          <w:p w14:paraId="38A46D8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3520 (18.8%)</w:t>
            </w:r>
          </w:p>
        </w:tc>
        <w:tc>
          <w:tcPr>
            <w:tcW w:w="744" w:type="pct"/>
            <w:hideMark/>
          </w:tcPr>
          <w:p w14:paraId="38A46D8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3364 (18.0%)</w:t>
            </w:r>
          </w:p>
        </w:tc>
      </w:tr>
      <w:tr w:rsidR="00CA7A60" w:rsidRPr="00FB60E5" w14:paraId="38A46D8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83" w14:textId="77777777" w:rsidR="00CA7A60" w:rsidRPr="00DB0399" w:rsidRDefault="00CA7A60" w:rsidP="00FB60E5">
            <w:pPr>
              <w:ind w:left="0"/>
              <w:rPr>
                <w:b w:val="0"/>
              </w:rPr>
            </w:pPr>
            <w:r w:rsidRPr="00DB0399">
              <w:rPr>
                <w:b w:val="0"/>
              </w:rPr>
              <w:t>Not completed (n=6262; 24.8%)</w:t>
            </w:r>
          </w:p>
        </w:tc>
        <w:tc>
          <w:tcPr>
            <w:tcW w:w="746" w:type="pct"/>
            <w:hideMark/>
          </w:tcPr>
          <w:p w14:paraId="38A46D8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 xml:space="preserve">1283 </w:t>
            </w:r>
            <w:r w:rsidRPr="00FB60E5">
              <w:lastRenderedPageBreak/>
              <w:t>(20.5%)</w:t>
            </w:r>
          </w:p>
        </w:tc>
        <w:tc>
          <w:tcPr>
            <w:tcW w:w="746" w:type="pct"/>
            <w:hideMark/>
          </w:tcPr>
          <w:p w14:paraId="38A46D8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lastRenderedPageBreak/>
              <w:t xml:space="preserve">1350 </w:t>
            </w:r>
            <w:r w:rsidRPr="00FB60E5">
              <w:lastRenderedPageBreak/>
              <w:t>(21.6%)</w:t>
            </w:r>
          </w:p>
        </w:tc>
        <w:tc>
          <w:tcPr>
            <w:tcW w:w="744" w:type="pct"/>
            <w:hideMark/>
          </w:tcPr>
          <w:p w14:paraId="38A46D8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lastRenderedPageBreak/>
              <w:t xml:space="preserve">1233 </w:t>
            </w:r>
            <w:r w:rsidRPr="00FB60E5">
              <w:lastRenderedPageBreak/>
              <w:t>(19.7%)</w:t>
            </w:r>
          </w:p>
        </w:tc>
      </w:tr>
      <w:tr w:rsidR="00CA7A60" w:rsidRPr="00FB60E5" w14:paraId="38A46D8C"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88" w14:textId="77777777" w:rsidR="00CA7A60" w:rsidRPr="00DB0399" w:rsidRDefault="00CA7A60" w:rsidP="00FB60E5">
            <w:pPr>
              <w:ind w:left="0"/>
              <w:rPr>
                <w:b w:val="0"/>
              </w:rPr>
            </w:pPr>
            <w:r w:rsidRPr="00DB0399">
              <w:rPr>
                <w:b w:val="0"/>
              </w:rPr>
              <w:lastRenderedPageBreak/>
              <w:t>Unknown (n=277; 1.1%)</w:t>
            </w:r>
          </w:p>
        </w:tc>
        <w:tc>
          <w:tcPr>
            <w:tcW w:w="746" w:type="pct"/>
            <w:hideMark/>
          </w:tcPr>
          <w:p w14:paraId="38A46D8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 (20.9%)</w:t>
            </w:r>
          </w:p>
        </w:tc>
        <w:tc>
          <w:tcPr>
            <w:tcW w:w="746" w:type="pct"/>
            <w:hideMark/>
          </w:tcPr>
          <w:p w14:paraId="38A46D8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 (19.1%)</w:t>
            </w:r>
          </w:p>
        </w:tc>
        <w:tc>
          <w:tcPr>
            <w:tcW w:w="744" w:type="pct"/>
            <w:hideMark/>
          </w:tcPr>
          <w:p w14:paraId="38A46D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 (16.2%)</w:t>
            </w:r>
          </w:p>
        </w:tc>
      </w:tr>
      <w:tr w:rsidR="00DB0399" w:rsidRPr="00FB60E5" w14:paraId="38A46D91"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D90" w14:textId="1D955DBC" w:rsidR="00DB0399" w:rsidRPr="00FB60E5" w:rsidRDefault="00DB0399" w:rsidP="00FB60E5">
            <w:pPr>
              <w:ind w:left="0"/>
            </w:pPr>
            <w:r w:rsidRPr="00FB60E5">
              <w:t>Primary drug of concern</w:t>
            </w:r>
          </w:p>
        </w:tc>
      </w:tr>
      <w:tr w:rsidR="00CA7A60" w:rsidRPr="00FB60E5" w14:paraId="38A46D96"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92" w14:textId="77777777" w:rsidR="00CA7A60" w:rsidRPr="00DB0399" w:rsidRDefault="00CA7A60" w:rsidP="00FB60E5">
            <w:pPr>
              <w:ind w:left="0"/>
              <w:rPr>
                <w:b w:val="0"/>
              </w:rPr>
            </w:pPr>
            <w:r w:rsidRPr="00DB0399">
              <w:rPr>
                <w:b w:val="0"/>
              </w:rPr>
              <w:t>Alcohol (n=11912; 47.2%)</w:t>
            </w:r>
          </w:p>
        </w:tc>
        <w:tc>
          <w:tcPr>
            <w:tcW w:w="746" w:type="pct"/>
            <w:hideMark/>
          </w:tcPr>
          <w:p w14:paraId="38A46D9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2280 (19.1%)</w:t>
            </w:r>
          </w:p>
        </w:tc>
        <w:tc>
          <w:tcPr>
            <w:tcW w:w="746" w:type="pct"/>
            <w:hideMark/>
          </w:tcPr>
          <w:p w14:paraId="38A46D9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2277 (19.1%)</w:t>
            </w:r>
          </w:p>
        </w:tc>
        <w:tc>
          <w:tcPr>
            <w:tcW w:w="744" w:type="pct"/>
            <w:hideMark/>
          </w:tcPr>
          <w:p w14:paraId="38A46D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2238 (18.8%)</w:t>
            </w:r>
          </w:p>
        </w:tc>
      </w:tr>
      <w:tr w:rsidR="00CA7A60" w:rsidRPr="00FB60E5" w14:paraId="38A46D9B"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97" w14:textId="77777777" w:rsidR="00CA7A60" w:rsidRPr="00DB0399" w:rsidRDefault="00CA7A60" w:rsidP="00FB60E5">
            <w:pPr>
              <w:ind w:left="0"/>
              <w:rPr>
                <w:b w:val="0"/>
              </w:rPr>
            </w:pPr>
            <w:r w:rsidRPr="00DB0399">
              <w:rPr>
                <w:b w:val="0"/>
              </w:rPr>
              <w:t>Cannabis (n=5663; 22.4%)</w:t>
            </w:r>
          </w:p>
        </w:tc>
        <w:tc>
          <w:tcPr>
            <w:tcW w:w="746" w:type="pct"/>
            <w:hideMark/>
          </w:tcPr>
          <w:p w14:paraId="38A46D9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1061 (18.7%)</w:t>
            </w:r>
          </w:p>
        </w:tc>
        <w:tc>
          <w:tcPr>
            <w:tcW w:w="746" w:type="pct"/>
            <w:hideMark/>
          </w:tcPr>
          <w:p w14:paraId="38A46D9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1071 (18.9%)</w:t>
            </w:r>
          </w:p>
        </w:tc>
        <w:tc>
          <w:tcPr>
            <w:tcW w:w="744" w:type="pct"/>
            <w:hideMark/>
          </w:tcPr>
          <w:p w14:paraId="38A46D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1007 (17.8%)</w:t>
            </w:r>
          </w:p>
        </w:tc>
      </w:tr>
      <w:tr w:rsidR="00CA7A60" w:rsidRPr="00FB60E5" w14:paraId="38A46DA0"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9C" w14:textId="77777777" w:rsidR="00CA7A60" w:rsidRPr="00DB0399" w:rsidRDefault="00CA7A60" w:rsidP="00FB60E5">
            <w:pPr>
              <w:ind w:left="0"/>
              <w:rPr>
                <w:b w:val="0"/>
              </w:rPr>
            </w:pPr>
            <w:r w:rsidRPr="00DB0399">
              <w:rPr>
                <w:b w:val="0"/>
              </w:rPr>
              <w:t>Heroin &amp; other opioids (n=3863; 15.3%)</w:t>
            </w:r>
          </w:p>
        </w:tc>
        <w:tc>
          <w:tcPr>
            <w:tcW w:w="746" w:type="pct"/>
            <w:hideMark/>
          </w:tcPr>
          <w:p w14:paraId="38A46D9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853 (22.1%)</w:t>
            </w:r>
          </w:p>
        </w:tc>
        <w:tc>
          <w:tcPr>
            <w:tcW w:w="746" w:type="pct"/>
            <w:hideMark/>
          </w:tcPr>
          <w:p w14:paraId="38A46D9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836 (21.6%)</w:t>
            </w:r>
          </w:p>
        </w:tc>
        <w:tc>
          <w:tcPr>
            <w:tcW w:w="744" w:type="pct"/>
            <w:hideMark/>
          </w:tcPr>
          <w:p w14:paraId="38A46D9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758 (19.6%)</w:t>
            </w:r>
          </w:p>
        </w:tc>
      </w:tr>
      <w:tr w:rsidR="00CA7A60" w:rsidRPr="00FB60E5" w14:paraId="38A46DA5"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6DA1" w14:textId="77777777" w:rsidR="00CA7A60" w:rsidRPr="00DB0399" w:rsidRDefault="00CA7A60" w:rsidP="00FB60E5">
            <w:pPr>
              <w:ind w:left="0"/>
              <w:rPr>
                <w:b w:val="0"/>
              </w:rPr>
            </w:pPr>
            <w:r w:rsidRPr="00DB0399">
              <w:rPr>
                <w:b w:val="0"/>
              </w:rPr>
              <w:t>Amphetamine &amp; other stimulants (n=2198; 8.7%)</w:t>
            </w:r>
          </w:p>
        </w:tc>
        <w:tc>
          <w:tcPr>
            <w:tcW w:w="746" w:type="pct"/>
            <w:hideMark/>
          </w:tcPr>
          <w:p w14:paraId="38A46DA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338 (15.4%)</w:t>
            </w:r>
          </w:p>
        </w:tc>
        <w:tc>
          <w:tcPr>
            <w:tcW w:w="746" w:type="pct"/>
            <w:hideMark/>
          </w:tcPr>
          <w:p w14:paraId="38A46D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397 (18.1%)</w:t>
            </w:r>
          </w:p>
        </w:tc>
        <w:tc>
          <w:tcPr>
            <w:tcW w:w="744" w:type="pct"/>
            <w:hideMark/>
          </w:tcPr>
          <w:p w14:paraId="38A46D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356 (16.2%)</w:t>
            </w:r>
          </w:p>
        </w:tc>
      </w:tr>
      <w:tr w:rsidR="00CA7A60" w:rsidRPr="00FB60E5" w14:paraId="38A46DAA"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A6" w14:textId="77777777" w:rsidR="00CA7A60" w:rsidRPr="00DB0399" w:rsidRDefault="00CA7A60" w:rsidP="00FB60E5">
            <w:pPr>
              <w:ind w:left="0"/>
              <w:rPr>
                <w:b w:val="0"/>
              </w:rPr>
            </w:pPr>
            <w:r w:rsidRPr="00DB0399">
              <w:rPr>
                <w:b w:val="0"/>
              </w:rPr>
              <w:t>Benzodiazepines &amp; other tranquillisers (n=522; 2.1%)</w:t>
            </w:r>
          </w:p>
        </w:tc>
        <w:tc>
          <w:tcPr>
            <w:tcW w:w="746" w:type="pct"/>
            <w:hideMark/>
          </w:tcPr>
          <w:p w14:paraId="38A46D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97 (18.6%)</w:t>
            </w:r>
          </w:p>
        </w:tc>
        <w:tc>
          <w:tcPr>
            <w:tcW w:w="746" w:type="pct"/>
            <w:hideMark/>
          </w:tcPr>
          <w:p w14:paraId="38A46DA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125 (23.9%)</w:t>
            </w:r>
          </w:p>
        </w:tc>
        <w:tc>
          <w:tcPr>
            <w:tcW w:w="744" w:type="pct"/>
            <w:hideMark/>
          </w:tcPr>
          <w:p w14:paraId="38A46DA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99 (19.0%)</w:t>
            </w:r>
          </w:p>
        </w:tc>
      </w:tr>
      <w:tr w:rsidR="00CA7A60" w:rsidRPr="00FB60E5" w14:paraId="38A46DAF"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AB" w14:textId="77777777" w:rsidR="00CA7A60" w:rsidRPr="00DB0399" w:rsidRDefault="00CA7A60" w:rsidP="00FB60E5">
            <w:pPr>
              <w:ind w:left="0"/>
              <w:rPr>
                <w:b w:val="0"/>
              </w:rPr>
            </w:pPr>
            <w:r w:rsidRPr="00DB0399">
              <w:rPr>
                <w:b w:val="0"/>
              </w:rPr>
              <w:t>Other (n=730; 2.9%)</w:t>
            </w:r>
          </w:p>
        </w:tc>
        <w:tc>
          <w:tcPr>
            <w:tcW w:w="746" w:type="pct"/>
            <w:hideMark/>
          </w:tcPr>
          <w:p w14:paraId="38A46DA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142 (19.5%)</w:t>
            </w:r>
          </w:p>
        </w:tc>
        <w:tc>
          <w:tcPr>
            <w:tcW w:w="746" w:type="pct"/>
            <w:hideMark/>
          </w:tcPr>
          <w:p w14:paraId="38A46DA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151 (20.7%)</w:t>
            </w:r>
          </w:p>
        </w:tc>
        <w:tc>
          <w:tcPr>
            <w:tcW w:w="744" w:type="pct"/>
            <w:hideMark/>
          </w:tcPr>
          <w:p w14:paraId="38A46DA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133 (18.2%)</w:t>
            </w:r>
          </w:p>
        </w:tc>
      </w:tr>
      <w:tr w:rsidR="00CA7A60" w:rsidRPr="00FB60E5" w14:paraId="38A46DB4"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6DB0" w14:textId="77777777" w:rsidR="00CA7A60" w:rsidRPr="00DB0399" w:rsidRDefault="00CA7A60" w:rsidP="00FB60E5">
            <w:pPr>
              <w:ind w:left="0"/>
              <w:rPr>
                <w:b w:val="0"/>
              </w:rPr>
            </w:pPr>
            <w:r w:rsidRPr="00DB0399">
              <w:rPr>
                <w:b w:val="0"/>
              </w:rPr>
              <w:t>Unknown (n=341; 1.4%)</w:t>
            </w:r>
          </w:p>
        </w:tc>
        <w:tc>
          <w:tcPr>
            <w:tcW w:w="746" w:type="pct"/>
            <w:hideMark/>
          </w:tcPr>
          <w:p w14:paraId="38A46D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57 (16.7%)</w:t>
            </w:r>
          </w:p>
        </w:tc>
        <w:tc>
          <w:tcPr>
            <w:tcW w:w="746" w:type="pct"/>
            <w:hideMark/>
          </w:tcPr>
          <w:p w14:paraId="38A46DB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66 (19.4%)</w:t>
            </w:r>
          </w:p>
        </w:tc>
        <w:tc>
          <w:tcPr>
            <w:tcW w:w="744" w:type="pct"/>
            <w:hideMark/>
          </w:tcPr>
          <w:p w14:paraId="38A46DB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 (15.0%)</w:t>
            </w:r>
          </w:p>
        </w:tc>
      </w:tr>
    </w:tbl>
    <w:p w14:paraId="38A46DB6" w14:textId="77777777" w:rsidR="00CA7A60" w:rsidRPr="00FB60E5" w:rsidRDefault="00CA7A60" w:rsidP="00FB60E5">
      <w:pPr>
        <w:ind w:left="0"/>
      </w:pPr>
      <w:r w:rsidRPr="00FB60E5">
        <w:t xml:space="preserve">Client </w:t>
      </w:r>
      <w:proofErr w:type="spellStart"/>
      <w:r w:rsidRPr="00FB60E5">
        <w:t>characterstics</w:t>
      </w:r>
      <w:proofErr w:type="spellEnd"/>
      <w:r w:rsidRPr="00FB60E5">
        <w:t xml:space="preserve"> and </w:t>
      </w:r>
      <w:proofErr w:type="spellStart"/>
      <w:r w:rsidRPr="00FB60E5">
        <w:t>hospitalisaitons</w:t>
      </w:r>
      <w:proofErr w:type="spellEnd"/>
    </w:p>
    <w:p w14:paraId="0ACFF3A2" w14:textId="77777777" w:rsidR="002C27A8" w:rsidRDefault="00BE3D19" w:rsidP="00FB60E5">
      <w:pPr>
        <w:ind w:left="0"/>
      </w:pPr>
      <w:r w:rsidRPr="00FB60E5">
        <w:fldChar w:fldCharType="begin"/>
      </w:r>
      <w:r w:rsidR="00CA7A60" w:rsidRPr="00FB60E5">
        <w:instrText xml:space="preserve"> REF _Ref386856706 </w:instrText>
      </w:r>
      <w:r w:rsidR="00FB60E5" w:rsidRPr="00FB60E5">
        <w:instrText xml:space="preserve"> \* MERGEFORMAT </w:instrText>
      </w:r>
      <w:r w:rsidRPr="00FB60E5">
        <w:fldChar w:fldCharType="separate"/>
      </w:r>
      <w:proofErr w:type="gramStart"/>
      <w:r w:rsidR="00E150CA" w:rsidRPr="00FB60E5">
        <w:t>Table 4.14</w:t>
      </w:r>
      <w:r w:rsidRPr="00FB60E5">
        <w:fldChar w:fldCharType="end"/>
      </w:r>
      <w:r w:rsidR="00CA7A60" w:rsidRPr="00FB60E5">
        <w:t xml:space="preserve"> shows sociodemographic characteristics of AOD clients in 2010-2011 (index year) and hospitalisations from 2009/10 to 2011/12.</w:t>
      </w:r>
      <w:proofErr w:type="gramEnd"/>
      <w:r w:rsidR="00CA7A60" w:rsidRPr="00FB60E5">
        <w:t xml:space="preserve"> Approximately two-thirds (68%) were male, with the highest proportion of clients aged 25-34 years (29%). A minority of clients were either Aboriginal and/or Torres Strait Islander (7%) although this was above the state population proportion. The majority were unemployed, living with family, in private residence and just under half were from metropolitan Melbourne</w:t>
      </w:r>
      <w:r w:rsidR="002C27A8">
        <w:t>.</w:t>
      </w:r>
    </w:p>
    <w:p w14:paraId="4AE78101" w14:textId="77777777" w:rsidR="002C27A8" w:rsidRDefault="00CA7A60" w:rsidP="00FB60E5">
      <w:pPr>
        <w:ind w:left="0"/>
      </w:pPr>
      <w:r w:rsidRPr="00FB60E5">
        <w:t>Almost two thirds of male clients and more than half of female clients were not admitted to hospital in any of the three years (6</w:t>
      </w:r>
      <w:r w:rsidR="004B5CD4" w:rsidRPr="00FB60E5">
        <w:t>4</w:t>
      </w:r>
      <w:r w:rsidRPr="00FB60E5">
        <w:t>% of males and 5</w:t>
      </w:r>
      <w:r w:rsidR="004B5CD4" w:rsidRPr="00FB60E5">
        <w:t>2</w:t>
      </w:r>
      <w:r w:rsidRPr="00FB60E5">
        <w:t>% of females). Almost one-quarter of females (2</w:t>
      </w:r>
      <w:r w:rsidR="004B5CD4" w:rsidRPr="00FB60E5">
        <w:t>3</w:t>
      </w:r>
      <w:r w:rsidRPr="00FB60E5">
        <w:t>%) had multiple admissions, while only 1</w:t>
      </w:r>
      <w:r w:rsidR="004B5CD4" w:rsidRPr="00FB60E5">
        <w:t>4</w:t>
      </w:r>
      <w:r w:rsidRPr="00FB60E5">
        <w:t>% of males were admitted on multiple occasions. The likelihood of hospital admission increased with age, as did multiple admissions. People who were under 35 years, employed, living with family, and from metropolitan Melbourne were least likely to be hospitalised across the three years of interest</w:t>
      </w:r>
      <w:r w:rsidR="002C27A8">
        <w:t>.</w:t>
      </w:r>
    </w:p>
    <w:p w14:paraId="38A46DBA" w14:textId="010E0B0F" w:rsidR="00CA7A60" w:rsidRPr="00FB60E5" w:rsidRDefault="00CA7A60" w:rsidP="00FB60E5">
      <w:pPr>
        <w:ind w:left="0"/>
      </w:pPr>
      <w:r w:rsidRPr="00FB60E5">
        <w:t xml:space="preserve">In general, the proportions of pre-AOD treatment hospital admissions (2009/10) were higher than the proportions following AOD treatment engagement (2011/12). This pattern was evident for gender, age groups (with the exception of clients under 15 years and between 55-64 years), country of birth, Indigenous status, employment type, living status, accommodation status (except for </w:t>
      </w:r>
      <w:proofErr w:type="gramStart"/>
      <w:r w:rsidR="004B5CD4" w:rsidRPr="00FB60E5">
        <w:t>those</w:t>
      </w:r>
      <w:proofErr w:type="gramEnd"/>
      <w:r w:rsidR="004B5CD4" w:rsidRPr="00FB60E5">
        <w:t xml:space="preserve"> </w:t>
      </w:r>
      <w:r w:rsidRPr="00FB60E5">
        <w:t>in custody), homeless status and region (</w:t>
      </w:r>
      <w:fldSimple w:instr=" REF _Ref386865779  \* MERGEFORMAT ">
        <w:r w:rsidR="00E150CA" w:rsidRPr="00FB60E5">
          <w:t>Table 4.15</w:t>
        </w:r>
      </w:fldSimple>
      <w:r w:rsidRPr="00FB60E5">
        <w:t>)</w:t>
      </w:r>
      <w:r w:rsidR="002C27A8">
        <w:t>.</w:t>
      </w:r>
    </w:p>
    <w:p w14:paraId="38A46DBB" w14:textId="77777777" w:rsidR="00CA7A60" w:rsidRPr="00FB60E5" w:rsidRDefault="00CA7A60" w:rsidP="00FB60E5">
      <w:pPr>
        <w:ind w:left="0"/>
        <w:sectPr w:rsidR="00CA7A60" w:rsidRPr="00FB60E5" w:rsidSect="00CA7A60">
          <w:pgSz w:w="11906" w:h="16838"/>
          <w:pgMar w:top="1440" w:right="1440" w:bottom="1440" w:left="1440" w:header="708" w:footer="595" w:gutter="0"/>
          <w:cols w:space="708"/>
          <w:docGrid w:linePitch="360"/>
        </w:sectPr>
      </w:pPr>
    </w:p>
    <w:p w14:paraId="38A46DBC" w14:textId="13B337B1" w:rsidR="00CA7A60" w:rsidRPr="00FB60E5" w:rsidRDefault="00CA7A60" w:rsidP="00552239">
      <w:pPr>
        <w:pStyle w:val="Caption"/>
      </w:pPr>
      <w:bookmarkStart w:id="265" w:name="_Ref386856706"/>
      <w:bookmarkStart w:id="266" w:name="_Toc387244638"/>
      <w:bookmarkStart w:id="267" w:name="_Toc531625811"/>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14</w:t>
      </w:r>
      <w:r w:rsidR="00552239">
        <w:fldChar w:fldCharType="end"/>
      </w:r>
      <w:bookmarkEnd w:id="265"/>
      <w:r w:rsidR="002C27A8">
        <w:t xml:space="preserve"> </w:t>
      </w:r>
      <w:r w:rsidRPr="00FB60E5">
        <w:t>Sociodemographic characteristics by hospital admission, 2009/10 to 2011/12</w:t>
      </w:r>
      <w:bookmarkEnd w:id="266"/>
      <w:bookmarkEnd w:id="267"/>
    </w:p>
    <w:tbl>
      <w:tblPr>
        <w:tblStyle w:val="LightList-Accent1"/>
        <w:tblW w:w="5000" w:type="pct"/>
        <w:tblLook w:val="04A0" w:firstRow="1" w:lastRow="0" w:firstColumn="1" w:lastColumn="0" w:noHBand="0" w:noVBand="1"/>
        <w:tblDescription w:val="Table 4.14 is a list of Sociodemographic characteristics by hospital admission, 2009/10 to 2011/12"/>
      </w:tblPr>
      <w:tblGrid>
        <w:gridCol w:w="5215"/>
        <w:gridCol w:w="1622"/>
        <w:gridCol w:w="1550"/>
        <w:gridCol w:w="1550"/>
        <w:gridCol w:w="1551"/>
        <w:gridCol w:w="1803"/>
        <w:gridCol w:w="883"/>
      </w:tblGrid>
      <w:tr w:rsidR="00CA7A60" w:rsidRPr="00FB60E5" w14:paraId="38A46DBF"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0" w:type="pct"/>
            <w:vMerge w:val="restart"/>
            <w:hideMark/>
          </w:tcPr>
          <w:p w14:paraId="38A46DBD" w14:textId="77777777" w:rsidR="00CA7A60" w:rsidRPr="00DB0399" w:rsidRDefault="00CA7A60" w:rsidP="00FB60E5">
            <w:pPr>
              <w:ind w:left="0"/>
              <w:rPr>
                <w:b w:val="0"/>
              </w:rPr>
            </w:pPr>
            <w:r w:rsidRPr="00DB0399">
              <w:rPr>
                <w:b w:val="0"/>
              </w:rPr>
              <w:t> </w:t>
            </w:r>
          </w:p>
        </w:tc>
        <w:tc>
          <w:tcPr>
            <w:tcW w:w="3160" w:type="pct"/>
            <w:gridSpan w:val="6"/>
            <w:noWrap/>
            <w:hideMark/>
          </w:tcPr>
          <w:p w14:paraId="38A46DBE" w14:textId="239B7659" w:rsidR="00CA7A60" w:rsidRPr="00FB60E5" w:rsidRDefault="00930D94" w:rsidP="00FB60E5">
            <w:pPr>
              <w:ind w:left="0"/>
              <w:cnfStyle w:val="100000000000" w:firstRow="1" w:lastRow="0" w:firstColumn="0" w:lastColumn="0" w:oddVBand="0" w:evenVBand="0" w:oddHBand="0" w:evenHBand="0" w:firstRowFirstColumn="0" w:firstRowLastColumn="0" w:lastRowFirstColumn="0" w:lastRowLastColumn="0"/>
            </w:pPr>
            <w:proofErr w:type="spellStart"/>
            <w:r>
              <w:rPr>
                <w:rFonts w:ascii="Calibri,Italic" w:hAnsi="Calibri,Italic" w:cs="Calibri,Italic"/>
                <w:i/>
                <w:iCs/>
                <w:sz w:val="22"/>
              </w:rPr>
              <w:t>Interviewer</w:t>
            </w:r>
            <w:r w:rsidR="00CA7A60" w:rsidRPr="00FB60E5">
              <w:t>Number</w:t>
            </w:r>
            <w:proofErr w:type="spellEnd"/>
            <w:r w:rsidR="00CA7A60" w:rsidRPr="00FB60E5">
              <w:t xml:space="preserve"> of AOD clients </w:t>
            </w:r>
          </w:p>
        </w:tc>
      </w:tr>
      <w:tr w:rsidR="00CA7A60" w:rsidRPr="00FB60E5" w14:paraId="38A46DC7" w14:textId="77777777" w:rsidTr="00DB039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0" w:type="pct"/>
            <w:vMerge/>
            <w:hideMark/>
          </w:tcPr>
          <w:p w14:paraId="38A46DC0" w14:textId="77777777" w:rsidR="00CA7A60" w:rsidRPr="00DB0399" w:rsidRDefault="00CA7A60" w:rsidP="00FB60E5">
            <w:pPr>
              <w:ind w:left="0"/>
              <w:rPr>
                <w:b w:val="0"/>
              </w:rPr>
            </w:pPr>
          </w:p>
        </w:tc>
        <w:tc>
          <w:tcPr>
            <w:tcW w:w="572" w:type="pct"/>
            <w:hideMark/>
          </w:tcPr>
          <w:p w14:paraId="38A46DC1"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No Admission (%)</w:t>
            </w:r>
          </w:p>
        </w:tc>
        <w:tc>
          <w:tcPr>
            <w:tcW w:w="547" w:type="pct"/>
            <w:hideMark/>
          </w:tcPr>
          <w:p w14:paraId="38A46DC2"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only (%)</w:t>
            </w:r>
          </w:p>
        </w:tc>
        <w:tc>
          <w:tcPr>
            <w:tcW w:w="547" w:type="pct"/>
            <w:hideMark/>
          </w:tcPr>
          <w:p w14:paraId="38A46DC3"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only (%)</w:t>
            </w:r>
          </w:p>
        </w:tc>
        <w:tc>
          <w:tcPr>
            <w:tcW w:w="547" w:type="pct"/>
            <w:hideMark/>
          </w:tcPr>
          <w:p w14:paraId="38A46DC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only (%)</w:t>
            </w:r>
          </w:p>
        </w:tc>
        <w:tc>
          <w:tcPr>
            <w:tcW w:w="636" w:type="pct"/>
            <w:hideMark/>
          </w:tcPr>
          <w:p w14:paraId="38A46DC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in multiple years (%)</w:t>
            </w:r>
          </w:p>
        </w:tc>
        <w:tc>
          <w:tcPr>
            <w:tcW w:w="311" w:type="pct"/>
            <w:hideMark/>
          </w:tcPr>
          <w:p w14:paraId="38A46DC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p</w:t>
            </w:r>
          </w:p>
        </w:tc>
      </w:tr>
      <w:tr w:rsidR="00CA7A60" w:rsidRPr="00FB60E5" w14:paraId="38A46DC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DC8" w14:textId="77777777" w:rsidR="00CA7A60" w:rsidRPr="00DB0399" w:rsidRDefault="00CA7A60" w:rsidP="00FB60E5">
            <w:pPr>
              <w:ind w:left="0"/>
              <w:rPr>
                <w:b w:val="0"/>
              </w:rPr>
            </w:pPr>
            <w:r w:rsidRPr="00DB0399">
              <w:rPr>
                <w:b w:val="0"/>
              </w:rPr>
              <w:t>Total (n=25229)</w:t>
            </w:r>
          </w:p>
        </w:tc>
        <w:tc>
          <w:tcPr>
            <w:tcW w:w="572" w:type="pct"/>
            <w:noWrap/>
            <w:hideMark/>
          </w:tcPr>
          <w:p w14:paraId="38A46DC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15119 (59.9%)</w:t>
            </w:r>
          </w:p>
        </w:tc>
        <w:tc>
          <w:tcPr>
            <w:tcW w:w="547" w:type="pct"/>
            <w:noWrap/>
            <w:hideMark/>
          </w:tcPr>
          <w:p w14:paraId="38A46DC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2167 (8.6%)</w:t>
            </w:r>
          </w:p>
        </w:tc>
        <w:tc>
          <w:tcPr>
            <w:tcW w:w="547" w:type="pct"/>
            <w:noWrap/>
            <w:hideMark/>
          </w:tcPr>
          <w:p w14:paraId="38A46DC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1929 (7.6%)</w:t>
            </w:r>
          </w:p>
        </w:tc>
        <w:tc>
          <w:tcPr>
            <w:tcW w:w="547" w:type="pct"/>
            <w:noWrap/>
            <w:hideMark/>
          </w:tcPr>
          <w:p w14:paraId="38A46DC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1801 (7.1%)</w:t>
            </w:r>
          </w:p>
        </w:tc>
        <w:tc>
          <w:tcPr>
            <w:tcW w:w="636" w:type="pct"/>
            <w:noWrap/>
            <w:hideMark/>
          </w:tcPr>
          <w:p w14:paraId="38A46DC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4213 (16.7%)</w:t>
            </w:r>
          </w:p>
        </w:tc>
        <w:tc>
          <w:tcPr>
            <w:tcW w:w="311" w:type="pct"/>
            <w:noWrap/>
            <w:hideMark/>
          </w:tcPr>
          <w:p w14:paraId="38A46DC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 </w:t>
            </w:r>
          </w:p>
        </w:tc>
      </w:tr>
      <w:tr w:rsidR="00DB0399" w:rsidRPr="00FB60E5" w14:paraId="38A46DD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DD6" w14:textId="7772F296" w:rsidR="00DB0399" w:rsidRPr="00DB0399" w:rsidRDefault="00DB0399" w:rsidP="00FB60E5">
            <w:pPr>
              <w:ind w:left="0"/>
              <w:rPr>
                <w:b w:val="0"/>
                <w:bCs w:val="0"/>
              </w:rPr>
            </w:pPr>
            <w:r>
              <w:t>Gender</w:t>
            </w:r>
          </w:p>
        </w:tc>
      </w:tr>
      <w:tr w:rsidR="00CA7A60" w:rsidRPr="00FB60E5" w14:paraId="38A46DD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DD8" w14:textId="77777777" w:rsidR="00CA7A60" w:rsidRPr="00DB0399" w:rsidRDefault="00CA7A60" w:rsidP="00FB60E5">
            <w:pPr>
              <w:ind w:left="0"/>
              <w:rPr>
                <w:b w:val="0"/>
              </w:rPr>
            </w:pPr>
            <w:r w:rsidRPr="00DB0399">
              <w:rPr>
                <w:b w:val="0"/>
              </w:rPr>
              <w:t>Male (n=17198; 68.2%)</w:t>
            </w:r>
          </w:p>
        </w:tc>
        <w:tc>
          <w:tcPr>
            <w:tcW w:w="572" w:type="pct"/>
            <w:noWrap/>
            <w:hideMark/>
          </w:tcPr>
          <w:p w14:paraId="38A46D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10950 (63.7%)</w:t>
            </w:r>
          </w:p>
        </w:tc>
        <w:tc>
          <w:tcPr>
            <w:tcW w:w="547" w:type="pct"/>
            <w:noWrap/>
            <w:hideMark/>
          </w:tcPr>
          <w:p w14:paraId="38A46D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1445 (8.4%)</w:t>
            </w:r>
          </w:p>
        </w:tc>
        <w:tc>
          <w:tcPr>
            <w:tcW w:w="547" w:type="pct"/>
            <w:noWrap/>
            <w:hideMark/>
          </w:tcPr>
          <w:p w14:paraId="38A46DD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1264 (7.3%)</w:t>
            </w:r>
          </w:p>
        </w:tc>
        <w:tc>
          <w:tcPr>
            <w:tcW w:w="547" w:type="pct"/>
            <w:noWrap/>
            <w:hideMark/>
          </w:tcPr>
          <w:p w14:paraId="38A46DD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1147 (6.7%)</w:t>
            </w:r>
          </w:p>
        </w:tc>
        <w:tc>
          <w:tcPr>
            <w:tcW w:w="636" w:type="pct"/>
            <w:noWrap/>
            <w:hideMark/>
          </w:tcPr>
          <w:p w14:paraId="38A46DD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2392 (13.9%)</w:t>
            </w:r>
          </w:p>
        </w:tc>
        <w:tc>
          <w:tcPr>
            <w:tcW w:w="311" w:type="pct"/>
            <w:noWrap/>
            <w:hideMark/>
          </w:tcPr>
          <w:p w14:paraId="38A46DD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DE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DE0" w14:textId="77777777" w:rsidR="003F3393" w:rsidRPr="00DB0399" w:rsidRDefault="003F3393" w:rsidP="00FB60E5">
            <w:pPr>
              <w:ind w:left="0"/>
              <w:rPr>
                <w:b w:val="0"/>
              </w:rPr>
            </w:pPr>
            <w:r w:rsidRPr="00DB0399">
              <w:rPr>
                <w:b w:val="0"/>
              </w:rPr>
              <w:t>Female (n=7982; 31.6%)</w:t>
            </w:r>
          </w:p>
        </w:tc>
        <w:tc>
          <w:tcPr>
            <w:tcW w:w="572" w:type="pct"/>
            <w:noWrap/>
            <w:hideMark/>
          </w:tcPr>
          <w:p w14:paraId="38A46DE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4120 (51.6%)</w:t>
            </w:r>
          </w:p>
        </w:tc>
        <w:tc>
          <w:tcPr>
            <w:tcW w:w="547" w:type="pct"/>
            <w:noWrap/>
            <w:hideMark/>
          </w:tcPr>
          <w:p w14:paraId="38A46DE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722 (9.0%)</w:t>
            </w:r>
          </w:p>
        </w:tc>
        <w:tc>
          <w:tcPr>
            <w:tcW w:w="547" w:type="pct"/>
            <w:noWrap/>
            <w:hideMark/>
          </w:tcPr>
          <w:p w14:paraId="38A46DE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665 (8.3%)</w:t>
            </w:r>
          </w:p>
        </w:tc>
        <w:tc>
          <w:tcPr>
            <w:tcW w:w="547" w:type="pct"/>
            <w:noWrap/>
            <w:hideMark/>
          </w:tcPr>
          <w:p w14:paraId="38A46DE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654 (8.2%)</w:t>
            </w:r>
          </w:p>
        </w:tc>
        <w:tc>
          <w:tcPr>
            <w:tcW w:w="636" w:type="pct"/>
            <w:noWrap/>
            <w:hideMark/>
          </w:tcPr>
          <w:p w14:paraId="38A46DE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1821 (22.8%)</w:t>
            </w:r>
          </w:p>
        </w:tc>
        <w:tc>
          <w:tcPr>
            <w:tcW w:w="311" w:type="pct"/>
            <w:noWrap/>
            <w:hideMark/>
          </w:tcPr>
          <w:p w14:paraId="38A46DE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r w:rsidR="00DB0399" w:rsidRPr="00FB60E5" w14:paraId="38A46DE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DEE" w14:textId="09671154" w:rsidR="00DB0399" w:rsidRPr="00FB60E5" w:rsidRDefault="00DB0399" w:rsidP="00FB60E5">
            <w:pPr>
              <w:ind w:left="0"/>
            </w:pPr>
            <w:r w:rsidRPr="00FB60E5">
              <w:t>Age group</w:t>
            </w:r>
          </w:p>
        </w:tc>
      </w:tr>
      <w:tr w:rsidR="003F3393" w:rsidRPr="00FB60E5" w14:paraId="38A46DF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DF0" w14:textId="77777777" w:rsidR="003F3393" w:rsidRPr="00DB0399" w:rsidRDefault="003F3393" w:rsidP="00FB60E5">
            <w:pPr>
              <w:ind w:left="0"/>
              <w:rPr>
                <w:b w:val="0"/>
              </w:rPr>
            </w:pPr>
            <w:r w:rsidRPr="00DB0399">
              <w:rPr>
                <w:b w:val="0"/>
              </w:rPr>
              <w:t>0-14 (n=340; 1.3%)</w:t>
            </w:r>
          </w:p>
        </w:tc>
        <w:tc>
          <w:tcPr>
            <w:tcW w:w="572" w:type="pct"/>
            <w:noWrap/>
            <w:hideMark/>
          </w:tcPr>
          <w:p w14:paraId="38A46DF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248 (72.9%)</w:t>
            </w:r>
          </w:p>
        </w:tc>
        <w:tc>
          <w:tcPr>
            <w:tcW w:w="547" w:type="pct"/>
            <w:noWrap/>
            <w:hideMark/>
          </w:tcPr>
          <w:p w14:paraId="38A46DF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22 (6.5%)</w:t>
            </w:r>
          </w:p>
        </w:tc>
        <w:tc>
          <w:tcPr>
            <w:tcW w:w="547" w:type="pct"/>
            <w:noWrap/>
            <w:hideMark/>
          </w:tcPr>
          <w:p w14:paraId="38A46DF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31 (9.1%)</w:t>
            </w:r>
          </w:p>
        </w:tc>
        <w:tc>
          <w:tcPr>
            <w:tcW w:w="547" w:type="pct"/>
            <w:noWrap/>
            <w:hideMark/>
          </w:tcPr>
          <w:p w14:paraId="38A46DF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22 (6.5%)</w:t>
            </w:r>
          </w:p>
        </w:tc>
        <w:tc>
          <w:tcPr>
            <w:tcW w:w="636" w:type="pct"/>
            <w:noWrap/>
            <w:hideMark/>
          </w:tcPr>
          <w:p w14:paraId="38A46DF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17 (5.0%)</w:t>
            </w:r>
          </w:p>
        </w:tc>
        <w:tc>
          <w:tcPr>
            <w:tcW w:w="311" w:type="pct"/>
            <w:noWrap/>
            <w:hideMark/>
          </w:tcPr>
          <w:p w14:paraId="38A46DF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DF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DF8" w14:textId="77777777" w:rsidR="003F3393" w:rsidRPr="00DB0399" w:rsidRDefault="003F3393" w:rsidP="00FB60E5">
            <w:pPr>
              <w:ind w:left="0"/>
              <w:rPr>
                <w:b w:val="0"/>
              </w:rPr>
            </w:pPr>
            <w:r w:rsidRPr="00DB0399">
              <w:rPr>
                <w:b w:val="0"/>
              </w:rPr>
              <w:t>15-24 (n=6654; 26.4%)</w:t>
            </w:r>
          </w:p>
        </w:tc>
        <w:tc>
          <w:tcPr>
            <w:tcW w:w="572" w:type="pct"/>
            <w:noWrap/>
            <w:hideMark/>
          </w:tcPr>
          <w:p w14:paraId="38A46DF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4298 (64.6%)</w:t>
            </w:r>
          </w:p>
        </w:tc>
        <w:tc>
          <w:tcPr>
            <w:tcW w:w="547" w:type="pct"/>
            <w:noWrap/>
            <w:hideMark/>
          </w:tcPr>
          <w:p w14:paraId="38A46DF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561 (8.4%)</w:t>
            </w:r>
          </w:p>
        </w:tc>
        <w:tc>
          <w:tcPr>
            <w:tcW w:w="547" w:type="pct"/>
            <w:noWrap/>
            <w:hideMark/>
          </w:tcPr>
          <w:p w14:paraId="38A46DF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447 (6.7%)</w:t>
            </w:r>
          </w:p>
        </w:tc>
        <w:tc>
          <w:tcPr>
            <w:tcW w:w="547" w:type="pct"/>
            <w:noWrap/>
            <w:hideMark/>
          </w:tcPr>
          <w:p w14:paraId="38A46DF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487 (7.3%)</w:t>
            </w:r>
          </w:p>
        </w:tc>
        <w:tc>
          <w:tcPr>
            <w:tcW w:w="636" w:type="pct"/>
            <w:noWrap/>
            <w:hideMark/>
          </w:tcPr>
          <w:p w14:paraId="38A46DF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861 (12.9%)</w:t>
            </w:r>
          </w:p>
        </w:tc>
        <w:tc>
          <w:tcPr>
            <w:tcW w:w="311" w:type="pct"/>
            <w:noWrap/>
            <w:hideMark/>
          </w:tcPr>
          <w:p w14:paraId="38A46DF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0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00" w14:textId="77777777" w:rsidR="003F3393" w:rsidRPr="00DB0399" w:rsidRDefault="003F3393" w:rsidP="00FB60E5">
            <w:pPr>
              <w:ind w:left="0"/>
              <w:rPr>
                <w:b w:val="0"/>
              </w:rPr>
            </w:pPr>
            <w:r w:rsidRPr="00DB0399">
              <w:rPr>
                <w:b w:val="0"/>
              </w:rPr>
              <w:t>25-34 (n=7334; 29.1%)</w:t>
            </w:r>
          </w:p>
        </w:tc>
        <w:tc>
          <w:tcPr>
            <w:tcW w:w="572" w:type="pct"/>
            <w:noWrap/>
            <w:hideMark/>
          </w:tcPr>
          <w:p w14:paraId="38A46E0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4525 (61.7%)</w:t>
            </w:r>
          </w:p>
        </w:tc>
        <w:tc>
          <w:tcPr>
            <w:tcW w:w="547" w:type="pct"/>
            <w:noWrap/>
            <w:hideMark/>
          </w:tcPr>
          <w:p w14:paraId="38A46E0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623 (8.5%)</w:t>
            </w:r>
          </w:p>
        </w:tc>
        <w:tc>
          <w:tcPr>
            <w:tcW w:w="547" w:type="pct"/>
            <w:noWrap/>
            <w:hideMark/>
          </w:tcPr>
          <w:p w14:paraId="38A46E0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547 (7.5%)</w:t>
            </w:r>
          </w:p>
        </w:tc>
        <w:tc>
          <w:tcPr>
            <w:tcW w:w="547" w:type="pct"/>
            <w:noWrap/>
            <w:hideMark/>
          </w:tcPr>
          <w:p w14:paraId="38A46E0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524 (7.1%)</w:t>
            </w:r>
          </w:p>
        </w:tc>
        <w:tc>
          <w:tcPr>
            <w:tcW w:w="636" w:type="pct"/>
            <w:noWrap/>
            <w:hideMark/>
          </w:tcPr>
          <w:p w14:paraId="38A46E0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1115 (15.2%)</w:t>
            </w:r>
          </w:p>
        </w:tc>
        <w:tc>
          <w:tcPr>
            <w:tcW w:w="311" w:type="pct"/>
            <w:noWrap/>
            <w:hideMark/>
          </w:tcPr>
          <w:p w14:paraId="38A46E0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0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08" w14:textId="77777777" w:rsidR="003F3393" w:rsidRPr="00DB0399" w:rsidRDefault="003F3393" w:rsidP="00FB60E5">
            <w:pPr>
              <w:ind w:left="0"/>
              <w:rPr>
                <w:b w:val="0"/>
              </w:rPr>
            </w:pPr>
            <w:r w:rsidRPr="00DB0399">
              <w:rPr>
                <w:b w:val="0"/>
              </w:rPr>
              <w:t>35-44 (n=6220; 24.7%)</w:t>
            </w:r>
          </w:p>
        </w:tc>
        <w:tc>
          <w:tcPr>
            <w:tcW w:w="572" w:type="pct"/>
            <w:noWrap/>
            <w:hideMark/>
          </w:tcPr>
          <w:p w14:paraId="38A46E0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3568 (57.4%)</w:t>
            </w:r>
          </w:p>
        </w:tc>
        <w:tc>
          <w:tcPr>
            <w:tcW w:w="547" w:type="pct"/>
            <w:noWrap/>
            <w:hideMark/>
          </w:tcPr>
          <w:p w14:paraId="38A46E0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590 (9.5%)</w:t>
            </w:r>
          </w:p>
        </w:tc>
        <w:tc>
          <w:tcPr>
            <w:tcW w:w="547" w:type="pct"/>
            <w:noWrap/>
            <w:hideMark/>
          </w:tcPr>
          <w:p w14:paraId="38A46E0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512 (8.2%)</w:t>
            </w:r>
          </w:p>
        </w:tc>
        <w:tc>
          <w:tcPr>
            <w:tcW w:w="547" w:type="pct"/>
            <w:noWrap/>
            <w:hideMark/>
          </w:tcPr>
          <w:p w14:paraId="38A46E0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415 (6.7%)</w:t>
            </w:r>
          </w:p>
        </w:tc>
        <w:tc>
          <w:tcPr>
            <w:tcW w:w="636" w:type="pct"/>
            <w:noWrap/>
            <w:hideMark/>
          </w:tcPr>
          <w:p w14:paraId="38A46E0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1135 (18.2%)</w:t>
            </w:r>
          </w:p>
        </w:tc>
        <w:tc>
          <w:tcPr>
            <w:tcW w:w="311" w:type="pct"/>
            <w:noWrap/>
            <w:hideMark/>
          </w:tcPr>
          <w:p w14:paraId="38A46E0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1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10" w14:textId="77777777" w:rsidR="003F3393" w:rsidRPr="00DB0399" w:rsidRDefault="003F3393" w:rsidP="00FB60E5">
            <w:pPr>
              <w:ind w:left="0"/>
              <w:rPr>
                <w:b w:val="0"/>
              </w:rPr>
            </w:pPr>
            <w:r w:rsidRPr="00DB0399">
              <w:rPr>
                <w:b w:val="0"/>
              </w:rPr>
              <w:t>45-54 (n=3202; 12.7%)</w:t>
            </w:r>
          </w:p>
        </w:tc>
        <w:tc>
          <w:tcPr>
            <w:tcW w:w="572" w:type="pct"/>
            <w:noWrap/>
            <w:hideMark/>
          </w:tcPr>
          <w:p w14:paraId="38A46E1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1754 (54.8%)</w:t>
            </w:r>
          </w:p>
        </w:tc>
        <w:tc>
          <w:tcPr>
            <w:tcW w:w="547" w:type="pct"/>
            <w:noWrap/>
            <w:hideMark/>
          </w:tcPr>
          <w:p w14:paraId="38A46E1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262 (8.2%)</w:t>
            </w:r>
          </w:p>
        </w:tc>
        <w:tc>
          <w:tcPr>
            <w:tcW w:w="547" w:type="pct"/>
            <w:noWrap/>
            <w:hideMark/>
          </w:tcPr>
          <w:p w14:paraId="38A46E1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292 (9.1%)</w:t>
            </w:r>
          </w:p>
        </w:tc>
        <w:tc>
          <w:tcPr>
            <w:tcW w:w="547" w:type="pct"/>
            <w:noWrap/>
            <w:hideMark/>
          </w:tcPr>
          <w:p w14:paraId="38A46E1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237 (7.4%)</w:t>
            </w:r>
          </w:p>
        </w:tc>
        <w:tc>
          <w:tcPr>
            <w:tcW w:w="636" w:type="pct"/>
            <w:noWrap/>
            <w:hideMark/>
          </w:tcPr>
          <w:p w14:paraId="38A46E1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657 (20.5%)</w:t>
            </w:r>
          </w:p>
        </w:tc>
        <w:tc>
          <w:tcPr>
            <w:tcW w:w="311" w:type="pct"/>
            <w:noWrap/>
            <w:hideMark/>
          </w:tcPr>
          <w:p w14:paraId="38A46E1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1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18" w14:textId="77777777" w:rsidR="003F3393" w:rsidRPr="00DB0399" w:rsidRDefault="003F3393" w:rsidP="00FB60E5">
            <w:pPr>
              <w:ind w:left="0"/>
              <w:rPr>
                <w:b w:val="0"/>
              </w:rPr>
            </w:pPr>
            <w:r w:rsidRPr="00DB0399">
              <w:rPr>
                <w:b w:val="0"/>
              </w:rPr>
              <w:t>55-64 (n=1102; 4.4%)</w:t>
            </w:r>
          </w:p>
        </w:tc>
        <w:tc>
          <w:tcPr>
            <w:tcW w:w="572" w:type="pct"/>
            <w:noWrap/>
            <w:hideMark/>
          </w:tcPr>
          <w:p w14:paraId="38A46E1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548 (49.7%)</w:t>
            </w:r>
          </w:p>
        </w:tc>
        <w:tc>
          <w:tcPr>
            <w:tcW w:w="547" w:type="pct"/>
            <w:noWrap/>
            <w:hideMark/>
          </w:tcPr>
          <w:p w14:paraId="38A46E1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83 (7.5%)</w:t>
            </w:r>
          </w:p>
        </w:tc>
        <w:tc>
          <w:tcPr>
            <w:tcW w:w="547" w:type="pct"/>
            <w:noWrap/>
            <w:hideMark/>
          </w:tcPr>
          <w:p w14:paraId="38A46E1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81 (7.4%)</w:t>
            </w:r>
          </w:p>
        </w:tc>
        <w:tc>
          <w:tcPr>
            <w:tcW w:w="547" w:type="pct"/>
            <w:noWrap/>
            <w:hideMark/>
          </w:tcPr>
          <w:p w14:paraId="38A46E1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89 (8.1%)</w:t>
            </w:r>
          </w:p>
        </w:tc>
        <w:tc>
          <w:tcPr>
            <w:tcW w:w="636" w:type="pct"/>
            <w:noWrap/>
            <w:hideMark/>
          </w:tcPr>
          <w:p w14:paraId="38A46E1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301 (27.3%)</w:t>
            </w:r>
          </w:p>
        </w:tc>
        <w:tc>
          <w:tcPr>
            <w:tcW w:w="311" w:type="pct"/>
            <w:noWrap/>
            <w:hideMark/>
          </w:tcPr>
          <w:p w14:paraId="38A46E1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2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20" w14:textId="77777777" w:rsidR="003F3393" w:rsidRPr="00DB0399" w:rsidRDefault="003F3393" w:rsidP="00FB60E5">
            <w:pPr>
              <w:ind w:left="0"/>
              <w:rPr>
                <w:b w:val="0"/>
              </w:rPr>
            </w:pPr>
            <w:r w:rsidRPr="00DB0399">
              <w:rPr>
                <w:b w:val="0"/>
              </w:rPr>
              <w:t>65+ (n=377; 1.5%)</w:t>
            </w:r>
          </w:p>
        </w:tc>
        <w:tc>
          <w:tcPr>
            <w:tcW w:w="572" w:type="pct"/>
            <w:noWrap/>
            <w:hideMark/>
          </w:tcPr>
          <w:p w14:paraId="38A46E2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178 (47.2%)</w:t>
            </w:r>
          </w:p>
        </w:tc>
        <w:tc>
          <w:tcPr>
            <w:tcW w:w="547" w:type="pct"/>
            <w:noWrap/>
            <w:hideMark/>
          </w:tcPr>
          <w:p w14:paraId="38A46E2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26 (6.9%)</w:t>
            </w:r>
          </w:p>
        </w:tc>
        <w:tc>
          <w:tcPr>
            <w:tcW w:w="547" w:type="pct"/>
            <w:noWrap/>
            <w:hideMark/>
          </w:tcPr>
          <w:p w14:paraId="38A46E2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19 (5.0%)</w:t>
            </w:r>
          </w:p>
        </w:tc>
        <w:tc>
          <w:tcPr>
            <w:tcW w:w="547" w:type="pct"/>
            <w:noWrap/>
            <w:hideMark/>
          </w:tcPr>
          <w:p w14:paraId="38A46E2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27 (7.2%)</w:t>
            </w:r>
          </w:p>
        </w:tc>
        <w:tc>
          <w:tcPr>
            <w:tcW w:w="636" w:type="pct"/>
            <w:noWrap/>
            <w:hideMark/>
          </w:tcPr>
          <w:p w14:paraId="38A46E2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127 (33.7%)</w:t>
            </w:r>
          </w:p>
        </w:tc>
        <w:tc>
          <w:tcPr>
            <w:tcW w:w="311" w:type="pct"/>
            <w:noWrap/>
            <w:hideMark/>
          </w:tcPr>
          <w:p w14:paraId="38A46E2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r w:rsidR="00DB0399" w:rsidRPr="00FB60E5" w14:paraId="38A46E2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E2E" w14:textId="3FCF6C97" w:rsidR="00DB0399" w:rsidRPr="00DB0399" w:rsidRDefault="00DB0399" w:rsidP="00FB60E5">
            <w:pPr>
              <w:ind w:left="0"/>
              <w:rPr>
                <w:b w:val="0"/>
                <w:bCs w:val="0"/>
              </w:rPr>
            </w:pPr>
            <w:r w:rsidRPr="00FB60E5">
              <w:t>Country of birth</w:t>
            </w:r>
          </w:p>
        </w:tc>
      </w:tr>
      <w:tr w:rsidR="003F3393" w:rsidRPr="00FB60E5" w14:paraId="38A46E3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30" w14:textId="77777777" w:rsidR="003F3393" w:rsidRPr="00DB0399" w:rsidRDefault="003F3393" w:rsidP="00FB60E5">
            <w:pPr>
              <w:ind w:left="0"/>
              <w:rPr>
                <w:b w:val="0"/>
              </w:rPr>
            </w:pPr>
            <w:r w:rsidRPr="00DB0399">
              <w:rPr>
                <w:b w:val="0"/>
              </w:rPr>
              <w:t>Australia (n=21501; 85.2%)</w:t>
            </w:r>
          </w:p>
        </w:tc>
        <w:tc>
          <w:tcPr>
            <w:tcW w:w="572" w:type="pct"/>
            <w:noWrap/>
            <w:hideMark/>
          </w:tcPr>
          <w:p w14:paraId="38A46E3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12772 (59.4%)</w:t>
            </w:r>
          </w:p>
        </w:tc>
        <w:tc>
          <w:tcPr>
            <w:tcW w:w="547" w:type="pct"/>
            <w:noWrap/>
            <w:hideMark/>
          </w:tcPr>
          <w:p w14:paraId="38A46E3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1880 (8.7%)</w:t>
            </w:r>
          </w:p>
        </w:tc>
        <w:tc>
          <w:tcPr>
            <w:tcW w:w="547" w:type="pct"/>
            <w:noWrap/>
            <w:hideMark/>
          </w:tcPr>
          <w:p w14:paraId="38A46E3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1649 (7.7%)</w:t>
            </w:r>
          </w:p>
        </w:tc>
        <w:tc>
          <w:tcPr>
            <w:tcW w:w="547" w:type="pct"/>
            <w:noWrap/>
            <w:hideMark/>
          </w:tcPr>
          <w:p w14:paraId="38A46E3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1552 (7.2%)</w:t>
            </w:r>
          </w:p>
        </w:tc>
        <w:tc>
          <w:tcPr>
            <w:tcW w:w="636" w:type="pct"/>
            <w:noWrap/>
            <w:hideMark/>
          </w:tcPr>
          <w:p w14:paraId="38A46E3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3648 (17.0%)</w:t>
            </w:r>
          </w:p>
        </w:tc>
        <w:tc>
          <w:tcPr>
            <w:tcW w:w="311" w:type="pct"/>
            <w:noWrap/>
            <w:hideMark/>
          </w:tcPr>
          <w:p w14:paraId="38A46E3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3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38" w14:textId="77777777" w:rsidR="003F3393" w:rsidRPr="00DB0399" w:rsidRDefault="003F3393" w:rsidP="00FB60E5">
            <w:pPr>
              <w:ind w:left="0"/>
              <w:rPr>
                <w:b w:val="0"/>
              </w:rPr>
            </w:pPr>
            <w:r w:rsidRPr="00DB0399">
              <w:rPr>
                <w:b w:val="0"/>
              </w:rPr>
              <w:t>Other (n=3728; 14.8%)</w:t>
            </w:r>
          </w:p>
        </w:tc>
        <w:tc>
          <w:tcPr>
            <w:tcW w:w="572" w:type="pct"/>
            <w:noWrap/>
            <w:hideMark/>
          </w:tcPr>
          <w:p w14:paraId="38A46E3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2347 (63.0%)</w:t>
            </w:r>
          </w:p>
        </w:tc>
        <w:tc>
          <w:tcPr>
            <w:tcW w:w="547" w:type="pct"/>
            <w:noWrap/>
            <w:hideMark/>
          </w:tcPr>
          <w:p w14:paraId="38A46E3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287 (7.7%)</w:t>
            </w:r>
          </w:p>
        </w:tc>
        <w:tc>
          <w:tcPr>
            <w:tcW w:w="547" w:type="pct"/>
            <w:noWrap/>
            <w:hideMark/>
          </w:tcPr>
          <w:p w14:paraId="38A46E3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280 (7.5%)</w:t>
            </w:r>
          </w:p>
        </w:tc>
        <w:tc>
          <w:tcPr>
            <w:tcW w:w="547" w:type="pct"/>
            <w:noWrap/>
            <w:hideMark/>
          </w:tcPr>
          <w:p w14:paraId="38A46E3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249 (6.7%)</w:t>
            </w:r>
          </w:p>
        </w:tc>
        <w:tc>
          <w:tcPr>
            <w:tcW w:w="636" w:type="pct"/>
            <w:noWrap/>
            <w:hideMark/>
          </w:tcPr>
          <w:p w14:paraId="38A46E3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565 (15.2%)</w:t>
            </w:r>
          </w:p>
        </w:tc>
        <w:tc>
          <w:tcPr>
            <w:tcW w:w="311" w:type="pct"/>
            <w:noWrap/>
            <w:hideMark/>
          </w:tcPr>
          <w:p w14:paraId="38A46E3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0.001</w:t>
            </w:r>
          </w:p>
        </w:tc>
      </w:tr>
      <w:tr w:rsidR="00DB0399" w:rsidRPr="00FB60E5" w14:paraId="38A46E4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E46" w14:textId="34E3D9AE" w:rsidR="00DB0399" w:rsidRPr="00DB0399" w:rsidRDefault="00DB0399" w:rsidP="00FB60E5">
            <w:pPr>
              <w:ind w:left="0"/>
              <w:rPr>
                <w:b w:val="0"/>
                <w:bCs w:val="0"/>
              </w:rPr>
            </w:pPr>
            <w:r w:rsidRPr="00FB60E5">
              <w:t>Indigenous status</w:t>
            </w:r>
          </w:p>
        </w:tc>
      </w:tr>
      <w:tr w:rsidR="003F3393" w:rsidRPr="00FB60E5" w14:paraId="38A46E4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48" w14:textId="305DBBBE" w:rsidR="003F3393" w:rsidRPr="00DB0399" w:rsidRDefault="003F3393" w:rsidP="00FB60E5">
            <w:pPr>
              <w:ind w:left="0"/>
              <w:rPr>
                <w:b w:val="0"/>
              </w:rPr>
            </w:pPr>
            <w:r w:rsidRPr="00DB0399">
              <w:rPr>
                <w:b w:val="0"/>
              </w:rPr>
              <w:t>Aboriginal</w:t>
            </w:r>
            <w:r w:rsidR="002C27A8" w:rsidRPr="00DB0399">
              <w:rPr>
                <w:b w:val="0"/>
              </w:rPr>
              <w:t xml:space="preserve"> </w:t>
            </w:r>
            <w:r w:rsidRPr="00DB0399">
              <w:rPr>
                <w:b w:val="0"/>
              </w:rPr>
              <w:t>and/or TSI origin (n=1832; 7.3%)</w:t>
            </w:r>
          </w:p>
        </w:tc>
        <w:tc>
          <w:tcPr>
            <w:tcW w:w="572" w:type="pct"/>
            <w:noWrap/>
            <w:hideMark/>
          </w:tcPr>
          <w:p w14:paraId="38A46E4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1135 (62.0%)</w:t>
            </w:r>
          </w:p>
        </w:tc>
        <w:tc>
          <w:tcPr>
            <w:tcW w:w="547" w:type="pct"/>
            <w:noWrap/>
            <w:hideMark/>
          </w:tcPr>
          <w:p w14:paraId="38A46E4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141 (7.7%)</w:t>
            </w:r>
          </w:p>
        </w:tc>
        <w:tc>
          <w:tcPr>
            <w:tcW w:w="547" w:type="pct"/>
            <w:noWrap/>
            <w:hideMark/>
          </w:tcPr>
          <w:p w14:paraId="38A46E4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123 (6.7%)</w:t>
            </w:r>
          </w:p>
        </w:tc>
        <w:tc>
          <w:tcPr>
            <w:tcW w:w="547" w:type="pct"/>
            <w:noWrap/>
            <w:hideMark/>
          </w:tcPr>
          <w:p w14:paraId="38A46E4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119 (6.5%)</w:t>
            </w:r>
          </w:p>
        </w:tc>
        <w:tc>
          <w:tcPr>
            <w:tcW w:w="636" w:type="pct"/>
            <w:noWrap/>
            <w:hideMark/>
          </w:tcPr>
          <w:p w14:paraId="38A46E4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314 (17.1%)</w:t>
            </w:r>
          </w:p>
        </w:tc>
        <w:tc>
          <w:tcPr>
            <w:tcW w:w="311" w:type="pct"/>
            <w:noWrap/>
            <w:hideMark/>
          </w:tcPr>
          <w:p w14:paraId="38A46E4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5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50" w14:textId="77777777" w:rsidR="003F3393" w:rsidRPr="00DB0399" w:rsidRDefault="003F3393" w:rsidP="00FB60E5">
            <w:pPr>
              <w:ind w:left="0"/>
              <w:rPr>
                <w:b w:val="0"/>
              </w:rPr>
            </w:pPr>
            <w:r w:rsidRPr="00DB0399">
              <w:rPr>
                <w:b w:val="0"/>
              </w:rPr>
              <w:t>Neither Aboriginal nor TSI origin (n=20927; 82.9%)</w:t>
            </w:r>
          </w:p>
        </w:tc>
        <w:tc>
          <w:tcPr>
            <w:tcW w:w="572" w:type="pct"/>
            <w:noWrap/>
            <w:hideMark/>
          </w:tcPr>
          <w:p w14:paraId="38A46E5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12400 (59.3%)</w:t>
            </w:r>
          </w:p>
        </w:tc>
        <w:tc>
          <w:tcPr>
            <w:tcW w:w="547" w:type="pct"/>
            <w:noWrap/>
            <w:hideMark/>
          </w:tcPr>
          <w:p w14:paraId="38A46E5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1842 (8.8%)</w:t>
            </w:r>
          </w:p>
        </w:tc>
        <w:tc>
          <w:tcPr>
            <w:tcW w:w="547" w:type="pct"/>
            <w:noWrap/>
            <w:hideMark/>
          </w:tcPr>
          <w:p w14:paraId="38A46E5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1625 (7.8%)</w:t>
            </w:r>
          </w:p>
        </w:tc>
        <w:tc>
          <w:tcPr>
            <w:tcW w:w="547" w:type="pct"/>
            <w:noWrap/>
            <w:hideMark/>
          </w:tcPr>
          <w:p w14:paraId="38A46E5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1524 (7.3%)</w:t>
            </w:r>
          </w:p>
        </w:tc>
        <w:tc>
          <w:tcPr>
            <w:tcW w:w="636" w:type="pct"/>
            <w:noWrap/>
            <w:hideMark/>
          </w:tcPr>
          <w:p w14:paraId="38A46E5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3536 (16.9%)</w:t>
            </w:r>
          </w:p>
        </w:tc>
        <w:tc>
          <w:tcPr>
            <w:tcW w:w="311" w:type="pct"/>
            <w:noWrap/>
            <w:hideMark/>
          </w:tcPr>
          <w:p w14:paraId="38A46E5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5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58" w14:textId="77777777" w:rsidR="003F3393" w:rsidRPr="00DB0399" w:rsidRDefault="003F3393" w:rsidP="00FB60E5">
            <w:pPr>
              <w:ind w:left="0"/>
              <w:rPr>
                <w:b w:val="0"/>
              </w:rPr>
            </w:pPr>
            <w:r w:rsidRPr="00DB0399">
              <w:rPr>
                <w:b w:val="0"/>
              </w:rPr>
              <w:t>Unknown (n=2470; 9.8%)</w:t>
            </w:r>
          </w:p>
        </w:tc>
        <w:tc>
          <w:tcPr>
            <w:tcW w:w="572" w:type="pct"/>
            <w:noWrap/>
            <w:hideMark/>
          </w:tcPr>
          <w:p w14:paraId="38A46E5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1584 (64.1%)</w:t>
            </w:r>
          </w:p>
        </w:tc>
        <w:tc>
          <w:tcPr>
            <w:tcW w:w="547" w:type="pct"/>
            <w:noWrap/>
            <w:hideMark/>
          </w:tcPr>
          <w:p w14:paraId="38A46E5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184 (7.4%)</w:t>
            </w:r>
          </w:p>
        </w:tc>
        <w:tc>
          <w:tcPr>
            <w:tcW w:w="547" w:type="pct"/>
            <w:noWrap/>
            <w:hideMark/>
          </w:tcPr>
          <w:p w14:paraId="38A46E5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181 (7.3%)</w:t>
            </w:r>
          </w:p>
        </w:tc>
        <w:tc>
          <w:tcPr>
            <w:tcW w:w="547" w:type="pct"/>
            <w:noWrap/>
            <w:hideMark/>
          </w:tcPr>
          <w:p w14:paraId="38A46E5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158 (6.4%)</w:t>
            </w:r>
          </w:p>
        </w:tc>
        <w:tc>
          <w:tcPr>
            <w:tcW w:w="636" w:type="pct"/>
            <w:noWrap/>
            <w:hideMark/>
          </w:tcPr>
          <w:p w14:paraId="38A46E5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363 (14.7%)</w:t>
            </w:r>
          </w:p>
        </w:tc>
        <w:tc>
          <w:tcPr>
            <w:tcW w:w="311" w:type="pct"/>
            <w:noWrap/>
            <w:hideMark/>
          </w:tcPr>
          <w:p w14:paraId="38A46E5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DB0399" w:rsidRPr="00FB60E5" w14:paraId="38A46E6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E66" w14:textId="4DEE355E" w:rsidR="00DB0399" w:rsidRPr="00FB60E5" w:rsidRDefault="00DB0399" w:rsidP="00FB60E5">
            <w:pPr>
              <w:ind w:left="0"/>
            </w:pPr>
            <w:r w:rsidRPr="00FB60E5">
              <w:t>Employment</w:t>
            </w:r>
          </w:p>
        </w:tc>
      </w:tr>
      <w:tr w:rsidR="003F3393" w:rsidRPr="00FB60E5" w14:paraId="38A46E6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68" w14:textId="77777777" w:rsidR="003F3393" w:rsidRPr="00DB0399" w:rsidRDefault="003F3393" w:rsidP="00FB60E5">
            <w:pPr>
              <w:ind w:left="0"/>
              <w:rPr>
                <w:b w:val="0"/>
              </w:rPr>
            </w:pPr>
            <w:r w:rsidRPr="00DB0399">
              <w:rPr>
                <w:b w:val="0"/>
              </w:rPr>
              <w:t>Employed (n=6239; 24.7%)</w:t>
            </w:r>
          </w:p>
        </w:tc>
        <w:tc>
          <w:tcPr>
            <w:tcW w:w="572" w:type="pct"/>
            <w:noWrap/>
            <w:hideMark/>
          </w:tcPr>
          <w:p w14:paraId="38A46E6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3951 (63.3%)</w:t>
            </w:r>
          </w:p>
        </w:tc>
        <w:tc>
          <w:tcPr>
            <w:tcW w:w="547" w:type="pct"/>
            <w:noWrap/>
            <w:hideMark/>
          </w:tcPr>
          <w:p w14:paraId="38A46E6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546 (8.8%)</w:t>
            </w:r>
          </w:p>
        </w:tc>
        <w:tc>
          <w:tcPr>
            <w:tcW w:w="547" w:type="pct"/>
            <w:noWrap/>
            <w:hideMark/>
          </w:tcPr>
          <w:p w14:paraId="38A46E6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490 (7.9%)</w:t>
            </w:r>
          </w:p>
        </w:tc>
        <w:tc>
          <w:tcPr>
            <w:tcW w:w="547" w:type="pct"/>
            <w:noWrap/>
            <w:hideMark/>
          </w:tcPr>
          <w:p w14:paraId="38A46E6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443 (7.1%)</w:t>
            </w:r>
          </w:p>
        </w:tc>
        <w:tc>
          <w:tcPr>
            <w:tcW w:w="636" w:type="pct"/>
            <w:noWrap/>
            <w:hideMark/>
          </w:tcPr>
          <w:p w14:paraId="38A46E6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809 (13.0%)</w:t>
            </w:r>
          </w:p>
        </w:tc>
        <w:tc>
          <w:tcPr>
            <w:tcW w:w="311" w:type="pct"/>
            <w:noWrap/>
            <w:hideMark/>
          </w:tcPr>
          <w:p w14:paraId="38A46E6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7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70" w14:textId="77777777" w:rsidR="003F3393" w:rsidRPr="00DB0399" w:rsidRDefault="003F3393" w:rsidP="00FB60E5">
            <w:pPr>
              <w:ind w:left="0"/>
              <w:rPr>
                <w:b w:val="0"/>
              </w:rPr>
            </w:pPr>
            <w:r w:rsidRPr="00DB0399">
              <w:rPr>
                <w:b w:val="0"/>
              </w:rPr>
              <w:t>Unemployed (n=13587; 53.9%)</w:t>
            </w:r>
          </w:p>
        </w:tc>
        <w:tc>
          <w:tcPr>
            <w:tcW w:w="572" w:type="pct"/>
            <w:noWrap/>
            <w:hideMark/>
          </w:tcPr>
          <w:p w14:paraId="38A46E7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7832 (57.6%)</w:t>
            </w:r>
          </w:p>
        </w:tc>
        <w:tc>
          <w:tcPr>
            <w:tcW w:w="547" w:type="pct"/>
            <w:noWrap/>
            <w:hideMark/>
          </w:tcPr>
          <w:p w14:paraId="38A46E7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1186 (8.7%)</w:t>
            </w:r>
          </w:p>
        </w:tc>
        <w:tc>
          <w:tcPr>
            <w:tcW w:w="547" w:type="pct"/>
            <w:noWrap/>
            <w:hideMark/>
          </w:tcPr>
          <w:p w14:paraId="38A46E7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1060 (7.8%)</w:t>
            </w:r>
          </w:p>
        </w:tc>
        <w:tc>
          <w:tcPr>
            <w:tcW w:w="547" w:type="pct"/>
            <w:noWrap/>
            <w:hideMark/>
          </w:tcPr>
          <w:p w14:paraId="38A46E7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942 (6.9%)</w:t>
            </w:r>
          </w:p>
        </w:tc>
        <w:tc>
          <w:tcPr>
            <w:tcW w:w="636" w:type="pct"/>
            <w:noWrap/>
            <w:hideMark/>
          </w:tcPr>
          <w:p w14:paraId="38A46E7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2567 (18.9%)</w:t>
            </w:r>
          </w:p>
        </w:tc>
        <w:tc>
          <w:tcPr>
            <w:tcW w:w="311" w:type="pct"/>
            <w:noWrap/>
            <w:hideMark/>
          </w:tcPr>
          <w:p w14:paraId="38A46E7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7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78" w14:textId="77777777" w:rsidR="003F3393" w:rsidRPr="00DB0399" w:rsidRDefault="003F3393" w:rsidP="00FB60E5">
            <w:pPr>
              <w:ind w:left="0"/>
              <w:rPr>
                <w:b w:val="0"/>
              </w:rPr>
            </w:pPr>
            <w:r w:rsidRPr="00DB0399">
              <w:rPr>
                <w:b w:val="0"/>
              </w:rPr>
              <w:t>Other (n=4297; 17.0%)</w:t>
            </w:r>
          </w:p>
        </w:tc>
        <w:tc>
          <w:tcPr>
            <w:tcW w:w="572" w:type="pct"/>
            <w:noWrap/>
            <w:hideMark/>
          </w:tcPr>
          <w:p w14:paraId="38A46E7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2621 (61.0%)</w:t>
            </w:r>
          </w:p>
        </w:tc>
        <w:tc>
          <w:tcPr>
            <w:tcW w:w="547" w:type="pct"/>
            <w:noWrap/>
            <w:hideMark/>
          </w:tcPr>
          <w:p w14:paraId="38A46E7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347 (8.1%)</w:t>
            </w:r>
          </w:p>
        </w:tc>
        <w:tc>
          <w:tcPr>
            <w:tcW w:w="547" w:type="pct"/>
            <w:noWrap/>
            <w:hideMark/>
          </w:tcPr>
          <w:p w14:paraId="38A46E7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312 (7.3%)</w:t>
            </w:r>
          </w:p>
        </w:tc>
        <w:tc>
          <w:tcPr>
            <w:tcW w:w="547" w:type="pct"/>
            <w:noWrap/>
            <w:hideMark/>
          </w:tcPr>
          <w:p w14:paraId="38A46E7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343 (8.0%)</w:t>
            </w:r>
          </w:p>
        </w:tc>
        <w:tc>
          <w:tcPr>
            <w:tcW w:w="636" w:type="pct"/>
            <w:noWrap/>
            <w:hideMark/>
          </w:tcPr>
          <w:p w14:paraId="38A46E7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674 (15.7%)</w:t>
            </w:r>
          </w:p>
        </w:tc>
        <w:tc>
          <w:tcPr>
            <w:tcW w:w="311" w:type="pct"/>
            <w:noWrap/>
            <w:hideMark/>
          </w:tcPr>
          <w:p w14:paraId="38A46E7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8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80" w14:textId="77777777" w:rsidR="003F3393" w:rsidRPr="00DB0399" w:rsidRDefault="003F3393" w:rsidP="00FB60E5">
            <w:pPr>
              <w:ind w:left="0"/>
              <w:rPr>
                <w:b w:val="0"/>
              </w:rPr>
            </w:pPr>
            <w:r w:rsidRPr="00DB0399">
              <w:rPr>
                <w:b w:val="0"/>
              </w:rPr>
              <w:t>Unknown (n=1106; 4.4%)</w:t>
            </w:r>
          </w:p>
        </w:tc>
        <w:tc>
          <w:tcPr>
            <w:tcW w:w="572" w:type="pct"/>
            <w:noWrap/>
            <w:hideMark/>
          </w:tcPr>
          <w:p w14:paraId="38A46E8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715 (64.6%)</w:t>
            </w:r>
          </w:p>
        </w:tc>
        <w:tc>
          <w:tcPr>
            <w:tcW w:w="547" w:type="pct"/>
            <w:noWrap/>
            <w:hideMark/>
          </w:tcPr>
          <w:p w14:paraId="38A46E8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88 (8.0%)</w:t>
            </w:r>
          </w:p>
        </w:tc>
        <w:tc>
          <w:tcPr>
            <w:tcW w:w="547" w:type="pct"/>
            <w:noWrap/>
            <w:hideMark/>
          </w:tcPr>
          <w:p w14:paraId="38A46E8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67 (6.1%)</w:t>
            </w:r>
          </w:p>
        </w:tc>
        <w:tc>
          <w:tcPr>
            <w:tcW w:w="547" w:type="pct"/>
            <w:noWrap/>
            <w:hideMark/>
          </w:tcPr>
          <w:p w14:paraId="38A46E8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73 (6.6%)</w:t>
            </w:r>
          </w:p>
        </w:tc>
        <w:tc>
          <w:tcPr>
            <w:tcW w:w="636" w:type="pct"/>
            <w:noWrap/>
            <w:hideMark/>
          </w:tcPr>
          <w:p w14:paraId="38A46E8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163 (14.7%)</w:t>
            </w:r>
          </w:p>
        </w:tc>
        <w:tc>
          <w:tcPr>
            <w:tcW w:w="311" w:type="pct"/>
            <w:noWrap/>
            <w:hideMark/>
          </w:tcPr>
          <w:p w14:paraId="38A46E8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r w:rsidR="00DB0399" w:rsidRPr="00FB60E5" w14:paraId="38A46E8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E8E" w14:textId="2C7CD0A1" w:rsidR="00DB0399" w:rsidRPr="00DB0399" w:rsidRDefault="00DB0399" w:rsidP="00FB60E5">
            <w:pPr>
              <w:ind w:left="0"/>
              <w:rPr>
                <w:b w:val="0"/>
                <w:bCs w:val="0"/>
              </w:rPr>
            </w:pPr>
            <w:r w:rsidRPr="00FB60E5">
              <w:lastRenderedPageBreak/>
              <w:t>Living status</w:t>
            </w:r>
          </w:p>
        </w:tc>
      </w:tr>
      <w:tr w:rsidR="003F3393" w:rsidRPr="00FB60E5" w14:paraId="38A46E9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90" w14:textId="77777777" w:rsidR="003F3393" w:rsidRPr="00DB0399" w:rsidRDefault="003F3393" w:rsidP="00FB60E5">
            <w:pPr>
              <w:ind w:left="0"/>
              <w:rPr>
                <w:b w:val="0"/>
              </w:rPr>
            </w:pPr>
            <w:r w:rsidRPr="00DB0399">
              <w:rPr>
                <w:b w:val="0"/>
              </w:rPr>
              <w:t>Lives alone (n=4434; 17.6%)</w:t>
            </w:r>
          </w:p>
        </w:tc>
        <w:tc>
          <w:tcPr>
            <w:tcW w:w="572" w:type="pct"/>
            <w:noWrap/>
            <w:hideMark/>
          </w:tcPr>
          <w:p w14:paraId="38A46E9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2465 (55.6%)</w:t>
            </w:r>
          </w:p>
        </w:tc>
        <w:tc>
          <w:tcPr>
            <w:tcW w:w="547" w:type="pct"/>
            <w:noWrap/>
            <w:hideMark/>
          </w:tcPr>
          <w:p w14:paraId="38A46E9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400 (9.0%)</w:t>
            </w:r>
          </w:p>
        </w:tc>
        <w:tc>
          <w:tcPr>
            <w:tcW w:w="547" w:type="pct"/>
            <w:noWrap/>
            <w:hideMark/>
          </w:tcPr>
          <w:p w14:paraId="38A46E9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356 (8.0%)</w:t>
            </w:r>
          </w:p>
        </w:tc>
        <w:tc>
          <w:tcPr>
            <w:tcW w:w="547" w:type="pct"/>
            <w:noWrap/>
            <w:hideMark/>
          </w:tcPr>
          <w:p w14:paraId="38A46E9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271 (6.1%)</w:t>
            </w:r>
          </w:p>
        </w:tc>
        <w:tc>
          <w:tcPr>
            <w:tcW w:w="636" w:type="pct"/>
            <w:noWrap/>
            <w:hideMark/>
          </w:tcPr>
          <w:p w14:paraId="38A46E9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942 (21.2%)</w:t>
            </w:r>
          </w:p>
        </w:tc>
        <w:tc>
          <w:tcPr>
            <w:tcW w:w="311" w:type="pct"/>
            <w:noWrap/>
            <w:hideMark/>
          </w:tcPr>
          <w:p w14:paraId="38A46E9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9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98" w14:textId="77777777" w:rsidR="003F3393" w:rsidRPr="00DB0399" w:rsidRDefault="003F3393" w:rsidP="00FB60E5">
            <w:pPr>
              <w:ind w:left="0"/>
              <w:rPr>
                <w:b w:val="0"/>
              </w:rPr>
            </w:pPr>
            <w:r w:rsidRPr="00DB0399">
              <w:rPr>
                <w:b w:val="0"/>
              </w:rPr>
              <w:t>Lives with family (n=13486; 53.5%)</w:t>
            </w:r>
          </w:p>
        </w:tc>
        <w:tc>
          <w:tcPr>
            <w:tcW w:w="572" w:type="pct"/>
            <w:noWrap/>
            <w:hideMark/>
          </w:tcPr>
          <w:p w14:paraId="38A46E9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8247 (61.2%)</w:t>
            </w:r>
          </w:p>
        </w:tc>
        <w:tc>
          <w:tcPr>
            <w:tcW w:w="547" w:type="pct"/>
            <w:noWrap/>
            <w:hideMark/>
          </w:tcPr>
          <w:p w14:paraId="38A46E9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1149 (8.5%)</w:t>
            </w:r>
          </w:p>
        </w:tc>
        <w:tc>
          <w:tcPr>
            <w:tcW w:w="547" w:type="pct"/>
            <w:noWrap/>
            <w:hideMark/>
          </w:tcPr>
          <w:p w14:paraId="38A46E9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1045 (7.7%)</w:t>
            </w:r>
          </w:p>
        </w:tc>
        <w:tc>
          <w:tcPr>
            <w:tcW w:w="547" w:type="pct"/>
            <w:noWrap/>
            <w:hideMark/>
          </w:tcPr>
          <w:p w14:paraId="38A46E9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988 (7.3%)</w:t>
            </w:r>
          </w:p>
        </w:tc>
        <w:tc>
          <w:tcPr>
            <w:tcW w:w="636" w:type="pct"/>
            <w:noWrap/>
            <w:hideMark/>
          </w:tcPr>
          <w:p w14:paraId="38A46E9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2057 (15.3%)</w:t>
            </w:r>
          </w:p>
        </w:tc>
        <w:tc>
          <w:tcPr>
            <w:tcW w:w="311" w:type="pct"/>
            <w:noWrap/>
            <w:hideMark/>
          </w:tcPr>
          <w:p w14:paraId="38A46E9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A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A0" w14:textId="77777777" w:rsidR="003F3393" w:rsidRPr="00DB0399" w:rsidRDefault="003F3393" w:rsidP="00FB60E5">
            <w:pPr>
              <w:ind w:left="0"/>
              <w:rPr>
                <w:b w:val="0"/>
              </w:rPr>
            </w:pPr>
            <w:r w:rsidRPr="00DB0399">
              <w:rPr>
                <w:b w:val="0"/>
              </w:rPr>
              <w:t>Lives with others (n=5455; 21.6%)</w:t>
            </w:r>
          </w:p>
        </w:tc>
        <w:tc>
          <w:tcPr>
            <w:tcW w:w="572" w:type="pct"/>
            <w:noWrap/>
            <w:hideMark/>
          </w:tcPr>
          <w:p w14:paraId="38A46EA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3240 (59.4%)</w:t>
            </w:r>
          </w:p>
        </w:tc>
        <w:tc>
          <w:tcPr>
            <w:tcW w:w="547" w:type="pct"/>
            <w:noWrap/>
            <w:hideMark/>
          </w:tcPr>
          <w:p w14:paraId="38A46EA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455 (8.3%)</w:t>
            </w:r>
          </w:p>
        </w:tc>
        <w:tc>
          <w:tcPr>
            <w:tcW w:w="547" w:type="pct"/>
            <w:noWrap/>
            <w:hideMark/>
          </w:tcPr>
          <w:p w14:paraId="38A46EA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408 (7.5%)</w:t>
            </w:r>
          </w:p>
        </w:tc>
        <w:tc>
          <w:tcPr>
            <w:tcW w:w="547" w:type="pct"/>
            <w:noWrap/>
            <w:hideMark/>
          </w:tcPr>
          <w:p w14:paraId="38A46EA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391 (7.2%)</w:t>
            </w:r>
          </w:p>
        </w:tc>
        <w:tc>
          <w:tcPr>
            <w:tcW w:w="636" w:type="pct"/>
            <w:noWrap/>
            <w:hideMark/>
          </w:tcPr>
          <w:p w14:paraId="38A46EA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961 (17.6%)</w:t>
            </w:r>
          </w:p>
        </w:tc>
        <w:tc>
          <w:tcPr>
            <w:tcW w:w="311" w:type="pct"/>
            <w:noWrap/>
            <w:hideMark/>
          </w:tcPr>
          <w:p w14:paraId="38A46EA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A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A8" w14:textId="77777777" w:rsidR="003F3393" w:rsidRPr="00DB0399" w:rsidRDefault="003F3393" w:rsidP="00FB60E5">
            <w:pPr>
              <w:ind w:left="0"/>
              <w:rPr>
                <w:b w:val="0"/>
              </w:rPr>
            </w:pPr>
            <w:r w:rsidRPr="00DB0399">
              <w:rPr>
                <w:b w:val="0"/>
              </w:rPr>
              <w:t>Unknown (n=1854; 7.3%)</w:t>
            </w:r>
          </w:p>
        </w:tc>
        <w:tc>
          <w:tcPr>
            <w:tcW w:w="572" w:type="pct"/>
            <w:noWrap/>
            <w:hideMark/>
          </w:tcPr>
          <w:p w14:paraId="38A46EA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1167 (62.9%)</w:t>
            </w:r>
          </w:p>
        </w:tc>
        <w:tc>
          <w:tcPr>
            <w:tcW w:w="547" w:type="pct"/>
            <w:noWrap/>
            <w:hideMark/>
          </w:tcPr>
          <w:p w14:paraId="38A46EA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163 (8.8%)</w:t>
            </w:r>
          </w:p>
        </w:tc>
        <w:tc>
          <w:tcPr>
            <w:tcW w:w="547" w:type="pct"/>
            <w:noWrap/>
            <w:hideMark/>
          </w:tcPr>
          <w:p w14:paraId="38A46EA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120 (6.5%)</w:t>
            </w:r>
          </w:p>
        </w:tc>
        <w:tc>
          <w:tcPr>
            <w:tcW w:w="547" w:type="pct"/>
            <w:noWrap/>
            <w:hideMark/>
          </w:tcPr>
          <w:p w14:paraId="38A46EA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151 (8.1%)</w:t>
            </w:r>
          </w:p>
        </w:tc>
        <w:tc>
          <w:tcPr>
            <w:tcW w:w="636" w:type="pct"/>
            <w:noWrap/>
            <w:hideMark/>
          </w:tcPr>
          <w:p w14:paraId="38A46EA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253 (13.6%)</w:t>
            </w:r>
          </w:p>
        </w:tc>
        <w:tc>
          <w:tcPr>
            <w:tcW w:w="311" w:type="pct"/>
            <w:noWrap/>
            <w:hideMark/>
          </w:tcPr>
          <w:p w14:paraId="38A46EA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DB0399" w:rsidRPr="00FB60E5" w14:paraId="38A46EB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EB6" w14:textId="74F31E69" w:rsidR="00DB0399" w:rsidRPr="00FB60E5" w:rsidRDefault="00DB0399" w:rsidP="00FB60E5">
            <w:pPr>
              <w:ind w:left="0"/>
            </w:pPr>
            <w:r w:rsidRPr="00FB60E5">
              <w:t>Accommodation status</w:t>
            </w:r>
          </w:p>
        </w:tc>
      </w:tr>
      <w:tr w:rsidR="003F3393" w:rsidRPr="00FB60E5" w14:paraId="38A46EB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B8" w14:textId="77777777" w:rsidR="003F3393" w:rsidRPr="00DB0399" w:rsidRDefault="003F3393" w:rsidP="00FB60E5">
            <w:pPr>
              <w:ind w:left="0"/>
              <w:rPr>
                <w:b w:val="0"/>
              </w:rPr>
            </w:pPr>
            <w:r w:rsidRPr="00DB0399">
              <w:rPr>
                <w:b w:val="0"/>
              </w:rPr>
              <w:t>Private residence (n=18325; 72.6%)</w:t>
            </w:r>
          </w:p>
        </w:tc>
        <w:tc>
          <w:tcPr>
            <w:tcW w:w="572" w:type="pct"/>
            <w:noWrap/>
            <w:hideMark/>
          </w:tcPr>
          <w:p w14:paraId="38A46EB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10987 (60.0%)</w:t>
            </w:r>
          </w:p>
        </w:tc>
        <w:tc>
          <w:tcPr>
            <w:tcW w:w="547" w:type="pct"/>
            <w:noWrap/>
            <w:hideMark/>
          </w:tcPr>
          <w:p w14:paraId="38A46EB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1579 (8.6%)</w:t>
            </w:r>
          </w:p>
        </w:tc>
        <w:tc>
          <w:tcPr>
            <w:tcW w:w="547" w:type="pct"/>
            <w:noWrap/>
            <w:hideMark/>
          </w:tcPr>
          <w:p w14:paraId="38A46EB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1442 (7.9%)</w:t>
            </w:r>
          </w:p>
        </w:tc>
        <w:tc>
          <w:tcPr>
            <w:tcW w:w="547" w:type="pct"/>
            <w:noWrap/>
            <w:hideMark/>
          </w:tcPr>
          <w:p w14:paraId="38A46EB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1307 (7.1%)</w:t>
            </w:r>
          </w:p>
        </w:tc>
        <w:tc>
          <w:tcPr>
            <w:tcW w:w="636" w:type="pct"/>
            <w:noWrap/>
            <w:hideMark/>
          </w:tcPr>
          <w:p w14:paraId="38A46EB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3010 (16.4%)</w:t>
            </w:r>
          </w:p>
        </w:tc>
        <w:tc>
          <w:tcPr>
            <w:tcW w:w="311" w:type="pct"/>
            <w:noWrap/>
            <w:hideMark/>
          </w:tcPr>
          <w:p w14:paraId="38A46EB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C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C0" w14:textId="77777777" w:rsidR="003F3393" w:rsidRPr="00DB0399" w:rsidRDefault="003F3393" w:rsidP="00FB60E5">
            <w:pPr>
              <w:ind w:left="0"/>
              <w:rPr>
                <w:b w:val="0"/>
              </w:rPr>
            </w:pPr>
            <w:r w:rsidRPr="00DB0399">
              <w:rPr>
                <w:b w:val="0"/>
              </w:rPr>
              <w:t>Unstable (n=2456; 9.7%)</w:t>
            </w:r>
          </w:p>
        </w:tc>
        <w:tc>
          <w:tcPr>
            <w:tcW w:w="572" w:type="pct"/>
            <w:noWrap/>
            <w:hideMark/>
          </w:tcPr>
          <w:p w14:paraId="38A46EC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1363 (55.5%)</w:t>
            </w:r>
          </w:p>
        </w:tc>
        <w:tc>
          <w:tcPr>
            <w:tcW w:w="547" w:type="pct"/>
            <w:noWrap/>
            <w:hideMark/>
          </w:tcPr>
          <w:p w14:paraId="38A46EC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209 (8.5%)</w:t>
            </w:r>
          </w:p>
        </w:tc>
        <w:tc>
          <w:tcPr>
            <w:tcW w:w="547" w:type="pct"/>
            <w:noWrap/>
            <w:hideMark/>
          </w:tcPr>
          <w:p w14:paraId="38A46EC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187 (7.6%)</w:t>
            </w:r>
          </w:p>
        </w:tc>
        <w:tc>
          <w:tcPr>
            <w:tcW w:w="547" w:type="pct"/>
            <w:noWrap/>
            <w:hideMark/>
          </w:tcPr>
          <w:p w14:paraId="38A46EC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140 (5.7%)</w:t>
            </w:r>
          </w:p>
        </w:tc>
        <w:tc>
          <w:tcPr>
            <w:tcW w:w="636" w:type="pct"/>
            <w:noWrap/>
            <w:hideMark/>
          </w:tcPr>
          <w:p w14:paraId="38A46EC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557 (22.7%)</w:t>
            </w:r>
          </w:p>
        </w:tc>
        <w:tc>
          <w:tcPr>
            <w:tcW w:w="311" w:type="pct"/>
            <w:noWrap/>
            <w:hideMark/>
          </w:tcPr>
          <w:p w14:paraId="38A46EC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C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C8" w14:textId="77777777" w:rsidR="003F3393" w:rsidRPr="00DB0399" w:rsidRDefault="003F3393" w:rsidP="00FB60E5">
            <w:pPr>
              <w:ind w:left="0"/>
              <w:rPr>
                <w:b w:val="0"/>
              </w:rPr>
            </w:pPr>
            <w:r w:rsidRPr="00DB0399">
              <w:rPr>
                <w:b w:val="0"/>
              </w:rPr>
              <w:t>In custody (n=1253; 5.0%)</w:t>
            </w:r>
          </w:p>
        </w:tc>
        <w:tc>
          <w:tcPr>
            <w:tcW w:w="572" w:type="pct"/>
            <w:noWrap/>
            <w:hideMark/>
          </w:tcPr>
          <w:p w14:paraId="38A46EC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801 (63.9%)</w:t>
            </w:r>
          </w:p>
        </w:tc>
        <w:tc>
          <w:tcPr>
            <w:tcW w:w="547" w:type="pct"/>
            <w:noWrap/>
            <w:hideMark/>
          </w:tcPr>
          <w:p w14:paraId="38A46EC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109 (8.7%)</w:t>
            </w:r>
          </w:p>
        </w:tc>
        <w:tc>
          <w:tcPr>
            <w:tcW w:w="547" w:type="pct"/>
            <w:noWrap/>
            <w:hideMark/>
          </w:tcPr>
          <w:p w14:paraId="38A46EC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81 (6.5%)</w:t>
            </w:r>
          </w:p>
        </w:tc>
        <w:tc>
          <w:tcPr>
            <w:tcW w:w="547" w:type="pct"/>
            <w:noWrap/>
            <w:hideMark/>
          </w:tcPr>
          <w:p w14:paraId="38A46EC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112 (8.9%)</w:t>
            </w:r>
          </w:p>
        </w:tc>
        <w:tc>
          <w:tcPr>
            <w:tcW w:w="636" w:type="pct"/>
            <w:noWrap/>
            <w:hideMark/>
          </w:tcPr>
          <w:p w14:paraId="38A46EC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150 (12.0%)</w:t>
            </w:r>
          </w:p>
        </w:tc>
        <w:tc>
          <w:tcPr>
            <w:tcW w:w="311" w:type="pct"/>
            <w:noWrap/>
            <w:hideMark/>
          </w:tcPr>
          <w:p w14:paraId="38A46EC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D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D0" w14:textId="77777777" w:rsidR="003F3393" w:rsidRPr="00DB0399" w:rsidRDefault="003F3393" w:rsidP="00FB60E5">
            <w:pPr>
              <w:ind w:left="0"/>
              <w:rPr>
                <w:b w:val="0"/>
              </w:rPr>
            </w:pPr>
            <w:r w:rsidRPr="00DB0399">
              <w:rPr>
                <w:b w:val="0"/>
              </w:rPr>
              <w:t>Other (n=1148; 4.6%)</w:t>
            </w:r>
          </w:p>
        </w:tc>
        <w:tc>
          <w:tcPr>
            <w:tcW w:w="572" w:type="pct"/>
            <w:noWrap/>
            <w:hideMark/>
          </w:tcPr>
          <w:p w14:paraId="38A46ED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642 (55.9%)</w:t>
            </w:r>
          </w:p>
        </w:tc>
        <w:tc>
          <w:tcPr>
            <w:tcW w:w="547" w:type="pct"/>
            <w:noWrap/>
            <w:hideMark/>
          </w:tcPr>
          <w:p w14:paraId="38A46ED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102 (8.9%)</w:t>
            </w:r>
          </w:p>
        </w:tc>
        <w:tc>
          <w:tcPr>
            <w:tcW w:w="547" w:type="pct"/>
            <w:noWrap/>
            <w:hideMark/>
          </w:tcPr>
          <w:p w14:paraId="38A46ED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78 (6.8%)</w:t>
            </w:r>
          </w:p>
        </w:tc>
        <w:tc>
          <w:tcPr>
            <w:tcW w:w="547" w:type="pct"/>
            <w:noWrap/>
            <w:hideMark/>
          </w:tcPr>
          <w:p w14:paraId="38A46ED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89 (7.8%)</w:t>
            </w:r>
          </w:p>
        </w:tc>
        <w:tc>
          <w:tcPr>
            <w:tcW w:w="636" w:type="pct"/>
            <w:noWrap/>
            <w:hideMark/>
          </w:tcPr>
          <w:p w14:paraId="38A46ED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237 (20.6%)</w:t>
            </w:r>
          </w:p>
        </w:tc>
        <w:tc>
          <w:tcPr>
            <w:tcW w:w="311" w:type="pct"/>
            <w:noWrap/>
            <w:hideMark/>
          </w:tcPr>
          <w:p w14:paraId="38A46ED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D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D8" w14:textId="77777777" w:rsidR="003F3393" w:rsidRPr="00DB0399" w:rsidRDefault="003F3393" w:rsidP="00FB60E5">
            <w:pPr>
              <w:ind w:left="0"/>
              <w:rPr>
                <w:b w:val="0"/>
              </w:rPr>
            </w:pPr>
            <w:r w:rsidRPr="00DB0399">
              <w:rPr>
                <w:b w:val="0"/>
              </w:rPr>
              <w:t>Unknown (n=2047; 8.1%)</w:t>
            </w:r>
          </w:p>
        </w:tc>
        <w:tc>
          <w:tcPr>
            <w:tcW w:w="572" w:type="pct"/>
            <w:noWrap/>
            <w:hideMark/>
          </w:tcPr>
          <w:p w14:paraId="38A46ED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1326 (64.8%)</w:t>
            </w:r>
          </w:p>
        </w:tc>
        <w:tc>
          <w:tcPr>
            <w:tcW w:w="547" w:type="pct"/>
            <w:noWrap/>
            <w:hideMark/>
          </w:tcPr>
          <w:p w14:paraId="38A46ED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168 (8.2%)</w:t>
            </w:r>
          </w:p>
        </w:tc>
        <w:tc>
          <w:tcPr>
            <w:tcW w:w="547" w:type="pct"/>
            <w:noWrap/>
            <w:hideMark/>
          </w:tcPr>
          <w:p w14:paraId="38A46ED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141 (6.9%)</w:t>
            </w:r>
          </w:p>
        </w:tc>
        <w:tc>
          <w:tcPr>
            <w:tcW w:w="547" w:type="pct"/>
            <w:noWrap/>
            <w:hideMark/>
          </w:tcPr>
          <w:p w14:paraId="38A46ED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153 (7.5%)</w:t>
            </w:r>
          </w:p>
        </w:tc>
        <w:tc>
          <w:tcPr>
            <w:tcW w:w="636" w:type="pct"/>
            <w:noWrap/>
            <w:hideMark/>
          </w:tcPr>
          <w:p w14:paraId="38A46ED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259 (12.7%)</w:t>
            </w:r>
          </w:p>
        </w:tc>
        <w:tc>
          <w:tcPr>
            <w:tcW w:w="311" w:type="pct"/>
            <w:noWrap/>
            <w:hideMark/>
          </w:tcPr>
          <w:p w14:paraId="38A46ED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DB0399" w:rsidRPr="00FB60E5" w14:paraId="38A46EE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EE6" w14:textId="3F5EA9EB" w:rsidR="00DB0399" w:rsidRPr="00DB0399" w:rsidRDefault="00DB0399" w:rsidP="00FB60E5">
            <w:pPr>
              <w:ind w:left="0"/>
              <w:rPr>
                <w:b w:val="0"/>
                <w:bCs w:val="0"/>
              </w:rPr>
            </w:pPr>
            <w:r w:rsidRPr="00FB60E5">
              <w:t>Homeless status</w:t>
            </w:r>
          </w:p>
        </w:tc>
      </w:tr>
      <w:tr w:rsidR="003F3393" w:rsidRPr="00FB60E5" w14:paraId="38A46EE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E8" w14:textId="77777777" w:rsidR="003F3393" w:rsidRPr="00DB0399" w:rsidRDefault="003F3393" w:rsidP="00FB60E5">
            <w:pPr>
              <w:ind w:left="0"/>
              <w:rPr>
                <w:b w:val="0"/>
              </w:rPr>
            </w:pPr>
            <w:r w:rsidRPr="00DB0399">
              <w:rPr>
                <w:b w:val="0"/>
              </w:rPr>
              <w:t>Homeless (n=1186; 4.7%)</w:t>
            </w:r>
          </w:p>
        </w:tc>
        <w:tc>
          <w:tcPr>
            <w:tcW w:w="572" w:type="pct"/>
            <w:noWrap/>
            <w:hideMark/>
          </w:tcPr>
          <w:p w14:paraId="38A46EE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632 (53.3%)</w:t>
            </w:r>
          </w:p>
        </w:tc>
        <w:tc>
          <w:tcPr>
            <w:tcW w:w="547" w:type="pct"/>
            <w:noWrap/>
            <w:hideMark/>
          </w:tcPr>
          <w:p w14:paraId="38A46EE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104 (8.8%)</w:t>
            </w:r>
          </w:p>
        </w:tc>
        <w:tc>
          <w:tcPr>
            <w:tcW w:w="547" w:type="pct"/>
            <w:noWrap/>
            <w:hideMark/>
          </w:tcPr>
          <w:p w14:paraId="38A46EE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91 (7.7%)</w:t>
            </w:r>
          </w:p>
        </w:tc>
        <w:tc>
          <w:tcPr>
            <w:tcW w:w="547" w:type="pct"/>
            <w:noWrap/>
            <w:hideMark/>
          </w:tcPr>
          <w:p w14:paraId="38A46EE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78 (6.6%)</w:t>
            </w:r>
          </w:p>
        </w:tc>
        <w:tc>
          <w:tcPr>
            <w:tcW w:w="636" w:type="pct"/>
            <w:noWrap/>
            <w:hideMark/>
          </w:tcPr>
          <w:p w14:paraId="38A46EE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281 (23.7%)</w:t>
            </w:r>
          </w:p>
        </w:tc>
        <w:tc>
          <w:tcPr>
            <w:tcW w:w="311" w:type="pct"/>
            <w:noWrap/>
            <w:hideMark/>
          </w:tcPr>
          <w:p w14:paraId="38A46EE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EF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F0" w14:textId="77777777" w:rsidR="003F3393" w:rsidRPr="00DB0399" w:rsidRDefault="003F3393" w:rsidP="00FB60E5">
            <w:pPr>
              <w:ind w:left="0"/>
              <w:rPr>
                <w:b w:val="0"/>
              </w:rPr>
            </w:pPr>
            <w:r w:rsidRPr="00DB0399">
              <w:rPr>
                <w:b w:val="0"/>
              </w:rPr>
              <w:t>Not homeless (n=23118; 91.6%)</w:t>
            </w:r>
          </w:p>
        </w:tc>
        <w:tc>
          <w:tcPr>
            <w:tcW w:w="572" w:type="pct"/>
            <w:noWrap/>
            <w:hideMark/>
          </w:tcPr>
          <w:p w14:paraId="38A46EF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13886 (60.1%)</w:t>
            </w:r>
          </w:p>
        </w:tc>
        <w:tc>
          <w:tcPr>
            <w:tcW w:w="547" w:type="pct"/>
            <w:noWrap/>
            <w:hideMark/>
          </w:tcPr>
          <w:p w14:paraId="38A46EF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2006 (8.7%)</w:t>
            </w:r>
          </w:p>
        </w:tc>
        <w:tc>
          <w:tcPr>
            <w:tcW w:w="547" w:type="pct"/>
            <w:noWrap/>
            <w:hideMark/>
          </w:tcPr>
          <w:p w14:paraId="38A46EF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1770 (7.7%)</w:t>
            </w:r>
          </w:p>
        </w:tc>
        <w:tc>
          <w:tcPr>
            <w:tcW w:w="547" w:type="pct"/>
            <w:noWrap/>
            <w:hideMark/>
          </w:tcPr>
          <w:p w14:paraId="38A46EF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1654 (7.2%)</w:t>
            </w:r>
          </w:p>
        </w:tc>
        <w:tc>
          <w:tcPr>
            <w:tcW w:w="636" w:type="pct"/>
            <w:noWrap/>
            <w:hideMark/>
          </w:tcPr>
          <w:p w14:paraId="38A46EF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3802 (16.4%)</w:t>
            </w:r>
          </w:p>
        </w:tc>
        <w:tc>
          <w:tcPr>
            <w:tcW w:w="311" w:type="pct"/>
            <w:noWrap/>
            <w:hideMark/>
          </w:tcPr>
          <w:p w14:paraId="38A46EF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EF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EF8" w14:textId="77777777" w:rsidR="003F3393" w:rsidRPr="00DB0399" w:rsidRDefault="003F3393" w:rsidP="00FB60E5">
            <w:pPr>
              <w:ind w:left="0"/>
              <w:rPr>
                <w:b w:val="0"/>
              </w:rPr>
            </w:pPr>
            <w:r w:rsidRPr="00DB0399">
              <w:rPr>
                <w:b w:val="0"/>
              </w:rPr>
              <w:t>Unknown (n=925; 3.7%)</w:t>
            </w:r>
          </w:p>
        </w:tc>
        <w:tc>
          <w:tcPr>
            <w:tcW w:w="572" w:type="pct"/>
            <w:noWrap/>
            <w:hideMark/>
          </w:tcPr>
          <w:p w14:paraId="38A46EF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601 (65.0%)</w:t>
            </w:r>
          </w:p>
        </w:tc>
        <w:tc>
          <w:tcPr>
            <w:tcW w:w="547" w:type="pct"/>
            <w:noWrap/>
            <w:hideMark/>
          </w:tcPr>
          <w:p w14:paraId="38A46EF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57 (6.2%)</w:t>
            </w:r>
          </w:p>
        </w:tc>
        <w:tc>
          <w:tcPr>
            <w:tcW w:w="547" w:type="pct"/>
            <w:noWrap/>
            <w:hideMark/>
          </w:tcPr>
          <w:p w14:paraId="38A46EF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68 (7.4%)</w:t>
            </w:r>
          </w:p>
        </w:tc>
        <w:tc>
          <w:tcPr>
            <w:tcW w:w="547" w:type="pct"/>
            <w:noWrap/>
            <w:hideMark/>
          </w:tcPr>
          <w:p w14:paraId="38A46EF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69 (7.5%)</w:t>
            </w:r>
          </w:p>
        </w:tc>
        <w:tc>
          <w:tcPr>
            <w:tcW w:w="636" w:type="pct"/>
            <w:noWrap/>
            <w:hideMark/>
          </w:tcPr>
          <w:p w14:paraId="38A46EF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130 (14.1%)</w:t>
            </w:r>
          </w:p>
        </w:tc>
        <w:tc>
          <w:tcPr>
            <w:tcW w:w="311" w:type="pct"/>
            <w:noWrap/>
            <w:hideMark/>
          </w:tcPr>
          <w:p w14:paraId="38A46EF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DB0399" w:rsidRPr="00FB60E5" w14:paraId="38A46F0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6F06" w14:textId="7D8F418B" w:rsidR="00DB0399" w:rsidRPr="00FB60E5" w:rsidRDefault="00DB0399" w:rsidP="00FB60E5">
            <w:pPr>
              <w:ind w:left="0"/>
            </w:pPr>
            <w:r w:rsidRPr="00FB60E5">
              <w:t>Region</w:t>
            </w:r>
          </w:p>
        </w:tc>
      </w:tr>
      <w:tr w:rsidR="003F3393" w:rsidRPr="00FB60E5" w14:paraId="38A46F0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F08" w14:textId="77777777" w:rsidR="003F3393" w:rsidRPr="00DB0399" w:rsidRDefault="003F3393" w:rsidP="00FB60E5">
            <w:pPr>
              <w:ind w:left="0"/>
              <w:rPr>
                <w:b w:val="0"/>
              </w:rPr>
            </w:pPr>
            <w:r w:rsidRPr="00DB0399">
              <w:rPr>
                <w:b w:val="0"/>
              </w:rPr>
              <w:t>Metro</w:t>
            </w:r>
            <w:r w:rsidR="004B5CD4" w:rsidRPr="00DB0399">
              <w:rPr>
                <w:b w:val="0"/>
              </w:rPr>
              <w:t>politan</w:t>
            </w:r>
            <w:r w:rsidRPr="00DB0399">
              <w:rPr>
                <w:b w:val="0"/>
              </w:rPr>
              <w:t xml:space="preserve"> Melbourne (n=12346; 48.9%)</w:t>
            </w:r>
          </w:p>
        </w:tc>
        <w:tc>
          <w:tcPr>
            <w:tcW w:w="572" w:type="pct"/>
            <w:noWrap/>
            <w:hideMark/>
          </w:tcPr>
          <w:p w14:paraId="38A46F0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6952 (56.3%)</w:t>
            </w:r>
          </w:p>
        </w:tc>
        <w:tc>
          <w:tcPr>
            <w:tcW w:w="547" w:type="pct"/>
            <w:noWrap/>
            <w:hideMark/>
          </w:tcPr>
          <w:p w14:paraId="38A46F0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1069 (8.7%)</w:t>
            </w:r>
          </w:p>
        </w:tc>
        <w:tc>
          <w:tcPr>
            <w:tcW w:w="547" w:type="pct"/>
            <w:noWrap/>
            <w:hideMark/>
          </w:tcPr>
          <w:p w14:paraId="38A46F0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1033 (8.4%)</w:t>
            </w:r>
          </w:p>
        </w:tc>
        <w:tc>
          <w:tcPr>
            <w:tcW w:w="547" w:type="pct"/>
            <w:noWrap/>
            <w:hideMark/>
          </w:tcPr>
          <w:p w14:paraId="38A46F0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905 (7.3%)</w:t>
            </w:r>
          </w:p>
        </w:tc>
        <w:tc>
          <w:tcPr>
            <w:tcW w:w="636" w:type="pct"/>
            <w:noWrap/>
            <w:hideMark/>
          </w:tcPr>
          <w:p w14:paraId="38A46F0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2387 (19.3%)</w:t>
            </w:r>
          </w:p>
        </w:tc>
        <w:tc>
          <w:tcPr>
            <w:tcW w:w="311" w:type="pct"/>
            <w:noWrap/>
            <w:hideMark/>
          </w:tcPr>
          <w:p w14:paraId="38A46F0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F1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F10" w14:textId="77777777" w:rsidR="003F3393" w:rsidRPr="00DB0399" w:rsidRDefault="003F3393" w:rsidP="00FB60E5">
            <w:pPr>
              <w:ind w:left="0"/>
              <w:rPr>
                <w:b w:val="0"/>
              </w:rPr>
            </w:pPr>
            <w:r w:rsidRPr="00DB0399">
              <w:rPr>
                <w:b w:val="0"/>
              </w:rPr>
              <w:t>Rest of V</w:t>
            </w:r>
            <w:r w:rsidR="004B5CD4" w:rsidRPr="00DB0399">
              <w:rPr>
                <w:b w:val="0"/>
              </w:rPr>
              <w:t>ictoria</w:t>
            </w:r>
            <w:r w:rsidRPr="00DB0399">
              <w:rPr>
                <w:b w:val="0"/>
              </w:rPr>
              <w:t xml:space="preserve"> (n=7875; 31.2%)</w:t>
            </w:r>
          </w:p>
        </w:tc>
        <w:tc>
          <w:tcPr>
            <w:tcW w:w="572" w:type="pct"/>
            <w:noWrap/>
            <w:hideMark/>
          </w:tcPr>
          <w:p w14:paraId="38A46F1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5036 (63.9%)</w:t>
            </w:r>
          </w:p>
        </w:tc>
        <w:tc>
          <w:tcPr>
            <w:tcW w:w="547" w:type="pct"/>
            <w:noWrap/>
            <w:hideMark/>
          </w:tcPr>
          <w:p w14:paraId="38A46F1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612 (7.8%)</w:t>
            </w:r>
          </w:p>
        </w:tc>
        <w:tc>
          <w:tcPr>
            <w:tcW w:w="547" w:type="pct"/>
            <w:noWrap/>
            <w:hideMark/>
          </w:tcPr>
          <w:p w14:paraId="38A46F1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549 (7.0%)</w:t>
            </w:r>
          </w:p>
        </w:tc>
        <w:tc>
          <w:tcPr>
            <w:tcW w:w="547" w:type="pct"/>
            <w:noWrap/>
            <w:hideMark/>
          </w:tcPr>
          <w:p w14:paraId="38A46F1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507 (6.4%)</w:t>
            </w:r>
          </w:p>
        </w:tc>
        <w:tc>
          <w:tcPr>
            <w:tcW w:w="636" w:type="pct"/>
            <w:noWrap/>
            <w:hideMark/>
          </w:tcPr>
          <w:p w14:paraId="38A46F1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1171 (14.9%)</w:t>
            </w:r>
          </w:p>
        </w:tc>
        <w:tc>
          <w:tcPr>
            <w:tcW w:w="311" w:type="pct"/>
            <w:noWrap/>
            <w:hideMark/>
          </w:tcPr>
          <w:p w14:paraId="38A46F1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6F1F" w14:textId="77777777" w:rsidTr="00DB039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F18" w14:textId="77777777" w:rsidR="003F3393" w:rsidRPr="00DB0399" w:rsidRDefault="003F3393" w:rsidP="00FB60E5">
            <w:pPr>
              <w:ind w:left="0"/>
              <w:rPr>
                <w:b w:val="0"/>
              </w:rPr>
            </w:pPr>
            <w:r w:rsidRPr="00DB0399">
              <w:rPr>
                <w:b w:val="0"/>
              </w:rPr>
              <w:t>Interstate (n=438; 1.7%)</w:t>
            </w:r>
          </w:p>
        </w:tc>
        <w:tc>
          <w:tcPr>
            <w:tcW w:w="572" w:type="pct"/>
            <w:noWrap/>
            <w:hideMark/>
          </w:tcPr>
          <w:p w14:paraId="38A46F19"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280 (63.9%)</w:t>
            </w:r>
          </w:p>
        </w:tc>
        <w:tc>
          <w:tcPr>
            <w:tcW w:w="547" w:type="pct"/>
            <w:noWrap/>
            <w:hideMark/>
          </w:tcPr>
          <w:p w14:paraId="38A46F1A"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41 (9.4%)</w:t>
            </w:r>
          </w:p>
        </w:tc>
        <w:tc>
          <w:tcPr>
            <w:tcW w:w="547" w:type="pct"/>
            <w:noWrap/>
            <w:hideMark/>
          </w:tcPr>
          <w:p w14:paraId="38A46F1B"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33 (7.5%)</w:t>
            </w:r>
          </w:p>
        </w:tc>
        <w:tc>
          <w:tcPr>
            <w:tcW w:w="547" w:type="pct"/>
            <w:noWrap/>
            <w:hideMark/>
          </w:tcPr>
          <w:p w14:paraId="38A46F1C"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33 (7.5%)</w:t>
            </w:r>
          </w:p>
        </w:tc>
        <w:tc>
          <w:tcPr>
            <w:tcW w:w="636" w:type="pct"/>
            <w:noWrap/>
            <w:hideMark/>
          </w:tcPr>
          <w:p w14:paraId="38A46F1D"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51 (11.6%)</w:t>
            </w:r>
          </w:p>
        </w:tc>
        <w:tc>
          <w:tcPr>
            <w:tcW w:w="311" w:type="pct"/>
            <w:noWrap/>
            <w:hideMark/>
          </w:tcPr>
          <w:p w14:paraId="38A46F1E"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6F27" w14:textId="77777777" w:rsidTr="00DB0399">
        <w:trPr>
          <w:trHeight w:val="300"/>
        </w:trPr>
        <w:tc>
          <w:tcPr>
            <w:cnfStyle w:val="001000000000" w:firstRow="0" w:lastRow="0" w:firstColumn="1" w:lastColumn="0" w:oddVBand="0" w:evenVBand="0" w:oddHBand="0" w:evenHBand="0" w:firstRowFirstColumn="0" w:firstRowLastColumn="0" w:lastRowFirstColumn="0" w:lastRowLastColumn="0"/>
            <w:tcW w:w="1840" w:type="pct"/>
            <w:noWrap/>
            <w:hideMark/>
          </w:tcPr>
          <w:p w14:paraId="38A46F20" w14:textId="77777777" w:rsidR="003F3393" w:rsidRPr="00DB0399" w:rsidRDefault="003F3393" w:rsidP="00FB60E5">
            <w:pPr>
              <w:ind w:left="0"/>
              <w:rPr>
                <w:b w:val="0"/>
              </w:rPr>
            </w:pPr>
            <w:r w:rsidRPr="00DB0399">
              <w:rPr>
                <w:b w:val="0"/>
              </w:rPr>
              <w:t>Unknown (n=4570; 18.1%)</w:t>
            </w:r>
          </w:p>
        </w:tc>
        <w:tc>
          <w:tcPr>
            <w:tcW w:w="572" w:type="pct"/>
            <w:noWrap/>
            <w:hideMark/>
          </w:tcPr>
          <w:p w14:paraId="38A46F21"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2851 (62.4%)</w:t>
            </w:r>
          </w:p>
        </w:tc>
        <w:tc>
          <w:tcPr>
            <w:tcW w:w="547" w:type="pct"/>
            <w:noWrap/>
            <w:hideMark/>
          </w:tcPr>
          <w:p w14:paraId="38A46F22"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445 (9.7%)</w:t>
            </w:r>
          </w:p>
        </w:tc>
        <w:tc>
          <w:tcPr>
            <w:tcW w:w="547" w:type="pct"/>
            <w:noWrap/>
            <w:hideMark/>
          </w:tcPr>
          <w:p w14:paraId="38A46F23"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314 (6.9%)</w:t>
            </w:r>
          </w:p>
        </w:tc>
        <w:tc>
          <w:tcPr>
            <w:tcW w:w="547" w:type="pct"/>
            <w:noWrap/>
            <w:hideMark/>
          </w:tcPr>
          <w:p w14:paraId="38A46F24"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356 (7.8%)</w:t>
            </w:r>
          </w:p>
        </w:tc>
        <w:tc>
          <w:tcPr>
            <w:tcW w:w="636" w:type="pct"/>
            <w:noWrap/>
            <w:hideMark/>
          </w:tcPr>
          <w:p w14:paraId="38A46F25"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604 (13.2%)</w:t>
            </w:r>
          </w:p>
        </w:tc>
        <w:tc>
          <w:tcPr>
            <w:tcW w:w="311" w:type="pct"/>
            <w:noWrap/>
            <w:hideMark/>
          </w:tcPr>
          <w:p w14:paraId="38A46F26"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bl>
    <w:p w14:paraId="38A46F28" w14:textId="77777777" w:rsidR="00CA7A60" w:rsidRPr="00FB60E5" w:rsidRDefault="00CA7A60" w:rsidP="00FB60E5">
      <w:pPr>
        <w:ind w:left="0"/>
        <w:sectPr w:rsidR="00CA7A60" w:rsidRPr="00FB60E5" w:rsidSect="00CA7A60">
          <w:pgSz w:w="16838" w:h="11906" w:orient="landscape"/>
          <w:pgMar w:top="1276" w:right="1440" w:bottom="1440" w:left="1440" w:header="708" w:footer="595" w:gutter="0"/>
          <w:cols w:space="708"/>
          <w:docGrid w:linePitch="360"/>
        </w:sectPr>
      </w:pPr>
    </w:p>
    <w:p w14:paraId="38A46F29" w14:textId="4712540A" w:rsidR="00CA7A60" w:rsidRPr="00FB60E5" w:rsidRDefault="00CA7A60" w:rsidP="00552239">
      <w:pPr>
        <w:pStyle w:val="Caption"/>
      </w:pPr>
      <w:bookmarkStart w:id="268" w:name="_Ref386865779"/>
      <w:bookmarkStart w:id="269" w:name="_Toc387244639"/>
      <w:bookmarkStart w:id="270" w:name="_Toc531625812"/>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15</w:t>
      </w:r>
      <w:r w:rsidR="00552239">
        <w:fldChar w:fldCharType="end"/>
      </w:r>
      <w:bookmarkEnd w:id="268"/>
      <w:r w:rsidR="002C27A8">
        <w:t xml:space="preserve"> </w:t>
      </w:r>
      <w:r w:rsidRPr="00FB60E5">
        <w:t>Sociodemographic characteristics by hospital admission in 2009/10, 2010/11 and 2011/12</w:t>
      </w:r>
      <w:bookmarkEnd w:id="269"/>
      <w:bookmarkEnd w:id="270"/>
    </w:p>
    <w:tbl>
      <w:tblPr>
        <w:tblStyle w:val="LightList-Accent1"/>
        <w:tblW w:w="5000" w:type="pct"/>
        <w:tblLook w:val="04A0" w:firstRow="1" w:lastRow="0" w:firstColumn="1" w:lastColumn="0" w:noHBand="0" w:noVBand="1"/>
        <w:tblDescription w:val="Table 4.15 is a list of Sociodemographic characteristics by hospital admission in 2009/10, 2010/11 and 2011/12"/>
      </w:tblPr>
      <w:tblGrid>
        <w:gridCol w:w="4999"/>
        <w:gridCol w:w="1469"/>
        <w:gridCol w:w="1469"/>
        <w:gridCol w:w="1469"/>
      </w:tblGrid>
      <w:tr w:rsidR="00CA7A60" w:rsidRPr="00FB60E5" w14:paraId="38A46F2C" w14:textId="77777777" w:rsidTr="009D584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57" w:type="pct"/>
            <w:vMerge w:val="restart"/>
            <w:noWrap/>
            <w:hideMark/>
          </w:tcPr>
          <w:p w14:paraId="38A46F2A" w14:textId="77777777" w:rsidR="00CA7A60" w:rsidRPr="00FB60E5" w:rsidRDefault="00CA7A60" w:rsidP="00FB60E5">
            <w:pPr>
              <w:ind w:left="0"/>
            </w:pPr>
            <w:r w:rsidRPr="00FB60E5">
              <w:t> </w:t>
            </w:r>
          </w:p>
        </w:tc>
        <w:tc>
          <w:tcPr>
            <w:tcW w:w="2343" w:type="pct"/>
            <w:gridSpan w:val="3"/>
            <w:hideMark/>
          </w:tcPr>
          <w:p w14:paraId="38A46F2B" w14:textId="2C02F5F6"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Number of AOD clients </w:t>
            </w:r>
          </w:p>
        </w:tc>
      </w:tr>
      <w:tr w:rsidR="00CA7A60" w:rsidRPr="00FB60E5" w14:paraId="38A46F31" w14:textId="77777777" w:rsidTr="009D584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57" w:type="pct"/>
            <w:vMerge/>
            <w:hideMark/>
          </w:tcPr>
          <w:p w14:paraId="38A46F2D" w14:textId="77777777" w:rsidR="00CA7A60" w:rsidRPr="00FB60E5" w:rsidRDefault="00CA7A60" w:rsidP="00FB60E5">
            <w:pPr>
              <w:ind w:left="0"/>
            </w:pPr>
          </w:p>
        </w:tc>
        <w:tc>
          <w:tcPr>
            <w:tcW w:w="781" w:type="pct"/>
            <w:hideMark/>
          </w:tcPr>
          <w:p w14:paraId="38A46F2E"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781" w:type="pct"/>
            <w:hideMark/>
          </w:tcPr>
          <w:p w14:paraId="38A46F2F"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781" w:type="pct"/>
            <w:hideMark/>
          </w:tcPr>
          <w:p w14:paraId="38A46F30"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6F36"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32" w14:textId="77777777" w:rsidR="00CA7A60" w:rsidRPr="009D5847" w:rsidRDefault="00CA7A60" w:rsidP="00FB60E5">
            <w:pPr>
              <w:ind w:left="0"/>
              <w:rPr>
                <w:b w:val="0"/>
              </w:rPr>
            </w:pPr>
            <w:r w:rsidRPr="009D5847">
              <w:rPr>
                <w:b w:val="0"/>
              </w:rPr>
              <w:t>Total (n=25229)</w:t>
            </w:r>
          </w:p>
        </w:tc>
        <w:tc>
          <w:tcPr>
            <w:tcW w:w="781" w:type="pct"/>
            <w:noWrap/>
            <w:hideMark/>
          </w:tcPr>
          <w:p w14:paraId="38A46F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5367 (21.3%)</w:t>
            </w:r>
          </w:p>
        </w:tc>
        <w:tc>
          <w:tcPr>
            <w:tcW w:w="781" w:type="pct"/>
            <w:noWrap/>
            <w:hideMark/>
          </w:tcPr>
          <w:p w14:paraId="38A46F3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5301 (21.0%)</w:t>
            </w:r>
          </w:p>
        </w:tc>
        <w:tc>
          <w:tcPr>
            <w:tcW w:w="781" w:type="pct"/>
            <w:noWrap/>
            <w:hideMark/>
          </w:tcPr>
          <w:p w14:paraId="38A46F3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4983 (19.8%)</w:t>
            </w:r>
          </w:p>
        </w:tc>
      </w:tr>
      <w:tr w:rsidR="009D5847" w:rsidRPr="00FB60E5" w14:paraId="38A46F3B"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3A" w14:textId="64B2E2A4" w:rsidR="009D5847" w:rsidRPr="009D5847" w:rsidRDefault="009D5847" w:rsidP="00FB60E5">
            <w:pPr>
              <w:ind w:left="0"/>
              <w:rPr>
                <w:b w:val="0"/>
                <w:bCs w:val="0"/>
              </w:rPr>
            </w:pPr>
            <w:r w:rsidRPr="00FB60E5">
              <w:t>Gender</w:t>
            </w:r>
          </w:p>
        </w:tc>
      </w:tr>
      <w:tr w:rsidR="00CA7A60" w:rsidRPr="00FB60E5" w14:paraId="38A46F40"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3C" w14:textId="77777777" w:rsidR="00CA7A60" w:rsidRPr="009D5847" w:rsidRDefault="00CA7A60" w:rsidP="00FB60E5">
            <w:pPr>
              <w:ind w:left="0"/>
              <w:rPr>
                <w:b w:val="0"/>
              </w:rPr>
            </w:pPr>
            <w:r w:rsidRPr="009D5847">
              <w:rPr>
                <w:b w:val="0"/>
              </w:rPr>
              <w:t>Male (n=17198; 68.2%)</w:t>
            </w:r>
          </w:p>
        </w:tc>
        <w:tc>
          <w:tcPr>
            <w:tcW w:w="781" w:type="pct"/>
            <w:noWrap/>
            <w:hideMark/>
          </w:tcPr>
          <w:p w14:paraId="38A46F3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3227 (18.8%)</w:t>
            </w:r>
          </w:p>
        </w:tc>
        <w:tc>
          <w:tcPr>
            <w:tcW w:w="781" w:type="pct"/>
            <w:noWrap/>
            <w:hideMark/>
          </w:tcPr>
          <w:p w14:paraId="38A46F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3200 (18.6%)</w:t>
            </w:r>
          </w:p>
        </w:tc>
        <w:tc>
          <w:tcPr>
            <w:tcW w:w="781" w:type="pct"/>
            <w:noWrap/>
            <w:hideMark/>
          </w:tcPr>
          <w:p w14:paraId="38A46F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2926 (17.0%)</w:t>
            </w:r>
          </w:p>
        </w:tc>
      </w:tr>
      <w:tr w:rsidR="00CA7A60" w:rsidRPr="00FB60E5" w14:paraId="38A46F45"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41" w14:textId="77777777" w:rsidR="00CA7A60" w:rsidRPr="009D5847" w:rsidRDefault="00CA7A60" w:rsidP="00FB60E5">
            <w:pPr>
              <w:ind w:left="0"/>
              <w:rPr>
                <w:b w:val="0"/>
              </w:rPr>
            </w:pPr>
            <w:r w:rsidRPr="009D5847">
              <w:rPr>
                <w:b w:val="0"/>
              </w:rPr>
              <w:t>Female (n=7982; 31.6%)</w:t>
            </w:r>
          </w:p>
        </w:tc>
        <w:tc>
          <w:tcPr>
            <w:tcW w:w="781" w:type="pct"/>
            <w:noWrap/>
            <w:hideMark/>
          </w:tcPr>
          <w:p w14:paraId="38A46F4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2140 (26.8%)</w:t>
            </w:r>
          </w:p>
        </w:tc>
        <w:tc>
          <w:tcPr>
            <w:tcW w:w="781" w:type="pct"/>
            <w:noWrap/>
            <w:hideMark/>
          </w:tcPr>
          <w:p w14:paraId="38A46F4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2101 (26.3%)</w:t>
            </w:r>
          </w:p>
        </w:tc>
        <w:tc>
          <w:tcPr>
            <w:tcW w:w="781" w:type="pct"/>
            <w:noWrap/>
            <w:hideMark/>
          </w:tcPr>
          <w:p w14:paraId="38A46F4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2057 (25.8%)</w:t>
            </w:r>
          </w:p>
        </w:tc>
      </w:tr>
      <w:tr w:rsidR="009D5847" w:rsidRPr="00FB60E5" w14:paraId="38A46F4A"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49" w14:textId="601BC071" w:rsidR="009D5847" w:rsidRPr="00FB60E5" w:rsidRDefault="009D5847" w:rsidP="00FB60E5">
            <w:pPr>
              <w:ind w:left="0"/>
            </w:pPr>
            <w:r w:rsidRPr="00FB60E5">
              <w:t>Age group</w:t>
            </w:r>
          </w:p>
        </w:tc>
      </w:tr>
      <w:tr w:rsidR="00CA7A60" w:rsidRPr="00FB60E5" w14:paraId="38A46F4F"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4B" w14:textId="77777777" w:rsidR="00CA7A60" w:rsidRPr="009D5847" w:rsidRDefault="00CA7A60" w:rsidP="00FB60E5">
            <w:pPr>
              <w:ind w:left="0"/>
              <w:rPr>
                <w:b w:val="0"/>
              </w:rPr>
            </w:pPr>
            <w:r w:rsidRPr="009D5847">
              <w:rPr>
                <w:b w:val="0"/>
              </w:rPr>
              <w:t>0-14 (n=340; 1.3%)</w:t>
            </w:r>
          </w:p>
        </w:tc>
        <w:tc>
          <w:tcPr>
            <w:tcW w:w="781" w:type="pct"/>
            <w:noWrap/>
            <w:hideMark/>
          </w:tcPr>
          <w:p w14:paraId="38A46F4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 (9.7%)</w:t>
            </w:r>
          </w:p>
        </w:tc>
        <w:tc>
          <w:tcPr>
            <w:tcW w:w="781" w:type="pct"/>
            <w:noWrap/>
            <w:hideMark/>
          </w:tcPr>
          <w:p w14:paraId="38A46F4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44 (12.9%)</w:t>
            </w:r>
          </w:p>
        </w:tc>
        <w:tc>
          <w:tcPr>
            <w:tcW w:w="781" w:type="pct"/>
            <w:noWrap/>
            <w:hideMark/>
          </w:tcPr>
          <w:p w14:paraId="38A46F4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 (10.3%)</w:t>
            </w:r>
          </w:p>
        </w:tc>
      </w:tr>
      <w:tr w:rsidR="00CA7A60" w:rsidRPr="00FB60E5" w14:paraId="38A46F54"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50" w14:textId="77777777" w:rsidR="00CA7A60" w:rsidRPr="009D5847" w:rsidRDefault="00CA7A60" w:rsidP="00FB60E5">
            <w:pPr>
              <w:ind w:left="0"/>
              <w:rPr>
                <w:b w:val="0"/>
              </w:rPr>
            </w:pPr>
            <w:r w:rsidRPr="009D5847">
              <w:rPr>
                <w:b w:val="0"/>
              </w:rPr>
              <w:t>15-24 (n=6654; 26.4%)</w:t>
            </w:r>
          </w:p>
        </w:tc>
        <w:tc>
          <w:tcPr>
            <w:tcW w:w="781" w:type="pct"/>
            <w:noWrap/>
            <w:hideMark/>
          </w:tcPr>
          <w:p w14:paraId="38A46F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1174 (17.6%)</w:t>
            </w:r>
          </w:p>
        </w:tc>
        <w:tc>
          <w:tcPr>
            <w:tcW w:w="781" w:type="pct"/>
            <w:noWrap/>
            <w:hideMark/>
          </w:tcPr>
          <w:p w14:paraId="38A46F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1123 (16.9%)</w:t>
            </w:r>
          </w:p>
        </w:tc>
        <w:tc>
          <w:tcPr>
            <w:tcW w:w="781" w:type="pct"/>
            <w:noWrap/>
            <w:hideMark/>
          </w:tcPr>
          <w:p w14:paraId="38A46F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1120 (16.8%)</w:t>
            </w:r>
          </w:p>
        </w:tc>
      </w:tr>
      <w:tr w:rsidR="00CA7A60" w:rsidRPr="00FB60E5" w14:paraId="38A46F5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55" w14:textId="77777777" w:rsidR="00CA7A60" w:rsidRPr="009D5847" w:rsidRDefault="00CA7A60" w:rsidP="00FB60E5">
            <w:pPr>
              <w:ind w:left="0"/>
              <w:rPr>
                <w:b w:val="0"/>
              </w:rPr>
            </w:pPr>
            <w:r w:rsidRPr="009D5847">
              <w:rPr>
                <w:b w:val="0"/>
              </w:rPr>
              <w:t>25-34 (n=7334; 29.1%)</w:t>
            </w:r>
          </w:p>
        </w:tc>
        <w:tc>
          <w:tcPr>
            <w:tcW w:w="781" w:type="pct"/>
            <w:noWrap/>
            <w:hideMark/>
          </w:tcPr>
          <w:p w14:paraId="38A46F5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1475 (20.1%)</w:t>
            </w:r>
          </w:p>
        </w:tc>
        <w:tc>
          <w:tcPr>
            <w:tcW w:w="781" w:type="pct"/>
            <w:noWrap/>
            <w:hideMark/>
          </w:tcPr>
          <w:p w14:paraId="38A46F5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1441 (19.6%)</w:t>
            </w:r>
          </w:p>
        </w:tc>
        <w:tc>
          <w:tcPr>
            <w:tcW w:w="781" w:type="pct"/>
            <w:noWrap/>
            <w:hideMark/>
          </w:tcPr>
          <w:p w14:paraId="38A46F5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1367 (18.6%)</w:t>
            </w:r>
          </w:p>
        </w:tc>
      </w:tr>
      <w:tr w:rsidR="00CA7A60" w:rsidRPr="00FB60E5" w14:paraId="38A46F5E"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5A" w14:textId="77777777" w:rsidR="00CA7A60" w:rsidRPr="009D5847" w:rsidRDefault="00CA7A60" w:rsidP="00FB60E5">
            <w:pPr>
              <w:ind w:left="0"/>
              <w:rPr>
                <w:b w:val="0"/>
              </w:rPr>
            </w:pPr>
            <w:r w:rsidRPr="009D5847">
              <w:rPr>
                <w:b w:val="0"/>
              </w:rPr>
              <w:t>35-44 (n=6220; 24.7%)</w:t>
            </w:r>
          </w:p>
        </w:tc>
        <w:tc>
          <w:tcPr>
            <w:tcW w:w="781" w:type="pct"/>
            <w:noWrap/>
            <w:hideMark/>
          </w:tcPr>
          <w:p w14:paraId="38A46F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1486 (23.9%)</w:t>
            </w:r>
          </w:p>
        </w:tc>
        <w:tc>
          <w:tcPr>
            <w:tcW w:w="781" w:type="pct"/>
            <w:noWrap/>
            <w:hideMark/>
          </w:tcPr>
          <w:p w14:paraId="38A46F5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1403 (22.6%)</w:t>
            </w:r>
          </w:p>
        </w:tc>
        <w:tc>
          <w:tcPr>
            <w:tcW w:w="781" w:type="pct"/>
            <w:noWrap/>
            <w:hideMark/>
          </w:tcPr>
          <w:p w14:paraId="38A46F5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1279 (20.6%)</w:t>
            </w:r>
          </w:p>
        </w:tc>
      </w:tr>
      <w:tr w:rsidR="00CA7A60" w:rsidRPr="00FB60E5" w14:paraId="38A46F63"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5F" w14:textId="77777777" w:rsidR="00CA7A60" w:rsidRPr="009D5847" w:rsidRDefault="00CA7A60" w:rsidP="00FB60E5">
            <w:pPr>
              <w:ind w:left="0"/>
              <w:rPr>
                <w:b w:val="0"/>
              </w:rPr>
            </w:pPr>
            <w:r w:rsidRPr="009D5847">
              <w:rPr>
                <w:b w:val="0"/>
              </w:rPr>
              <w:t>45-54 (n=3202; 12.7%)</w:t>
            </w:r>
          </w:p>
        </w:tc>
        <w:tc>
          <w:tcPr>
            <w:tcW w:w="781" w:type="pct"/>
            <w:noWrap/>
            <w:hideMark/>
          </w:tcPr>
          <w:p w14:paraId="38A46F6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761 (23.8%)</w:t>
            </w:r>
          </w:p>
        </w:tc>
        <w:tc>
          <w:tcPr>
            <w:tcW w:w="781" w:type="pct"/>
            <w:noWrap/>
            <w:hideMark/>
          </w:tcPr>
          <w:p w14:paraId="38A46F6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836 (26.1%)</w:t>
            </w:r>
          </w:p>
        </w:tc>
        <w:tc>
          <w:tcPr>
            <w:tcW w:w="781" w:type="pct"/>
            <w:noWrap/>
            <w:hideMark/>
          </w:tcPr>
          <w:p w14:paraId="38A46F6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732 (22.9%)</w:t>
            </w:r>
          </w:p>
        </w:tc>
      </w:tr>
      <w:tr w:rsidR="00CA7A60" w:rsidRPr="00FB60E5" w14:paraId="38A46F68"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64" w14:textId="77777777" w:rsidR="00CA7A60" w:rsidRPr="009D5847" w:rsidRDefault="00CA7A60" w:rsidP="00FB60E5">
            <w:pPr>
              <w:ind w:left="0"/>
              <w:rPr>
                <w:b w:val="0"/>
              </w:rPr>
            </w:pPr>
            <w:r w:rsidRPr="009D5847">
              <w:rPr>
                <w:b w:val="0"/>
              </w:rPr>
              <w:t>55-64 (n=1102; 4.4%)</w:t>
            </w:r>
          </w:p>
        </w:tc>
        <w:tc>
          <w:tcPr>
            <w:tcW w:w="781" w:type="pct"/>
            <w:noWrap/>
            <w:hideMark/>
          </w:tcPr>
          <w:p w14:paraId="38A46F6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313 (28.4%)</w:t>
            </w:r>
          </w:p>
        </w:tc>
        <w:tc>
          <w:tcPr>
            <w:tcW w:w="781" w:type="pct"/>
            <w:noWrap/>
            <w:hideMark/>
          </w:tcPr>
          <w:p w14:paraId="38A46F6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328 (29.8%)</w:t>
            </w:r>
          </w:p>
        </w:tc>
        <w:tc>
          <w:tcPr>
            <w:tcW w:w="781" w:type="pct"/>
            <w:noWrap/>
            <w:hideMark/>
          </w:tcPr>
          <w:p w14:paraId="38A46F6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329 (29.9%)</w:t>
            </w:r>
          </w:p>
        </w:tc>
      </w:tr>
      <w:tr w:rsidR="00CA7A60" w:rsidRPr="00FB60E5" w14:paraId="38A46F6D"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69" w14:textId="77777777" w:rsidR="00CA7A60" w:rsidRPr="009D5847" w:rsidRDefault="00CA7A60" w:rsidP="00FB60E5">
            <w:pPr>
              <w:ind w:left="0"/>
              <w:rPr>
                <w:b w:val="0"/>
              </w:rPr>
            </w:pPr>
            <w:r w:rsidRPr="009D5847">
              <w:rPr>
                <w:b w:val="0"/>
              </w:rPr>
              <w:t>65+ (n=377; 1.5%)</w:t>
            </w:r>
          </w:p>
        </w:tc>
        <w:tc>
          <w:tcPr>
            <w:tcW w:w="781" w:type="pct"/>
            <w:noWrap/>
            <w:hideMark/>
          </w:tcPr>
          <w:p w14:paraId="38A46F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125 (33.2%)</w:t>
            </w:r>
          </w:p>
        </w:tc>
        <w:tc>
          <w:tcPr>
            <w:tcW w:w="781" w:type="pct"/>
            <w:noWrap/>
            <w:hideMark/>
          </w:tcPr>
          <w:p w14:paraId="38A46F6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126 (33.4%)</w:t>
            </w:r>
          </w:p>
        </w:tc>
        <w:tc>
          <w:tcPr>
            <w:tcW w:w="781" w:type="pct"/>
            <w:noWrap/>
            <w:hideMark/>
          </w:tcPr>
          <w:p w14:paraId="38A46F6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121 (32.1%)</w:t>
            </w:r>
          </w:p>
        </w:tc>
      </w:tr>
      <w:tr w:rsidR="009D5847" w:rsidRPr="00FB60E5" w14:paraId="38A46F7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70" w14:textId="69BD0EB8" w:rsidR="009D5847" w:rsidRPr="009D5847" w:rsidRDefault="009D5847" w:rsidP="00FB60E5">
            <w:pPr>
              <w:ind w:left="0"/>
              <w:rPr>
                <w:b w:val="0"/>
                <w:bCs w:val="0"/>
              </w:rPr>
            </w:pPr>
            <w:r w:rsidRPr="00FB60E5">
              <w:t>Country of birth</w:t>
            </w:r>
          </w:p>
        </w:tc>
      </w:tr>
      <w:tr w:rsidR="00CA7A60" w:rsidRPr="00FB60E5" w14:paraId="38A46F76"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72" w14:textId="77777777" w:rsidR="00CA7A60" w:rsidRPr="009D5847" w:rsidRDefault="00CA7A60" w:rsidP="00FB60E5">
            <w:pPr>
              <w:ind w:left="0"/>
              <w:rPr>
                <w:b w:val="0"/>
              </w:rPr>
            </w:pPr>
            <w:r w:rsidRPr="009D5847">
              <w:rPr>
                <w:b w:val="0"/>
              </w:rPr>
              <w:t>Australia (n=21501; 85.2%)</w:t>
            </w:r>
          </w:p>
        </w:tc>
        <w:tc>
          <w:tcPr>
            <w:tcW w:w="781" w:type="pct"/>
            <w:noWrap/>
            <w:hideMark/>
          </w:tcPr>
          <w:p w14:paraId="38A46F7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4651 (21.6%)</w:t>
            </w:r>
          </w:p>
        </w:tc>
        <w:tc>
          <w:tcPr>
            <w:tcW w:w="781" w:type="pct"/>
            <w:noWrap/>
            <w:hideMark/>
          </w:tcPr>
          <w:p w14:paraId="38A46F7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4561 (21.2%)</w:t>
            </w:r>
          </w:p>
        </w:tc>
        <w:tc>
          <w:tcPr>
            <w:tcW w:w="781" w:type="pct"/>
            <w:noWrap/>
            <w:hideMark/>
          </w:tcPr>
          <w:p w14:paraId="38A46F7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4309 (20.0%)</w:t>
            </w:r>
          </w:p>
        </w:tc>
      </w:tr>
      <w:tr w:rsidR="00CA7A60" w:rsidRPr="00FB60E5" w14:paraId="38A46F7B"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77" w14:textId="77777777" w:rsidR="00CA7A60" w:rsidRPr="009D5847" w:rsidRDefault="00CA7A60" w:rsidP="00FB60E5">
            <w:pPr>
              <w:ind w:left="0"/>
              <w:rPr>
                <w:b w:val="0"/>
              </w:rPr>
            </w:pPr>
            <w:r w:rsidRPr="009D5847">
              <w:rPr>
                <w:b w:val="0"/>
              </w:rPr>
              <w:t>Other (n=3728; 14.8%)</w:t>
            </w:r>
          </w:p>
        </w:tc>
        <w:tc>
          <w:tcPr>
            <w:tcW w:w="781" w:type="pct"/>
            <w:noWrap/>
            <w:hideMark/>
          </w:tcPr>
          <w:p w14:paraId="38A46F7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716 (19.2%)</w:t>
            </w:r>
          </w:p>
        </w:tc>
        <w:tc>
          <w:tcPr>
            <w:tcW w:w="781" w:type="pct"/>
            <w:noWrap/>
            <w:hideMark/>
          </w:tcPr>
          <w:p w14:paraId="38A46F7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740 (19.8%)</w:t>
            </w:r>
          </w:p>
        </w:tc>
        <w:tc>
          <w:tcPr>
            <w:tcW w:w="781" w:type="pct"/>
            <w:noWrap/>
            <w:hideMark/>
          </w:tcPr>
          <w:p w14:paraId="38A46F7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674 (18.1%)</w:t>
            </w:r>
          </w:p>
        </w:tc>
      </w:tr>
      <w:tr w:rsidR="009D5847" w:rsidRPr="00FB60E5" w14:paraId="38A46F7F"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7E" w14:textId="43507E0F" w:rsidR="009D5847" w:rsidRPr="009D5847" w:rsidRDefault="009D5847" w:rsidP="00FB60E5">
            <w:pPr>
              <w:ind w:left="0"/>
              <w:rPr>
                <w:b w:val="0"/>
                <w:bCs w:val="0"/>
              </w:rPr>
            </w:pPr>
            <w:r w:rsidRPr="00FB60E5">
              <w:t>Indigenous status</w:t>
            </w:r>
          </w:p>
        </w:tc>
      </w:tr>
      <w:tr w:rsidR="00CA7A60" w:rsidRPr="00FB60E5" w14:paraId="38A46F84"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80" w14:textId="77777777" w:rsidR="00CA7A60" w:rsidRPr="009D5847" w:rsidRDefault="00CA7A60" w:rsidP="00FB60E5">
            <w:pPr>
              <w:ind w:left="0"/>
              <w:rPr>
                <w:b w:val="0"/>
              </w:rPr>
            </w:pPr>
            <w:r w:rsidRPr="009D5847">
              <w:rPr>
                <w:b w:val="0"/>
              </w:rPr>
              <w:t>Aboriginal and/or TSI origin (n=1832; 7.3%)</w:t>
            </w:r>
          </w:p>
        </w:tc>
        <w:tc>
          <w:tcPr>
            <w:tcW w:w="781" w:type="pct"/>
            <w:noWrap/>
            <w:hideMark/>
          </w:tcPr>
          <w:p w14:paraId="38A46F8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377 (20.6%)</w:t>
            </w:r>
          </w:p>
        </w:tc>
        <w:tc>
          <w:tcPr>
            <w:tcW w:w="781" w:type="pct"/>
            <w:noWrap/>
            <w:hideMark/>
          </w:tcPr>
          <w:p w14:paraId="38A46F8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372 (20.3%)</w:t>
            </w:r>
          </w:p>
        </w:tc>
        <w:tc>
          <w:tcPr>
            <w:tcW w:w="781" w:type="pct"/>
            <w:noWrap/>
            <w:hideMark/>
          </w:tcPr>
          <w:p w14:paraId="38A46F8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358 (19.5%)</w:t>
            </w:r>
          </w:p>
        </w:tc>
      </w:tr>
      <w:tr w:rsidR="00CA7A60" w:rsidRPr="00FB60E5" w14:paraId="38A46F8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85" w14:textId="77777777" w:rsidR="00CA7A60" w:rsidRPr="009D5847" w:rsidRDefault="00CA7A60" w:rsidP="00FB60E5">
            <w:pPr>
              <w:ind w:left="0"/>
              <w:rPr>
                <w:b w:val="0"/>
              </w:rPr>
            </w:pPr>
            <w:r w:rsidRPr="009D5847">
              <w:rPr>
                <w:b w:val="0"/>
              </w:rPr>
              <w:t>Neither Aboriginal nor TSI origin (n=20927; 82.9%)</w:t>
            </w:r>
          </w:p>
        </w:tc>
        <w:tc>
          <w:tcPr>
            <w:tcW w:w="781" w:type="pct"/>
            <w:noWrap/>
            <w:hideMark/>
          </w:tcPr>
          <w:p w14:paraId="38A46F8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4526 (21.6%)</w:t>
            </w:r>
          </w:p>
        </w:tc>
        <w:tc>
          <w:tcPr>
            <w:tcW w:w="781" w:type="pct"/>
            <w:noWrap/>
            <w:hideMark/>
          </w:tcPr>
          <w:p w14:paraId="38A46F8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4464 (21.3%)</w:t>
            </w:r>
          </w:p>
        </w:tc>
        <w:tc>
          <w:tcPr>
            <w:tcW w:w="781" w:type="pct"/>
            <w:noWrap/>
            <w:hideMark/>
          </w:tcPr>
          <w:p w14:paraId="38A46F8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4186 (20.0%)</w:t>
            </w:r>
          </w:p>
        </w:tc>
      </w:tr>
      <w:tr w:rsidR="00CA7A60" w:rsidRPr="00FB60E5" w14:paraId="38A46F8E"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8A" w14:textId="77777777" w:rsidR="00CA7A60" w:rsidRPr="009D5847" w:rsidRDefault="00CA7A60" w:rsidP="00FB60E5">
            <w:pPr>
              <w:ind w:left="0"/>
              <w:rPr>
                <w:b w:val="0"/>
              </w:rPr>
            </w:pPr>
            <w:r w:rsidRPr="009D5847">
              <w:rPr>
                <w:b w:val="0"/>
              </w:rPr>
              <w:t>Unknown (n=2470; 9.8%)</w:t>
            </w:r>
          </w:p>
        </w:tc>
        <w:tc>
          <w:tcPr>
            <w:tcW w:w="781" w:type="pct"/>
            <w:noWrap/>
            <w:hideMark/>
          </w:tcPr>
          <w:p w14:paraId="38A46F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464 (18.8%)</w:t>
            </w:r>
          </w:p>
        </w:tc>
        <w:tc>
          <w:tcPr>
            <w:tcW w:w="781" w:type="pct"/>
            <w:noWrap/>
            <w:hideMark/>
          </w:tcPr>
          <w:p w14:paraId="38A46F8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465 (18.8%)</w:t>
            </w:r>
          </w:p>
        </w:tc>
        <w:tc>
          <w:tcPr>
            <w:tcW w:w="781" w:type="pct"/>
            <w:noWrap/>
            <w:hideMark/>
          </w:tcPr>
          <w:p w14:paraId="38A46F8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439 (17.8%)</w:t>
            </w:r>
          </w:p>
        </w:tc>
      </w:tr>
      <w:tr w:rsidR="009D5847" w:rsidRPr="00FB60E5" w14:paraId="38A46F92"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91" w14:textId="3EE40EED" w:rsidR="009D5847" w:rsidRPr="00FB60E5" w:rsidRDefault="009D5847" w:rsidP="00FB60E5">
            <w:pPr>
              <w:ind w:left="0"/>
            </w:pPr>
            <w:r w:rsidRPr="00FB60E5">
              <w:t>Employment</w:t>
            </w:r>
          </w:p>
        </w:tc>
      </w:tr>
      <w:tr w:rsidR="00CA7A60" w:rsidRPr="00FB60E5" w14:paraId="38A46F97"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93" w14:textId="77777777" w:rsidR="00CA7A60" w:rsidRPr="009D5847" w:rsidRDefault="00CA7A60" w:rsidP="00FB60E5">
            <w:pPr>
              <w:ind w:left="0"/>
              <w:rPr>
                <w:b w:val="0"/>
              </w:rPr>
            </w:pPr>
            <w:r w:rsidRPr="009D5847">
              <w:rPr>
                <w:b w:val="0"/>
              </w:rPr>
              <w:t>Employed (n=6239; 24.7%)</w:t>
            </w:r>
          </w:p>
        </w:tc>
        <w:tc>
          <w:tcPr>
            <w:tcW w:w="781" w:type="pct"/>
            <w:noWrap/>
            <w:hideMark/>
          </w:tcPr>
          <w:p w14:paraId="38A46F9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1137 (18.2%)</w:t>
            </w:r>
          </w:p>
        </w:tc>
        <w:tc>
          <w:tcPr>
            <w:tcW w:w="781" w:type="pct"/>
            <w:noWrap/>
            <w:hideMark/>
          </w:tcPr>
          <w:p w14:paraId="38A46F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1117 (17.9%)</w:t>
            </w:r>
          </w:p>
        </w:tc>
        <w:tc>
          <w:tcPr>
            <w:tcW w:w="781" w:type="pct"/>
            <w:noWrap/>
            <w:hideMark/>
          </w:tcPr>
          <w:p w14:paraId="38A46F9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1049 (16.8%)</w:t>
            </w:r>
          </w:p>
        </w:tc>
      </w:tr>
      <w:tr w:rsidR="00CA7A60" w:rsidRPr="00FB60E5" w14:paraId="38A46F9C"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98" w14:textId="77777777" w:rsidR="00CA7A60" w:rsidRPr="009D5847" w:rsidRDefault="00CA7A60" w:rsidP="00FB60E5">
            <w:pPr>
              <w:ind w:left="0"/>
              <w:rPr>
                <w:b w:val="0"/>
              </w:rPr>
            </w:pPr>
            <w:r w:rsidRPr="009D5847">
              <w:rPr>
                <w:b w:val="0"/>
              </w:rPr>
              <w:t>Unemployed (n=13587; 53.9%)</w:t>
            </w:r>
          </w:p>
        </w:tc>
        <w:tc>
          <w:tcPr>
            <w:tcW w:w="781" w:type="pct"/>
            <w:noWrap/>
            <w:hideMark/>
          </w:tcPr>
          <w:p w14:paraId="38A46F9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3151 (23.2%)</w:t>
            </w:r>
          </w:p>
        </w:tc>
        <w:tc>
          <w:tcPr>
            <w:tcW w:w="781" w:type="pct"/>
            <w:noWrap/>
            <w:hideMark/>
          </w:tcPr>
          <w:p w14:paraId="38A46F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3143 (23.1%)</w:t>
            </w:r>
          </w:p>
        </w:tc>
        <w:tc>
          <w:tcPr>
            <w:tcW w:w="781" w:type="pct"/>
            <w:noWrap/>
            <w:hideMark/>
          </w:tcPr>
          <w:p w14:paraId="38A46F9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2891 (21.3%)</w:t>
            </w:r>
          </w:p>
        </w:tc>
      </w:tr>
      <w:tr w:rsidR="00CA7A60" w:rsidRPr="00FB60E5" w14:paraId="38A46FA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9D" w14:textId="77777777" w:rsidR="00CA7A60" w:rsidRPr="009D5847" w:rsidRDefault="00CA7A60" w:rsidP="00FB60E5">
            <w:pPr>
              <w:ind w:left="0"/>
              <w:rPr>
                <w:b w:val="0"/>
              </w:rPr>
            </w:pPr>
            <w:r w:rsidRPr="009D5847">
              <w:rPr>
                <w:b w:val="0"/>
              </w:rPr>
              <w:t>Other (n=4297; 17.0%)</w:t>
            </w:r>
          </w:p>
        </w:tc>
        <w:tc>
          <w:tcPr>
            <w:tcW w:w="781" w:type="pct"/>
            <w:noWrap/>
            <w:hideMark/>
          </w:tcPr>
          <w:p w14:paraId="38A46F9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869 (20.2%)</w:t>
            </w:r>
          </w:p>
        </w:tc>
        <w:tc>
          <w:tcPr>
            <w:tcW w:w="781" w:type="pct"/>
            <w:noWrap/>
            <w:hideMark/>
          </w:tcPr>
          <w:p w14:paraId="38A46F9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848 (19.7%)</w:t>
            </w:r>
          </w:p>
        </w:tc>
        <w:tc>
          <w:tcPr>
            <w:tcW w:w="781" w:type="pct"/>
            <w:noWrap/>
            <w:hideMark/>
          </w:tcPr>
          <w:p w14:paraId="38A46FA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845 (19.7%)</w:t>
            </w:r>
          </w:p>
        </w:tc>
      </w:tr>
      <w:tr w:rsidR="00CA7A60" w:rsidRPr="00FB60E5" w14:paraId="38A46FA6"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A2" w14:textId="77777777" w:rsidR="00CA7A60" w:rsidRPr="009D5847" w:rsidRDefault="00CA7A60" w:rsidP="00FB60E5">
            <w:pPr>
              <w:ind w:left="0"/>
              <w:rPr>
                <w:b w:val="0"/>
              </w:rPr>
            </w:pPr>
            <w:r w:rsidRPr="009D5847">
              <w:rPr>
                <w:b w:val="0"/>
              </w:rPr>
              <w:t>Unknown (n=1106; 4.4%)</w:t>
            </w:r>
          </w:p>
        </w:tc>
        <w:tc>
          <w:tcPr>
            <w:tcW w:w="781" w:type="pct"/>
            <w:noWrap/>
            <w:hideMark/>
          </w:tcPr>
          <w:p w14:paraId="38A46F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210 (19.0%)</w:t>
            </w:r>
          </w:p>
        </w:tc>
        <w:tc>
          <w:tcPr>
            <w:tcW w:w="781" w:type="pct"/>
            <w:noWrap/>
            <w:hideMark/>
          </w:tcPr>
          <w:p w14:paraId="38A46F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193 (17.5%)</w:t>
            </w:r>
          </w:p>
        </w:tc>
        <w:tc>
          <w:tcPr>
            <w:tcW w:w="781" w:type="pct"/>
            <w:noWrap/>
            <w:hideMark/>
          </w:tcPr>
          <w:p w14:paraId="38A46FA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198 (17.9%)</w:t>
            </w:r>
          </w:p>
        </w:tc>
      </w:tr>
      <w:tr w:rsidR="009D5847" w:rsidRPr="00FB60E5" w14:paraId="38A46FAA"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A9" w14:textId="5F9DD44B" w:rsidR="009D5847" w:rsidRPr="009D5847" w:rsidRDefault="009D5847" w:rsidP="00FB60E5">
            <w:pPr>
              <w:ind w:left="0"/>
              <w:rPr>
                <w:b w:val="0"/>
                <w:bCs w:val="0"/>
              </w:rPr>
            </w:pPr>
            <w:r w:rsidRPr="00FB60E5">
              <w:t>Living status</w:t>
            </w:r>
          </w:p>
        </w:tc>
      </w:tr>
      <w:tr w:rsidR="00CA7A60" w:rsidRPr="00FB60E5" w14:paraId="38A46FAF"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AB" w14:textId="77777777" w:rsidR="00CA7A60" w:rsidRPr="009D5847" w:rsidRDefault="00CA7A60" w:rsidP="00FB60E5">
            <w:pPr>
              <w:ind w:left="0"/>
              <w:rPr>
                <w:b w:val="0"/>
              </w:rPr>
            </w:pPr>
            <w:r w:rsidRPr="009D5847">
              <w:rPr>
                <w:b w:val="0"/>
              </w:rPr>
              <w:t>Lives alone (n=4434; 17.6%)</w:t>
            </w:r>
          </w:p>
        </w:tc>
        <w:tc>
          <w:tcPr>
            <w:tcW w:w="781" w:type="pct"/>
            <w:noWrap/>
            <w:hideMark/>
          </w:tcPr>
          <w:p w14:paraId="38A46FA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1136 (25.6%)</w:t>
            </w:r>
          </w:p>
        </w:tc>
        <w:tc>
          <w:tcPr>
            <w:tcW w:w="781" w:type="pct"/>
            <w:noWrap/>
            <w:hideMark/>
          </w:tcPr>
          <w:p w14:paraId="38A46FA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1127 (25.4%)</w:t>
            </w:r>
          </w:p>
        </w:tc>
        <w:tc>
          <w:tcPr>
            <w:tcW w:w="781" w:type="pct"/>
            <w:noWrap/>
            <w:hideMark/>
          </w:tcPr>
          <w:p w14:paraId="38A46FA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988 (22.3%)</w:t>
            </w:r>
          </w:p>
        </w:tc>
      </w:tr>
      <w:tr w:rsidR="00CA7A60" w:rsidRPr="00FB60E5" w14:paraId="38A46FB4"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B0" w14:textId="77777777" w:rsidR="00CA7A60" w:rsidRPr="009D5847" w:rsidRDefault="00CA7A60" w:rsidP="00FB60E5">
            <w:pPr>
              <w:ind w:left="0"/>
              <w:rPr>
                <w:b w:val="0"/>
              </w:rPr>
            </w:pPr>
            <w:r w:rsidRPr="009D5847">
              <w:rPr>
                <w:b w:val="0"/>
              </w:rPr>
              <w:t>Lives with family (n=13486; 53.5%)</w:t>
            </w:r>
          </w:p>
        </w:tc>
        <w:tc>
          <w:tcPr>
            <w:tcW w:w="781" w:type="pct"/>
            <w:noWrap/>
            <w:hideMark/>
          </w:tcPr>
          <w:p w14:paraId="38A46F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2692 (20.0%)</w:t>
            </w:r>
          </w:p>
        </w:tc>
        <w:tc>
          <w:tcPr>
            <w:tcW w:w="781" w:type="pct"/>
            <w:noWrap/>
            <w:hideMark/>
          </w:tcPr>
          <w:p w14:paraId="38A46FB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2681 (19.9%)</w:t>
            </w:r>
          </w:p>
        </w:tc>
        <w:tc>
          <w:tcPr>
            <w:tcW w:w="781" w:type="pct"/>
            <w:noWrap/>
            <w:hideMark/>
          </w:tcPr>
          <w:p w14:paraId="38A46FB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2537 (18.8%)</w:t>
            </w:r>
          </w:p>
        </w:tc>
      </w:tr>
      <w:tr w:rsidR="00CA7A60" w:rsidRPr="00FB60E5" w14:paraId="38A46FB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B5" w14:textId="77777777" w:rsidR="00CA7A60" w:rsidRPr="009D5847" w:rsidRDefault="00CA7A60" w:rsidP="00FB60E5">
            <w:pPr>
              <w:ind w:left="0"/>
              <w:rPr>
                <w:b w:val="0"/>
              </w:rPr>
            </w:pPr>
            <w:r w:rsidRPr="009D5847">
              <w:rPr>
                <w:b w:val="0"/>
              </w:rPr>
              <w:t>Lives with others (n=5455; 21.6%)</w:t>
            </w:r>
          </w:p>
        </w:tc>
        <w:tc>
          <w:tcPr>
            <w:tcW w:w="781" w:type="pct"/>
            <w:noWrap/>
            <w:hideMark/>
          </w:tcPr>
          <w:p w14:paraId="38A46FB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1185 (21.7%)</w:t>
            </w:r>
          </w:p>
        </w:tc>
        <w:tc>
          <w:tcPr>
            <w:tcW w:w="781" w:type="pct"/>
            <w:noWrap/>
            <w:hideMark/>
          </w:tcPr>
          <w:p w14:paraId="38A46FB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1173 (21.5%)</w:t>
            </w:r>
          </w:p>
        </w:tc>
        <w:tc>
          <w:tcPr>
            <w:tcW w:w="781" w:type="pct"/>
            <w:noWrap/>
            <w:hideMark/>
          </w:tcPr>
          <w:p w14:paraId="38A46FB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1116 (20.5%)</w:t>
            </w:r>
          </w:p>
        </w:tc>
      </w:tr>
      <w:tr w:rsidR="00CA7A60" w:rsidRPr="00FB60E5" w14:paraId="38A46FBE"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BA" w14:textId="77777777" w:rsidR="00CA7A60" w:rsidRPr="009D5847" w:rsidRDefault="00CA7A60" w:rsidP="00FB60E5">
            <w:pPr>
              <w:ind w:left="0"/>
              <w:rPr>
                <w:b w:val="0"/>
              </w:rPr>
            </w:pPr>
            <w:r w:rsidRPr="009D5847">
              <w:rPr>
                <w:b w:val="0"/>
              </w:rPr>
              <w:lastRenderedPageBreak/>
              <w:t>Unknown (n=1854; 7.3%)</w:t>
            </w:r>
          </w:p>
        </w:tc>
        <w:tc>
          <w:tcPr>
            <w:tcW w:w="781" w:type="pct"/>
            <w:noWrap/>
            <w:hideMark/>
          </w:tcPr>
          <w:p w14:paraId="38A46F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354 (19.1%)</w:t>
            </w:r>
          </w:p>
        </w:tc>
        <w:tc>
          <w:tcPr>
            <w:tcW w:w="781" w:type="pct"/>
            <w:noWrap/>
            <w:hideMark/>
          </w:tcPr>
          <w:p w14:paraId="38A46FB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320 (17.3%)</w:t>
            </w:r>
          </w:p>
        </w:tc>
        <w:tc>
          <w:tcPr>
            <w:tcW w:w="781" w:type="pct"/>
            <w:noWrap/>
            <w:hideMark/>
          </w:tcPr>
          <w:p w14:paraId="38A46FB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342 (18.4%)</w:t>
            </w:r>
          </w:p>
        </w:tc>
      </w:tr>
      <w:tr w:rsidR="009D5847" w:rsidRPr="00FB60E5" w14:paraId="38A46FC2"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C1" w14:textId="0088BFCD" w:rsidR="009D5847" w:rsidRPr="00FB60E5" w:rsidRDefault="009D5847" w:rsidP="00FB60E5">
            <w:pPr>
              <w:ind w:left="0"/>
            </w:pPr>
            <w:r w:rsidRPr="00FB60E5">
              <w:t>Accommodation status</w:t>
            </w:r>
          </w:p>
        </w:tc>
      </w:tr>
      <w:tr w:rsidR="00CA7A60" w:rsidRPr="00FB60E5" w14:paraId="38A46FC7"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C3" w14:textId="77777777" w:rsidR="00CA7A60" w:rsidRPr="009D5847" w:rsidRDefault="00CA7A60" w:rsidP="00FB60E5">
            <w:pPr>
              <w:ind w:left="0"/>
              <w:rPr>
                <w:b w:val="0"/>
              </w:rPr>
            </w:pPr>
            <w:r w:rsidRPr="009D5847">
              <w:rPr>
                <w:b w:val="0"/>
              </w:rPr>
              <w:t>Private residence (n=18325; 72.6%)</w:t>
            </w:r>
          </w:p>
        </w:tc>
        <w:tc>
          <w:tcPr>
            <w:tcW w:w="781" w:type="pct"/>
            <w:noWrap/>
            <w:hideMark/>
          </w:tcPr>
          <w:p w14:paraId="38A46FC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3863 (21.1%)</w:t>
            </w:r>
          </w:p>
        </w:tc>
        <w:tc>
          <w:tcPr>
            <w:tcW w:w="781" w:type="pct"/>
            <w:noWrap/>
            <w:hideMark/>
          </w:tcPr>
          <w:p w14:paraId="38A46FC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3860 (21.1%)</w:t>
            </w:r>
          </w:p>
        </w:tc>
        <w:tc>
          <w:tcPr>
            <w:tcW w:w="781" w:type="pct"/>
            <w:noWrap/>
            <w:hideMark/>
          </w:tcPr>
          <w:p w14:paraId="38A46FC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3575 (19.5%)</w:t>
            </w:r>
          </w:p>
        </w:tc>
      </w:tr>
      <w:tr w:rsidR="00CA7A60" w:rsidRPr="00FB60E5" w14:paraId="38A46FCC"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C8" w14:textId="77777777" w:rsidR="00CA7A60" w:rsidRPr="009D5847" w:rsidRDefault="00CA7A60" w:rsidP="00FB60E5">
            <w:pPr>
              <w:ind w:left="0"/>
              <w:rPr>
                <w:b w:val="0"/>
              </w:rPr>
            </w:pPr>
            <w:r w:rsidRPr="009D5847">
              <w:rPr>
                <w:b w:val="0"/>
              </w:rPr>
              <w:t>Unstable (n=2456; 9.7%)</w:t>
            </w:r>
          </w:p>
        </w:tc>
        <w:tc>
          <w:tcPr>
            <w:tcW w:w="781" w:type="pct"/>
            <w:noWrap/>
            <w:hideMark/>
          </w:tcPr>
          <w:p w14:paraId="38A46FC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641 (26.1%)</w:t>
            </w:r>
          </w:p>
        </w:tc>
        <w:tc>
          <w:tcPr>
            <w:tcW w:w="781" w:type="pct"/>
            <w:noWrap/>
            <w:hideMark/>
          </w:tcPr>
          <w:p w14:paraId="38A46FC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644 (26.2%)</w:t>
            </w:r>
          </w:p>
        </w:tc>
        <w:tc>
          <w:tcPr>
            <w:tcW w:w="781" w:type="pct"/>
            <w:noWrap/>
            <w:hideMark/>
          </w:tcPr>
          <w:p w14:paraId="38A46FC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565 (23.0%)</w:t>
            </w:r>
          </w:p>
        </w:tc>
      </w:tr>
      <w:tr w:rsidR="00CA7A60" w:rsidRPr="00FB60E5" w14:paraId="38A46FD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CD" w14:textId="77777777" w:rsidR="00CA7A60" w:rsidRPr="009D5847" w:rsidRDefault="00CA7A60" w:rsidP="00FB60E5">
            <w:pPr>
              <w:ind w:left="0"/>
              <w:rPr>
                <w:b w:val="0"/>
              </w:rPr>
            </w:pPr>
            <w:r w:rsidRPr="009D5847">
              <w:rPr>
                <w:b w:val="0"/>
              </w:rPr>
              <w:t>In custody (n=1253; 5.0%)</w:t>
            </w:r>
          </w:p>
        </w:tc>
        <w:tc>
          <w:tcPr>
            <w:tcW w:w="781" w:type="pct"/>
            <w:noWrap/>
            <w:hideMark/>
          </w:tcPr>
          <w:p w14:paraId="38A46FC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221 (17.6%)</w:t>
            </w:r>
          </w:p>
        </w:tc>
        <w:tc>
          <w:tcPr>
            <w:tcW w:w="781" w:type="pct"/>
            <w:noWrap/>
            <w:hideMark/>
          </w:tcPr>
          <w:p w14:paraId="38A46F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193 (15.4%)</w:t>
            </w:r>
          </w:p>
        </w:tc>
        <w:tc>
          <w:tcPr>
            <w:tcW w:w="781" w:type="pct"/>
            <w:noWrap/>
            <w:hideMark/>
          </w:tcPr>
          <w:p w14:paraId="38A46FD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228 (18.2%)</w:t>
            </w:r>
          </w:p>
        </w:tc>
      </w:tr>
      <w:tr w:rsidR="00CA7A60" w:rsidRPr="00FB60E5" w14:paraId="38A46FD6"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D2" w14:textId="77777777" w:rsidR="00CA7A60" w:rsidRPr="009D5847" w:rsidRDefault="00CA7A60" w:rsidP="00FB60E5">
            <w:pPr>
              <w:ind w:left="0"/>
              <w:rPr>
                <w:b w:val="0"/>
              </w:rPr>
            </w:pPr>
            <w:r w:rsidRPr="009D5847">
              <w:rPr>
                <w:b w:val="0"/>
              </w:rPr>
              <w:t>Other (n=1148; 4.6%)</w:t>
            </w:r>
          </w:p>
        </w:tc>
        <w:tc>
          <w:tcPr>
            <w:tcW w:w="781" w:type="pct"/>
            <w:noWrap/>
            <w:hideMark/>
          </w:tcPr>
          <w:p w14:paraId="38A46FD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283 (24.7%)</w:t>
            </w:r>
          </w:p>
        </w:tc>
        <w:tc>
          <w:tcPr>
            <w:tcW w:w="781" w:type="pct"/>
            <w:noWrap/>
            <w:hideMark/>
          </w:tcPr>
          <w:p w14:paraId="38A46FD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263 (22.9%)</w:t>
            </w:r>
          </w:p>
        </w:tc>
        <w:tc>
          <w:tcPr>
            <w:tcW w:w="781" w:type="pct"/>
            <w:noWrap/>
            <w:hideMark/>
          </w:tcPr>
          <w:p w14:paraId="38A46FD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263 (22.9%)</w:t>
            </w:r>
          </w:p>
        </w:tc>
      </w:tr>
      <w:tr w:rsidR="00CA7A60" w:rsidRPr="00FB60E5" w14:paraId="38A46FDB"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D7" w14:textId="77777777" w:rsidR="00CA7A60" w:rsidRPr="009D5847" w:rsidRDefault="00CA7A60" w:rsidP="00FB60E5">
            <w:pPr>
              <w:ind w:left="0"/>
              <w:rPr>
                <w:b w:val="0"/>
              </w:rPr>
            </w:pPr>
            <w:r w:rsidRPr="009D5847">
              <w:rPr>
                <w:b w:val="0"/>
              </w:rPr>
              <w:t>Unknown (n=2047; 8.1%)</w:t>
            </w:r>
          </w:p>
        </w:tc>
        <w:tc>
          <w:tcPr>
            <w:tcW w:w="781" w:type="pct"/>
            <w:noWrap/>
            <w:hideMark/>
          </w:tcPr>
          <w:p w14:paraId="38A46FD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359 (17.5%)</w:t>
            </w:r>
          </w:p>
        </w:tc>
        <w:tc>
          <w:tcPr>
            <w:tcW w:w="781" w:type="pct"/>
            <w:noWrap/>
            <w:hideMark/>
          </w:tcPr>
          <w:p w14:paraId="38A46F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341 (16.7%)</w:t>
            </w:r>
          </w:p>
        </w:tc>
        <w:tc>
          <w:tcPr>
            <w:tcW w:w="781" w:type="pct"/>
            <w:noWrap/>
            <w:hideMark/>
          </w:tcPr>
          <w:p w14:paraId="38A46F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352 (17.2%)</w:t>
            </w:r>
          </w:p>
        </w:tc>
      </w:tr>
      <w:tr w:rsidR="009D5847" w:rsidRPr="00FB60E5" w14:paraId="38A46FDF"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DE" w14:textId="4A4DE94A" w:rsidR="009D5847" w:rsidRPr="009D5847" w:rsidRDefault="009D5847" w:rsidP="00FB60E5">
            <w:pPr>
              <w:ind w:left="0"/>
              <w:rPr>
                <w:b w:val="0"/>
                <w:bCs w:val="0"/>
              </w:rPr>
            </w:pPr>
            <w:r w:rsidRPr="00FB60E5">
              <w:t>Homeless status</w:t>
            </w:r>
          </w:p>
        </w:tc>
      </w:tr>
      <w:tr w:rsidR="00CA7A60" w:rsidRPr="00FB60E5" w14:paraId="38A46FE4"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E0" w14:textId="77777777" w:rsidR="00CA7A60" w:rsidRPr="009D5847" w:rsidRDefault="00CA7A60" w:rsidP="00FB60E5">
            <w:pPr>
              <w:ind w:left="0"/>
              <w:rPr>
                <w:b w:val="0"/>
              </w:rPr>
            </w:pPr>
            <w:r w:rsidRPr="009D5847">
              <w:rPr>
                <w:b w:val="0"/>
              </w:rPr>
              <w:t>Homeless (n=1186; 4.7%)</w:t>
            </w:r>
          </w:p>
        </w:tc>
        <w:tc>
          <w:tcPr>
            <w:tcW w:w="781" w:type="pct"/>
            <w:noWrap/>
            <w:hideMark/>
          </w:tcPr>
          <w:p w14:paraId="38A46FE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317 (26.7%)</w:t>
            </w:r>
          </w:p>
        </w:tc>
        <w:tc>
          <w:tcPr>
            <w:tcW w:w="781" w:type="pct"/>
            <w:noWrap/>
            <w:hideMark/>
          </w:tcPr>
          <w:p w14:paraId="38A46FE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331 (27.9%)</w:t>
            </w:r>
          </w:p>
        </w:tc>
        <w:tc>
          <w:tcPr>
            <w:tcW w:w="781" w:type="pct"/>
            <w:noWrap/>
            <w:hideMark/>
          </w:tcPr>
          <w:p w14:paraId="38A46FE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291 (24.5%)</w:t>
            </w:r>
          </w:p>
        </w:tc>
      </w:tr>
      <w:tr w:rsidR="00CA7A60" w:rsidRPr="00FB60E5" w14:paraId="38A46FE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E5" w14:textId="77777777" w:rsidR="00CA7A60" w:rsidRPr="009D5847" w:rsidRDefault="00CA7A60" w:rsidP="00FB60E5">
            <w:pPr>
              <w:ind w:left="0"/>
              <w:rPr>
                <w:b w:val="0"/>
              </w:rPr>
            </w:pPr>
            <w:r w:rsidRPr="009D5847">
              <w:rPr>
                <w:b w:val="0"/>
              </w:rPr>
              <w:t>Not homeless (n=23118; 91.6%)</w:t>
            </w:r>
          </w:p>
        </w:tc>
        <w:tc>
          <w:tcPr>
            <w:tcW w:w="781" w:type="pct"/>
            <w:noWrap/>
            <w:hideMark/>
          </w:tcPr>
          <w:p w14:paraId="38A46FE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4897 (21.2%)</w:t>
            </w:r>
          </w:p>
        </w:tc>
        <w:tc>
          <w:tcPr>
            <w:tcW w:w="781" w:type="pct"/>
            <w:noWrap/>
            <w:hideMark/>
          </w:tcPr>
          <w:p w14:paraId="38A46FE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4803 (20.8%)</w:t>
            </w:r>
          </w:p>
        </w:tc>
        <w:tc>
          <w:tcPr>
            <w:tcW w:w="781" w:type="pct"/>
            <w:noWrap/>
            <w:hideMark/>
          </w:tcPr>
          <w:p w14:paraId="38A46FE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4520 (19.6%)</w:t>
            </w:r>
          </w:p>
        </w:tc>
      </w:tr>
      <w:tr w:rsidR="00CA7A60" w:rsidRPr="00FB60E5" w14:paraId="38A46FEE"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EA" w14:textId="77777777" w:rsidR="00CA7A60" w:rsidRPr="009D5847" w:rsidRDefault="00CA7A60" w:rsidP="00FB60E5">
            <w:pPr>
              <w:ind w:left="0"/>
              <w:rPr>
                <w:b w:val="0"/>
              </w:rPr>
            </w:pPr>
            <w:r w:rsidRPr="009D5847">
              <w:rPr>
                <w:b w:val="0"/>
              </w:rPr>
              <w:t>Unknown (n=925; 3.7%)</w:t>
            </w:r>
          </w:p>
        </w:tc>
        <w:tc>
          <w:tcPr>
            <w:tcW w:w="781" w:type="pct"/>
            <w:noWrap/>
            <w:hideMark/>
          </w:tcPr>
          <w:p w14:paraId="38A46FE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153 (16.5%)</w:t>
            </w:r>
          </w:p>
        </w:tc>
        <w:tc>
          <w:tcPr>
            <w:tcW w:w="781" w:type="pct"/>
            <w:noWrap/>
            <w:hideMark/>
          </w:tcPr>
          <w:p w14:paraId="38A46FE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167 (18.1%)</w:t>
            </w:r>
          </w:p>
        </w:tc>
        <w:tc>
          <w:tcPr>
            <w:tcW w:w="781" w:type="pct"/>
            <w:noWrap/>
            <w:hideMark/>
          </w:tcPr>
          <w:p w14:paraId="38A46FE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172 (18.6%)</w:t>
            </w:r>
          </w:p>
        </w:tc>
      </w:tr>
      <w:tr w:rsidR="009D5847" w:rsidRPr="00FB60E5" w14:paraId="38A46FF3"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6FF2" w14:textId="1BCA4344" w:rsidR="009D5847" w:rsidRPr="00FB60E5" w:rsidRDefault="009D5847" w:rsidP="00FB60E5">
            <w:pPr>
              <w:ind w:left="0"/>
            </w:pPr>
            <w:r w:rsidRPr="00FB60E5">
              <w:t>Region</w:t>
            </w:r>
          </w:p>
        </w:tc>
      </w:tr>
      <w:tr w:rsidR="00CA7A60" w:rsidRPr="00FB60E5" w14:paraId="38A46FF8"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F4" w14:textId="77777777" w:rsidR="00CA7A60" w:rsidRPr="009D5847" w:rsidRDefault="00E502E4" w:rsidP="00FB60E5">
            <w:pPr>
              <w:ind w:left="0"/>
              <w:rPr>
                <w:b w:val="0"/>
              </w:rPr>
            </w:pPr>
            <w:r w:rsidRPr="009D5847">
              <w:rPr>
                <w:b w:val="0"/>
              </w:rPr>
              <w:t>Metropolitan</w:t>
            </w:r>
            <w:r w:rsidR="00CA7A60" w:rsidRPr="009D5847">
              <w:rPr>
                <w:b w:val="0"/>
              </w:rPr>
              <w:t xml:space="preserve"> Melbourne (n=12346; 48.9%)</w:t>
            </w:r>
          </w:p>
        </w:tc>
        <w:tc>
          <w:tcPr>
            <w:tcW w:w="781" w:type="pct"/>
            <w:noWrap/>
            <w:hideMark/>
          </w:tcPr>
          <w:p w14:paraId="38A46FF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2897 (23.5%)</w:t>
            </w:r>
          </w:p>
        </w:tc>
        <w:tc>
          <w:tcPr>
            <w:tcW w:w="781" w:type="pct"/>
            <w:noWrap/>
            <w:hideMark/>
          </w:tcPr>
          <w:p w14:paraId="38A46FF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2975 (24.1%)</w:t>
            </w:r>
          </w:p>
        </w:tc>
        <w:tc>
          <w:tcPr>
            <w:tcW w:w="781" w:type="pct"/>
            <w:noWrap/>
            <w:hideMark/>
          </w:tcPr>
          <w:p w14:paraId="38A46FF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2694 (21.8%)</w:t>
            </w:r>
          </w:p>
        </w:tc>
      </w:tr>
      <w:tr w:rsidR="00CA7A60" w:rsidRPr="00FB60E5" w14:paraId="38A46FFD"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F9" w14:textId="77777777" w:rsidR="00CA7A60" w:rsidRPr="009D5847" w:rsidRDefault="00CA7A60" w:rsidP="00FB60E5">
            <w:pPr>
              <w:ind w:left="0"/>
              <w:rPr>
                <w:b w:val="0"/>
              </w:rPr>
            </w:pPr>
            <w:r w:rsidRPr="009D5847">
              <w:rPr>
                <w:b w:val="0"/>
              </w:rPr>
              <w:t>Rest of V</w:t>
            </w:r>
            <w:r w:rsidR="004B5CD4" w:rsidRPr="009D5847">
              <w:rPr>
                <w:b w:val="0"/>
              </w:rPr>
              <w:t>ictoria</w:t>
            </w:r>
            <w:r w:rsidRPr="009D5847">
              <w:rPr>
                <w:b w:val="0"/>
              </w:rPr>
              <w:t xml:space="preserve"> (n=7875; 31.2%)</w:t>
            </w:r>
          </w:p>
        </w:tc>
        <w:tc>
          <w:tcPr>
            <w:tcW w:w="781" w:type="pct"/>
            <w:noWrap/>
            <w:hideMark/>
          </w:tcPr>
          <w:p w14:paraId="38A46FF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1498 (19.0%)</w:t>
            </w:r>
          </w:p>
        </w:tc>
        <w:tc>
          <w:tcPr>
            <w:tcW w:w="781" w:type="pct"/>
            <w:noWrap/>
            <w:hideMark/>
          </w:tcPr>
          <w:p w14:paraId="38A46FF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1481 (18.8%)</w:t>
            </w:r>
          </w:p>
        </w:tc>
        <w:tc>
          <w:tcPr>
            <w:tcW w:w="781" w:type="pct"/>
            <w:noWrap/>
            <w:hideMark/>
          </w:tcPr>
          <w:p w14:paraId="38A46FF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1409 (17.9%)</w:t>
            </w:r>
          </w:p>
        </w:tc>
      </w:tr>
      <w:tr w:rsidR="00CA7A60" w:rsidRPr="00FB60E5" w14:paraId="38A47002"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6FFE" w14:textId="77777777" w:rsidR="00CA7A60" w:rsidRPr="009D5847" w:rsidRDefault="00CA7A60" w:rsidP="00FB60E5">
            <w:pPr>
              <w:ind w:left="0"/>
              <w:rPr>
                <w:b w:val="0"/>
              </w:rPr>
            </w:pPr>
            <w:r w:rsidRPr="009D5847">
              <w:rPr>
                <w:b w:val="0"/>
              </w:rPr>
              <w:t>Interstate (n=438; 1.7%)</w:t>
            </w:r>
          </w:p>
        </w:tc>
        <w:tc>
          <w:tcPr>
            <w:tcW w:w="781" w:type="pct"/>
            <w:noWrap/>
            <w:hideMark/>
          </w:tcPr>
          <w:p w14:paraId="38A46FF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78 (17.8%)</w:t>
            </w:r>
          </w:p>
        </w:tc>
        <w:tc>
          <w:tcPr>
            <w:tcW w:w="781" w:type="pct"/>
            <w:noWrap/>
            <w:hideMark/>
          </w:tcPr>
          <w:p w14:paraId="38A4700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70 (16.0%)</w:t>
            </w:r>
          </w:p>
        </w:tc>
        <w:tc>
          <w:tcPr>
            <w:tcW w:w="781" w:type="pct"/>
            <w:noWrap/>
            <w:hideMark/>
          </w:tcPr>
          <w:p w14:paraId="38A4700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 (16.2%)</w:t>
            </w:r>
          </w:p>
        </w:tc>
      </w:tr>
      <w:tr w:rsidR="00CA7A60" w:rsidRPr="00FB60E5" w14:paraId="38A47007"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2657" w:type="pct"/>
            <w:noWrap/>
            <w:hideMark/>
          </w:tcPr>
          <w:p w14:paraId="38A47003" w14:textId="77777777" w:rsidR="00CA7A60" w:rsidRPr="009D5847" w:rsidRDefault="00CA7A60" w:rsidP="00FB60E5">
            <w:pPr>
              <w:ind w:left="0"/>
              <w:rPr>
                <w:b w:val="0"/>
              </w:rPr>
            </w:pPr>
            <w:r w:rsidRPr="009D5847">
              <w:rPr>
                <w:b w:val="0"/>
              </w:rPr>
              <w:t>Unknown (n=4570; 18.1%)</w:t>
            </w:r>
          </w:p>
        </w:tc>
        <w:tc>
          <w:tcPr>
            <w:tcW w:w="781" w:type="pct"/>
            <w:noWrap/>
            <w:hideMark/>
          </w:tcPr>
          <w:p w14:paraId="38A4700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894 (19.6%)</w:t>
            </w:r>
          </w:p>
        </w:tc>
        <w:tc>
          <w:tcPr>
            <w:tcW w:w="781" w:type="pct"/>
            <w:noWrap/>
            <w:hideMark/>
          </w:tcPr>
          <w:p w14:paraId="38A4700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775 (17.0%)</w:t>
            </w:r>
          </w:p>
        </w:tc>
        <w:tc>
          <w:tcPr>
            <w:tcW w:w="781" w:type="pct"/>
            <w:noWrap/>
            <w:hideMark/>
          </w:tcPr>
          <w:p w14:paraId="38A4700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809 (17.7%)</w:t>
            </w:r>
          </w:p>
        </w:tc>
      </w:tr>
    </w:tbl>
    <w:p w14:paraId="2F290086" w14:textId="77777777" w:rsidR="002C27A8" w:rsidRDefault="00BE3D19" w:rsidP="00FB60E5">
      <w:pPr>
        <w:ind w:left="0"/>
      </w:pPr>
      <w:r w:rsidRPr="00FB60E5">
        <w:fldChar w:fldCharType="begin"/>
      </w:r>
      <w:r w:rsidR="009F30FB" w:rsidRPr="00FB60E5">
        <w:instrText xml:space="preserve"> REF _Ref386866947 </w:instrText>
      </w:r>
      <w:r w:rsidR="00FB60E5" w:rsidRPr="00FB60E5">
        <w:instrText xml:space="preserve"> \* MERGEFORMAT </w:instrText>
      </w:r>
      <w:r w:rsidRPr="00FB60E5">
        <w:fldChar w:fldCharType="separate"/>
      </w:r>
      <w:r w:rsidR="00E150CA" w:rsidRPr="00FB60E5">
        <w:t>Table 4.16</w:t>
      </w:r>
      <w:r w:rsidRPr="00FB60E5">
        <w:fldChar w:fldCharType="end"/>
      </w:r>
      <w:r w:rsidR="00CA7A60" w:rsidRPr="00FB60E5">
        <w:t xml:space="preserve"> displays the service type and treatment characteristics of AOD clients by the pattern of hospitalisation from 2009/10 to 2011/12. In terms of service type, most AOD clients received counselling (47%), followed by brokerage (1</w:t>
      </w:r>
      <w:r w:rsidR="004B5CD4" w:rsidRPr="00FB60E5">
        <w:t>6</w:t>
      </w:r>
      <w:r w:rsidR="00CA7A60" w:rsidRPr="00FB60E5">
        <w:t>%) and other withdrawal services (10%). Overall, 74% had completed treatment when their treatment episode was terminated</w:t>
      </w:r>
      <w:r w:rsidR="002C27A8">
        <w:t>.</w:t>
      </w:r>
    </w:p>
    <w:p w14:paraId="38A4700A" w14:textId="382644C5" w:rsidR="00CA7A60" w:rsidRPr="00FB60E5" w:rsidRDefault="00CA7A60" w:rsidP="00FB60E5">
      <w:pPr>
        <w:ind w:left="0"/>
      </w:pPr>
      <w:r w:rsidRPr="00FB60E5">
        <w:t>There was some variability in patterns of hospital utilisation across service types, with over one-quarter of residential withdrawal clients, and just over ten per cent of outreach (1</w:t>
      </w:r>
      <w:r w:rsidR="004B5CD4" w:rsidRPr="00FB60E5">
        <w:t>4</w:t>
      </w:r>
      <w:r w:rsidRPr="00FB60E5">
        <w:t>%) and brokerage (1</w:t>
      </w:r>
      <w:r w:rsidR="004B5CD4" w:rsidRPr="00FB60E5">
        <w:t>3</w:t>
      </w:r>
      <w:r w:rsidRPr="00FB60E5">
        <w:t>%) clients presenting to hospital on multiple occasions over the three years presented.</w:t>
      </w:r>
    </w:p>
    <w:p w14:paraId="38A4700C" w14:textId="1C38432D" w:rsidR="00CA7A60" w:rsidRPr="00FB60E5" w:rsidRDefault="00BE3D19" w:rsidP="00FB60E5">
      <w:pPr>
        <w:ind w:left="0"/>
      </w:pPr>
      <w:r w:rsidRPr="00FB60E5">
        <w:fldChar w:fldCharType="begin"/>
      </w:r>
      <w:r w:rsidR="00CA7A60" w:rsidRPr="00FB60E5">
        <w:instrText xml:space="preserve"> REF _Ref387153687 \h </w:instrText>
      </w:r>
      <w:r w:rsidR="00FB60E5" w:rsidRPr="00FB60E5">
        <w:instrText xml:space="preserve"> \* MERGEFORMAT </w:instrText>
      </w:r>
      <w:r w:rsidRPr="00FB60E5">
        <w:fldChar w:fldCharType="separate"/>
      </w:r>
      <w:r w:rsidR="00E150CA" w:rsidRPr="00FB60E5">
        <w:t>Table 4.17</w:t>
      </w:r>
      <w:r w:rsidRPr="00FB60E5">
        <w:fldChar w:fldCharType="end"/>
      </w:r>
      <w:r w:rsidR="00CA7A60" w:rsidRPr="00FB60E5">
        <w:t xml:space="preserve"> shows service type and treatment characteristics for AOD clients by hospitalisation by year to show whether there was a change in hospital utilisation pre- and post-treatment. Proportions of pre-AOD treatment hospital admissions (2009/10) were higher than the proportions post-AOD treatment (2011/12) for all service types (with the exceptions of outreach and Aboriginal services), pharmacotherapy treatment types and treatment termination status reasons.</w:t>
      </w:r>
    </w:p>
    <w:p w14:paraId="38A4700D" w14:textId="77777777" w:rsidR="00CA7A60" w:rsidRPr="00FB60E5" w:rsidRDefault="00CA7A60" w:rsidP="00FB60E5">
      <w:pPr>
        <w:ind w:left="0"/>
        <w:sectPr w:rsidR="00CA7A60" w:rsidRPr="00FB60E5" w:rsidSect="00CA7A60">
          <w:pgSz w:w="11906" w:h="16838"/>
          <w:pgMar w:top="1440" w:right="1276" w:bottom="1440" w:left="1440" w:header="708" w:footer="595" w:gutter="0"/>
          <w:cols w:space="708"/>
          <w:docGrid w:linePitch="360"/>
        </w:sectPr>
      </w:pPr>
    </w:p>
    <w:p w14:paraId="38A4700E" w14:textId="699080C4" w:rsidR="00CA7A60" w:rsidRPr="00FB60E5" w:rsidRDefault="00CA7A60" w:rsidP="00552239">
      <w:pPr>
        <w:pStyle w:val="Caption"/>
      </w:pPr>
      <w:bookmarkStart w:id="271" w:name="_Ref386866947"/>
      <w:bookmarkStart w:id="272" w:name="_Toc387244640"/>
      <w:bookmarkStart w:id="273" w:name="_Toc531625813"/>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16</w:t>
      </w:r>
      <w:r w:rsidR="00552239">
        <w:fldChar w:fldCharType="end"/>
      </w:r>
      <w:bookmarkEnd w:id="271"/>
      <w:r w:rsidR="002C27A8">
        <w:t xml:space="preserve"> </w:t>
      </w:r>
      <w:r w:rsidR="004B5CD4" w:rsidRPr="00FB60E5">
        <w:t>Treatment</w:t>
      </w:r>
      <w:r w:rsidRPr="00FB60E5">
        <w:t xml:space="preserve"> type and treatment characteristics by admissions, 2009/10 to 2011/12</w:t>
      </w:r>
      <w:bookmarkEnd w:id="272"/>
      <w:bookmarkEnd w:id="273"/>
    </w:p>
    <w:tbl>
      <w:tblPr>
        <w:tblStyle w:val="LightList-Accent1"/>
        <w:tblW w:w="5000" w:type="pct"/>
        <w:tblLook w:val="04A0" w:firstRow="1" w:lastRow="0" w:firstColumn="1" w:lastColumn="0" w:noHBand="0" w:noVBand="1"/>
        <w:tblDescription w:val="Table 4.16 is a list of Treatment type and treatment characteristics by admissions, 2009/10 to 2011/12"/>
      </w:tblPr>
      <w:tblGrid>
        <w:gridCol w:w="4410"/>
        <w:gridCol w:w="1622"/>
        <w:gridCol w:w="1684"/>
        <w:gridCol w:w="1755"/>
        <w:gridCol w:w="1755"/>
        <w:gridCol w:w="2064"/>
        <w:gridCol w:w="884"/>
      </w:tblGrid>
      <w:tr w:rsidR="00CA7A60" w:rsidRPr="00FB60E5" w14:paraId="38A47011" w14:textId="77777777" w:rsidTr="009D584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6" w:type="pct"/>
            <w:vMerge w:val="restart"/>
            <w:hideMark/>
          </w:tcPr>
          <w:p w14:paraId="38A4700F" w14:textId="77777777" w:rsidR="00CA7A60" w:rsidRPr="00FB60E5" w:rsidRDefault="00CA7A60" w:rsidP="00FB60E5">
            <w:pPr>
              <w:ind w:left="0"/>
            </w:pPr>
            <w:r w:rsidRPr="00FB60E5">
              <w:t> </w:t>
            </w:r>
          </w:p>
        </w:tc>
        <w:tc>
          <w:tcPr>
            <w:tcW w:w="3444" w:type="pct"/>
            <w:gridSpan w:val="6"/>
            <w:noWrap/>
            <w:hideMark/>
          </w:tcPr>
          <w:p w14:paraId="38A47010" w14:textId="1E955216"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Number of AOD clients </w:t>
            </w:r>
          </w:p>
        </w:tc>
      </w:tr>
      <w:tr w:rsidR="00CA7A60" w:rsidRPr="00FB60E5" w14:paraId="38A47019" w14:textId="77777777" w:rsidTr="009D584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6" w:type="pct"/>
            <w:vMerge/>
            <w:hideMark/>
          </w:tcPr>
          <w:p w14:paraId="38A47012" w14:textId="77777777" w:rsidR="00CA7A60" w:rsidRPr="00FB60E5" w:rsidRDefault="00CA7A60" w:rsidP="00FB60E5">
            <w:pPr>
              <w:ind w:left="0"/>
            </w:pPr>
          </w:p>
        </w:tc>
        <w:tc>
          <w:tcPr>
            <w:tcW w:w="572" w:type="pct"/>
            <w:hideMark/>
          </w:tcPr>
          <w:p w14:paraId="38A47013"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No Admission (%)</w:t>
            </w:r>
          </w:p>
        </w:tc>
        <w:tc>
          <w:tcPr>
            <w:tcW w:w="594" w:type="pct"/>
            <w:hideMark/>
          </w:tcPr>
          <w:p w14:paraId="38A4701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only (%)</w:t>
            </w:r>
          </w:p>
        </w:tc>
        <w:tc>
          <w:tcPr>
            <w:tcW w:w="619" w:type="pct"/>
            <w:hideMark/>
          </w:tcPr>
          <w:p w14:paraId="38A4701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only (%)</w:t>
            </w:r>
          </w:p>
        </w:tc>
        <w:tc>
          <w:tcPr>
            <w:tcW w:w="619" w:type="pct"/>
            <w:hideMark/>
          </w:tcPr>
          <w:p w14:paraId="38A4701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only (%)</w:t>
            </w:r>
          </w:p>
        </w:tc>
        <w:tc>
          <w:tcPr>
            <w:tcW w:w="728" w:type="pct"/>
            <w:hideMark/>
          </w:tcPr>
          <w:p w14:paraId="38A4701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in multiple years (%)</w:t>
            </w:r>
          </w:p>
        </w:tc>
        <w:tc>
          <w:tcPr>
            <w:tcW w:w="312" w:type="pct"/>
            <w:hideMark/>
          </w:tcPr>
          <w:p w14:paraId="38A4701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p</w:t>
            </w:r>
          </w:p>
        </w:tc>
      </w:tr>
      <w:tr w:rsidR="00CA7A60" w:rsidRPr="00FB60E5" w14:paraId="38A4702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1A" w14:textId="77777777" w:rsidR="00CA7A60" w:rsidRPr="00FB60E5" w:rsidRDefault="00CA7A60" w:rsidP="00FB60E5">
            <w:pPr>
              <w:ind w:left="0"/>
            </w:pPr>
            <w:r w:rsidRPr="00FB60E5">
              <w:t>Total (n=25229)</w:t>
            </w:r>
          </w:p>
        </w:tc>
        <w:tc>
          <w:tcPr>
            <w:tcW w:w="572" w:type="pct"/>
            <w:noWrap/>
            <w:hideMark/>
          </w:tcPr>
          <w:p w14:paraId="38A4701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15119 (59.9%)</w:t>
            </w:r>
          </w:p>
        </w:tc>
        <w:tc>
          <w:tcPr>
            <w:tcW w:w="594" w:type="pct"/>
            <w:noWrap/>
            <w:hideMark/>
          </w:tcPr>
          <w:p w14:paraId="38A4701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2167 (8.6%)</w:t>
            </w:r>
          </w:p>
        </w:tc>
        <w:tc>
          <w:tcPr>
            <w:tcW w:w="619" w:type="pct"/>
            <w:noWrap/>
            <w:hideMark/>
          </w:tcPr>
          <w:p w14:paraId="38A4701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1929 (7.6%)</w:t>
            </w:r>
          </w:p>
        </w:tc>
        <w:tc>
          <w:tcPr>
            <w:tcW w:w="619" w:type="pct"/>
            <w:noWrap/>
            <w:hideMark/>
          </w:tcPr>
          <w:p w14:paraId="38A4701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1801 (7.1%)</w:t>
            </w:r>
          </w:p>
        </w:tc>
        <w:tc>
          <w:tcPr>
            <w:tcW w:w="728" w:type="pct"/>
            <w:noWrap/>
            <w:hideMark/>
          </w:tcPr>
          <w:p w14:paraId="38A470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4213 (16.7%)</w:t>
            </w:r>
          </w:p>
        </w:tc>
        <w:tc>
          <w:tcPr>
            <w:tcW w:w="312" w:type="pct"/>
            <w:noWrap/>
            <w:hideMark/>
          </w:tcPr>
          <w:p w14:paraId="38A470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 </w:t>
            </w:r>
          </w:p>
        </w:tc>
      </w:tr>
      <w:tr w:rsidR="009D5847" w:rsidRPr="00FB60E5" w14:paraId="38A4702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028" w14:textId="5E586B5D" w:rsidR="009D5847" w:rsidRPr="009D5847" w:rsidRDefault="009D5847" w:rsidP="00FB60E5">
            <w:pPr>
              <w:ind w:left="0"/>
              <w:rPr>
                <w:b w:val="0"/>
                <w:bCs w:val="0"/>
              </w:rPr>
            </w:pPr>
            <w:r w:rsidRPr="00FB60E5">
              <w:t>Treatment type</w:t>
            </w:r>
          </w:p>
        </w:tc>
      </w:tr>
      <w:tr w:rsidR="00CA7A60" w:rsidRPr="00FB60E5" w14:paraId="38A4703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2A" w14:textId="77777777" w:rsidR="00CA7A60" w:rsidRPr="009D5847" w:rsidRDefault="00CA7A60" w:rsidP="00FB60E5">
            <w:pPr>
              <w:ind w:left="0"/>
              <w:rPr>
                <w:b w:val="0"/>
              </w:rPr>
            </w:pPr>
            <w:r w:rsidRPr="009D5847">
              <w:rPr>
                <w:b w:val="0"/>
              </w:rPr>
              <w:t>Counselling (n=11919; 47.2%)</w:t>
            </w:r>
          </w:p>
        </w:tc>
        <w:tc>
          <w:tcPr>
            <w:tcW w:w="572" w:type="pct"/>
            <w:noWrap/>
            <w:hideMark/>
          </w:tcPr>
          <w:p w14:paraId="38A4702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7185 (60.3%)</w:t>
            </w:r>
          </w:p>
        </w:tc>
        <w:tc>
          <w:tcPr>
            <w:tcW w:w="594" w:type="pct"/>
            <w:noWrap/>
            <w:hideMark/>
          </w:tcPr>
          <w:p w14:paraId="38A4702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1015 (8.5%)</w:t>
            </w:r>
          </w:p>
        </w:tc>
        <w:tc>
          <w:tcPr>
            <w:tcW w:w="619" w:type="pct"/>
            <w:noWrap/>
            <w:hideMark/>
          </w:tcPr>
          <w:p w14:paraId="38A4702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940 (7.9%)</w:t>
            </w:r>
          </w:p>
        </w:tc>
        <w:tc>
          <w:tcPr>
            <w:tcW w:w="619" w:type="pct"/>
            <w:noWrap/>
            <w:hideMark/>
          </w:tcPr>
          <w:p w14:paraId="38A4702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822 (6.9%)</w:t>
            </w:r>
          </w:p>
        </w:tc>
        <w:tc>
          <w:tcPr>
            <w:tcW w:w="728" w:type="pct"/>
            <w:noWrap/>
            <w:hideMark/>
          </w:tcPr>
          <w:p w14:paraId="38A4702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1957 (16.4%)</w:t>
            </w:r>
          </w:p>
        </w:tc>
        <w:tc>
          <w:tcPr>
            <w:tcW w:w="312" w:type="pct"/>
            <w:noWrap/>
            <w:hideMark/>
          </w:tcPr>
          <w:p w14:paraId="38A4703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3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32" w14:textId="77777777" w:rsidR="00CA7A60" w:rsidRPr="009D5847" w:rsidRDefault="00CA7A60" w:rsidP="00FB60E5">
            <w:pPr>
              <w:ind w:left="0"/>
              <w:rPr>
                <w:b w:val="0"/>
              </w:rPr>
            </w:pPr>
            <w:r w:rsidRPr="009D5847">
              <w:rPr>
                <w:b w:val="0"/>
              </w:rPr>
              <w:t>Residential withdrawal (n=1962; 7.8%)</w:t>
            </w:r>
          </w:p>
        </w:tc>
        <w:tc>
          <w:tcPr>
            <w:tcW w:w="572" w:type="pct"/>
            <w:noWrap/>
            <w:hideMark/>
          </w:tcPr>
          <w:p w14:paraId="38A4703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997 (50.8%)</w:t>
            </w:r>
          </w:p>
        </w:tc>
        <w:tc>
          <w:tcPr>
            <w:tcW w:w="594" w:type="pct"/>
            <w:noWrap/>
            <w:hideMark/>
          </w:tcPr>
          <w:p w14:paraId="38A4703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172 (8.8%)</w:t>
            </w:r>
          </w:p>
        </w:tc>
        <w:tc>
          <w:tcPr>
            <w:tcW w:w="619" w:type="pct"/>
            <w:noWrap/>
            <w:hideMark/>
          </w:tcPr>
          <w:p w14:paraId="38A4703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150 (7.6%)</w:t>
            </w:r>
          </w:p>
        </w:tc>
        <w:tc>
          <w:tcPr>
            <w:tcW w:w="619" w:type="pct"/>
            <w:noWrap/>
            <w:hideMark/>
          </w:tcPr>
          <w:p w14:paraId="38A4703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139 (7.1%)</w:t>
            </w:r>
          </w:p>
        </w:tc>
        <w:tc>
          <w:tcPr>
            <w:tcW w:w="728" w:type="pct"/>
            <w:noWrap/>
            <w:hideMark/>
          </w:tcPr>
          <w:p w14:paraId="38A4703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504 (25.7%)</w:t>
            </w:r>
          </w:p>
        </w:tc>
        <w:tc>
          <w:tcPr>
            <w:tcW w:w="312" w:type="pct"/>
            <w:noWrap/>
            <w:hideMark/>
          </w:tcPr>
          <w:p w14:paraId="38A4703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4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3A" w14:textId="77777777" w:rsidR="00CA7A60" w:rsidRPr="009D5847" w:rsidRDefault="00CA7A60" w:rsidP="00FB60E5">
            <w:pPr>
              <w:ind w:left="0"/>
              <w:rPr>
                <w:b w:val="0"/>
              </w:rPr>
            </w:pPr>
            <w:r w:rsidRPr="009D5847">
              <w:rPr>
                <w:b w:val="0"/>
              </w:rPr>
              <w:t>Other withdrawal (n=2582; 10.2%)</w:t>
            </w:r>
          </w:p>
        </w:tc>
        <w:tc>
          <w:tcPr>
            <w:tcW w:w="572" w:type="pct"/>
            <w:noWrap/>
            <w:hideMark/>
          </w:tcPr>
          <w:p w14:paraId="38A4703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1495 (57.9%)</w:t>
            </w:r>
          </w:p>
        </w:tc>
        <w:tc>
          <w:tcPr>
            <w:tcW w:w="594" w:type="pct"/>
            <w:noWrap/>
            <w:hideMark/>
          </w:tcPr>
          <w:p w14:paraId="38A4703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216 (8.4%)</w:t>
            </w:r>
          </w:p>
        </w:tc>
        <w:tc>
          <w:tcPr>
            <w:tcW w:w="619" w:type="pct"/>
            <w:noWrap/>
            <w:hideMark/>
          </w:tcPr>
          <w:p w14:paraId="38A4703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217 (8.4%)</w:t>
            </w:r>
          </w:p>
        </w:tc>
        <w:tc>
          <w:tcPr>
            <w:tcW w:w="619" w:type="pct"/>
            <w:noWrap/>
            <w:hideMark/>
          </w:tcPr>
          <w:p w14:paraId="38A470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157 (6.1%)</w:t>
            </w:r>
          </w:p>
        </w:tc>
        <w:tc>
          <w:tcPr>
            <w:tcW w:w="728" w:type="pct"/>
            <w:noWrap/>
            <w:hideMark/>
          </w:tcPr>
          <w:p w14:paraId="38A470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497 (19.2%)</w:t>
            </w:r>
          </w:p>
        </w:tc>
        <w:tc>
          <w:tcPr>
            <w:tcW w:w="312" w:type="pct"/>
            <w:noWrap/>
            <w:hideMark/>
          </w:tcPr>
          <w:p w14:paraId="38A4704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4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42" w14:textId="77777777" w:rsidR="00CA7A60" w:rsidRPr="009D5847" w:rsidRDefault="00CA7A60" w:rsidP="00FB60E5">
            <w:pPr>
              <w:ind w:left="0"/>
              <w:rPr>
                <w:b w:val="0"/>
              </w:rPr>
            </w:pPr>
            <w:r w:rsidRPr="009D5847">
              <w:rPr>
                <w:b w:val="0"/>
              </w:rPr>
              <w:t>Outreach (n=2368; 9.4%)</w:t>
            </w:r>
          </w:p>
        </w:tc>
        <w:tc>
          <w:tcPr>
            <w:tcW w:w="572" w:type="pct"/>
            <w:noWrap/>
            <w:hideMark/>
          </w:tcPr>
          <w:p w14:paraId="38A4704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1486 (62.8%)</w:t>
            </w:r>
          </w:p>
        </w:tc>
        <w:tc>
          <w:tcPr>
            <w:tcW w:w="594" w:type="pct"/>
            <w:noWrap/>
            <w:hideMark/>
          </w:tcPr>
          <w:p w14:paraId="38A4704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198 (8.4%)</w:t>
            </w:r>
          </w:p>
        </w:tc>
        <w:tc>
          <w:tcPr>
            <w:tcW w:w="619" w:type="pct"/>
            <w:noWrap/>
            <w:hideMark/>
          </w:tcPr>
          <w:p w14:paraId="38A4704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167 (7.1%)</w:t>
            </w:r>
          </w:p>
        </w:tc>
        <w:tc>
          <w:tcPr>
            <w:tcW w:w="619" w:type="pct"/>
            <w:noWrap/>
            <w:hideMark/>
          </w:tcPr>
          <w:p w14:paraId="38A4704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195 (8.2%)</w:t>
            </w:r>
          </w:p>
        </w:tc>
        <w:tc>
          <w:tcPr>
            <w:tcW w:w="728" w:type="pct"/>
            <w:noWrap/>
            <w:hideMark/>
          </w:tcPr>
          <w:p w14:paraId="38A4704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322 (13.6%)</w:t>
            </w:r>
          </w:p>
        </w:tc>
        <w:tc>
          <w:tcPr>
            <w:tcW w:w="312" w:type="pct"/>
            <w:noWrap/>
            <w:hideMark/>
          </w:tcPr>
          <w:p w14:paraId="38A4704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5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4A" w14:textId="77777777" w:rsidR="00CA7A60" w:rsidRPr="009D5847" w:rsidRDefault="00CA7A60" w:rsidP="00FB60E5">
            <w:pPr>
              <w:ind w:left="0"/>
              <w:rPr>
                <w:b w:val="0"/>
              </w:rPr>
            </w:pPr>
            <w:r w:rsidRPr="009D5847">
              <w:rPr>
                <w:b w:val="0"/>
              </w:rPr>
              <w:t>Brokerage (n=3904; 15.5%)</w:t>
            </w:r>
          </w:p>
        </w:tc>
        <w:tc>
          <w:tcPr>
            <w:tcW w:w="572" w:type="pct"/>
            <w:noWrap/>
            <w:hideMark/>
          </w:tcPr>
          <w:p w14:paraId="38A4704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2443 (62.6%)</w:t>
            </w:r>
          </w:p>
        </w:tc>
        <w:tc>
          <w:tcPr>
            <w:tcW w:w="594" w:type="pct"/>
            <w:noWrap/>
            <w:hideMark/>
          </w:tcPr>
          <w:p w14:paraId="38A4704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381 (9.8%)</w:t>
            </w:r>
          </w:p>
        </w:tc>
        <w:tc>
          <w:tcPr>
            <w:tcW w:w="619" w:type="pct"/>
            <w:noWrap/>
            <w:hideMark/>
          </w:tcPr>
          <w:p w14:paraId="38A4704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272 (7.0%)</w:t>
            </w:r>
          </w:p>
        </w:tc>
        <w:tc>
          <w:tcPr>
            <w:tcW w:w="619" w:type="pct"/>
            <w:noWrap/>
            <w:hideMark/>
          </w:tcPr>
          <w:p w14:paraId="38A4704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314 (8.0%)</w:t>
            </w:r>
          </w:p>
        </w:tc>
        <w:tc>
          <w:tcPr>
            <w:tcW w:w="728" w:type="pct"/>
            <w:noWrap/>
            <w:hideMark/>
          </w:tcPr>
          <w:p w14:paraId="38A470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494 (12.7%)</w:t>
            </w:r>
          </w:p>
        </w:tc>
        <w:tc>
          <w:tcPr>
            <w:tcW w:w="312" w:type="pct"/>
            <w:noWrap/>
            <w:hideMark/>
          </w:tcPr>
          <w:p w14:paraId="38A470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5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52" w14:textId="77777777" w:rsidR="00CA7A60" w:rsidRPr="009D5847" w:rsidRDefault="00CA7A60" w:rsidP="00FB60E5">
            <w:pPr>
              <w:ind w:left="0"/>
              <w:rPr>
                <w:b w:val="0"/>
              </w:rPr>
            </w:pPr>
            <w:r w:rsidRPr="009D5847">
              <w:rPr>
                <w:b w:val="0"/>
              </w:rPr>
              <w:t>Aboriginal services (n=733; 2.9%)</w:t>
            </w:r>
          </w:p>
        </w:tc>
        <w:tc>
          <w:tcPr>
            <w:tcW w:w="572" w:type="pct"/>
            <w:noWrap/>
            <w:hideMark/>
          </w:tcPr>
          <w:p w14:paraId="38A4705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499 (68.1%)</w:t>
            </w:r>
          </w:p>
        </w:tc>
        <w:tc>
          <w:tcPr>
            <w:tcW w:w="594" w:type="pct"/>
            <w:noWrap/>
            <w:hideMark/>
          </w:tcPr>
          <w:p w14:paraId="38A4705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 (5.6%)</w:t>
            </w:r>
          </w:p>
        </w:tc>
        <w:tc>
          <w:tcPr>
            <w:tcW w:w="619" w:type="pct"/>
            <w:noWrap/>
            <w:hideMark/>
          </w:tcPr>
          <w:p w14:paraId="38A4705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 (5.6%)</w:t>
            </w:r>
          </w:p>
        </w:tc>
        <w:tc>
          <w:tcPr>
            <w:tcW w:w="619" w:type="pct"/>
            <w:noWrap/>
            <w:hideMark/>
          </w:tcPr>
          <w:p w14:paraId="38A4705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 (5.6%)</w:t>
            </w:r>
          </w:p>
        </w:tc>
        <w:tc>
          <w:tcPr>
            <w:tcW w:w="728" w:type="pct"/>
            <w:noWrap/>
            <w:hideMark/>
          </w:tcPr>
          <w:p w14:paraId="38A4705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111 (15.1%)</w:t>
            </w:r>
          </w:p>
        </w:tc>
        <w:tc>
          <w:tcPr>
            <w:tcW w:w="312" w:type="pct"/>
            <w:noWrap/>
            <w:hideMark/>
          </w:tcPr>
          <w:p w14:paraId="38A4705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6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5A" w14:textId="77777777" w:rsidR="00CA7A60" w:rsidRPr="009D5847" w:rsidRDefault="00CA7A60" w:rsidP="00FB60E5">
            <w:pPr>
              <w:ind w:left="0"/>
              <w:rPr>
                <w:b w:val="0"/>
              </w:rPr>
            </w:pPr>
            <w:r w:rsidRPr="009D5847">
              <w:rPr>
                <w:b w:val="0"/>
              </w:rPr>
              <w:t>Specialist pharmacotherapy (n=401; 1.6%)</w:t>
            </w:r>
          </w:p>
        </w:tc>
        <w:tc>
          <w:tcPr>
            <w:tcW w:w="572" w:type="pct"/>
            <w:noWrap/>
            <w:hideMark/>
          </w:tcPr>
          <w:p w14:paraId="38A470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208 (51.9%)</w:t>
            </w:r>
          </w:p>
        </w:tc>
        <w:tc>
          <w:tcPr>
            <w:tcW w:w="594" w:type="pct"/>
            <w:noWrap/>
            <w:hideMark/>
          </w:tcPr>
          <w:p w14:paraId="38A4705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 (8.7%)</w:t>
            </w:r>
          </w:p>
        </w:tc>
        <w:tc>
          <w:tcPr>
            <w:tcW w:w="619" w:type="pct"/>
            <w:noWrap/>
            <w:hideMark/>
          </w:tcPr>
          <w:p w14:paraId="38A4705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 (9.0%)</w:t>
            </w:r>
          </w:p>
        </w:tc>
        <w:tc>
          <w:tcPr>
            <w:tcW w:w="619" w:type="pct"/>
            <w:noWrap/>
            <w:hideMark/>
          </w:tcPr>
          <w:p w14:paraId="38A4705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 (7.5%)</w:t>
            </w:r>
          </w:p>
        </w:tc>
        <w:tc>
          <w:tcPr>
            <w:tcW w:w="728" w:type="pct"/>
            <w:noWrap/>
            <w:hideMark/>
          </w:tcPr>
          <w:p w14:paraId="38A4705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92 (22.9%)</w:t>
            </w:r>
          </w:p>
        </w:tc>
        <w:tc>
          <w:tcPr>
            <w:tcW w:w="312" w:type="pct"/>
            <w:noWrap/>
            <w:hideMark/>
          </w:tcPr>
          <w:p w14:paraId="38A4706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6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62" w14:textId="77777777" w:rsidR="00CA7A60" w:rsidRPr="009D5847" w:rsidRDefault="00CA7A60" w:rsidP="00FB60E5">
            <w:pPr>
              <w:ind w:left="0"/>
              <w:rPr>
                <w:b w:val="0"/>
              </w:rPr>
            </w:pPr>
            <w:r w:rsidRPr="009D5847">
              <w:rPr>
                <w:b w:val="0"/>
              </w:rPr>
              <w:t>Residential rehabilitation (n=176; 0.7%)</w:t>
            </w:r>
          </w:p>
        </w:tc>
        <w:tc>
          <w:tcPr>
            <w:tcW w:w="572" w:type="pct"/>
            <w:noWrap/>
            <w:hideMark/>
          </w:tcPr>
          <w:p w14:paraId="38A4706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103 (58.5%)</w:t>
            </w:r>
          </w:p>
        </w:tc>
        <w:tc>
          <w:tcPr>
            <w:tcW w:w="594" w:type="pct"/>
            <w:noWrap/>
            <w:hideMark/>
          </w:tcPr>
          <w:p w14:paraId="38A4706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(6.8%)</w:t>
            </w:r>
          </w:p>
        </w:tc>
        <w:tc>
          <w:tcPr>
            <w:tcW w:w="619" w:type="pct"/>
            <w:noWrap/>
            <w:hideMark/>
          </w:tcPr>
          <w:p w14:paraId="38A4706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 (8.5%)</w:t>
            </w:r>
          </w:p>
        </w:tc>
        <w:tc>
          <w:tcPr>
            <w:tcW w:w="619" w:type="pct"/>
            <w:noWrap/>
            <w:hideMark/>
          </w:tcPr>
          <w:p w14:paraId="38A4706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 (7.4%)</w:t>
            </w:r>
          </w:p>
        </w:tc>
        <w:tc>
          <w:tcPr>
            <w:tcW w:w="728" w:type="pct"/>
            <w:noWrap/>
            <w:hideMark/>
          </w:tcPr>
          <w:p w14:paraId="38A4706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 (18.8%)</w:t>
            </w:r>
          </w:p>
        </w:tc>
        <w:tc>
          <w:tcPr>
            <w:tcW w:w="312" w:type="pct"/>
            <w:noWrap/>
            <w:hideMark/>
          </w:tcPr>
          <w:p w14:paraId="38A470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7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6A" w14:textId="77777777" w:rsidR="00CA7A60" w:rsidRPr="009D5847" w:rsidRDefault="00CA7A60" w:rsidP="00FB60E5">
            <w:pPr>
              <w:ind w:left="0"/>
              <w:rPr>
                <w:b w:val="0"/>
              </w:rPr>
            </w:pPr>
            <w:r w:rsidRPr="009D5847">
              <w:rPr>
                <w:b w:val="0"/>
              </w:rPr>
              <w:t>Supported accommodation (n=269; 1.1%)</w:t>
            </w:r>
          </w:p>
        </w:tc>
        <w:tc>
          <w:tcPr>
            <w:tcW w:w="572" w:type="pct"/>
            <w:noWrap/>
            <w:hideMark/>
          </w:tcPr>
          <w:p w14:paraId="38A4706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139 (51.7%)</w:t>
            </w:r>
          </w:p>
        </w:tc>
        <w:tc>
          <w:tcPr>
            <w:tcW w:w="594" w:type="pct"/>
            <w:noWrap/>
            <w:hideMark/>
          </w:tcPr>
          <w:p w14:paraId="38A4706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 (13.4%)</w:t>
            </w:r>
          </w:p>
        </w:tc>
        <w:tc>
          <w:tcPr>
            <w:tcW w:w="619" w:type="pct"/>
            <w:noWrap/>
            <w:hideMark/>
          </w:tcPr>
          <w:p w14:paraId="38A4706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 (7.4%)</w:t>
            </w:r>
          </w:p>
        </w:tc>
        <w:tc>
          <w:tcPr>
            <w:tcW w:w="619" w:type="pct"/>
            <w:noWrap/>
            <w:hideMark/>
          </w:tcPr>
          <w:p w14:paraId="38A4706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 (10.0%)</w:t>
            </w:r>
          </w:p>
        </w:tc>
        <w:tc>
          <w:tcPr>
            <w:tcW w:w="728" w:type="pct"/>
            <w:noWrap/>
            <w:hideMark/>
          </w:tcPr>
          <w:p w14:paraId="38A470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 (17.5%)</w:t>
            </w:r>
          </w:p>
        </w:tc>
        <w:tc>
          <w:tcPr>
            <w:tcW w:w="312" w:type="pct"/>
            <w:noWrap/>
            <w:hideMark/>
          </w:tcPr>
          <w:p w14:paraId="38A470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7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72" w14:textId="77777777" w:rsidR="00CA7A60" w:rsidRPr="009D5847" w:rsidRDefault="00CA7A60" w:rsidP="00FB60E5">
            <w:pPr>
              <w:ind w:left="0"/>
              <w:rPr>
                <w:b w:val="0"/>
              </w:rPr>
            </w:pPr>
            <w:r w:rsidRPr="009D5847">
              <w:rPr>
                <w:b w:val="0"/>
              </w:rPr>
              <w:t>Post withdrawal linkage (n=256; 1.0%)</w:t>
            </w:r>
          </w:p>
        </w:tc>
        <w:tc>
          <w:tcPr>
            <w:tcW w:w="572" w:type="pct"/>
            <w:noWrap/>
            <w:hideMark/>
          </w:tcPr>
          <w:p w14:paraId="38A4707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171 (66.8%)</w:t>
            </w:r>
          </w:p>
        </w:tc>
        <w:tc>
          <w:tcPr>
            <w:tcW w:w="594" w:type="pct"/>
            <w:noWrap/>
            <w:hideMark/>
          </w:tcPr>
          <w:p w14:paraId="38A4707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(3.9%)</w:t>
            </w:r>
          </w:p>
        </w:tc>
        <w:tc>
          <w:tcPr>
            <w:tcW w:w="619" w:type="pct"/>
            <w:noWrap/>
            <w:hideMark/>
          </w:tcPr>
          <w:p w14:paraId="38A4707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 (5.1%)</w:t>
            </w:r>
          </w:p>
        </w:tc>
        <w:tc>
          <w:tcPr>
            <w:tcW w:w="619" w:type="pct"/>
            <w:noWrap/>
            <w:hideMark/>
          </w:tcPr>
          <w:p w14:paraId="38A4707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(4.7%)</w:t>
            </w:r>
          </w:p>
        </w:tc>
        <w:tc>
          <w:tcPr>
            <w:tcW w:w="728" w:type="pct"/>
            <w:noWrap/>
            <w:hideMark/>
          </w:tcPr>
          <w:p w14:paraId="38A4707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50 (19.5%)</w:t>
            </w:r>
          </w:p>
        </w:tc>
        <w:tc>
          <w:tcPr>
            <w:tcW w:w="312" w:type="pct"/>
            <w:noWrap/>
            <w:hideMark/>
          </w:tcPr>
          <w:p w14:paraId="38A4707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8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7A" w14:textId="77777777" w:rsidR="00CA7A60" w:rsidRPr="009D5847" w:rsidRDefault="00CA7A60" w:rsidP="00FB60E5">
            <w:pPr>
              <w:ind w:left="0"/>
              <w:rPr>
                <w:b w:val="0"/>
              </w:rPr>
            </w:pPr>
            <w:r w:rsidRPr="009D5847">
              <w:rPr>
                <w:b w:val="0"/>
              </w:rPr>
              <w:t>Other/unknown (n=659; 2.6%)</w:t>
            </w:r>
          </w:p>
        </w:tc>
        <w:tc>
          <w:tcPr>
            <w:tcW w:w="572" w:type="pct"/>
            <w:noWrap/>
            <w:hideMark/>
          </w:tcPr>
          <w:p w14:paraId="38A4707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393 (59.6%)</w:t>
            </w:r>
          </w:p>
        </w:tc>
        <w:tc>
          <w:tcPr>
            <w:tcW w:w="594" w:type="pct"/>
            <w:noWrap/>
            <w:hideMark/>
          </w:tcPr>
          <w:p w14:paraId="38A4707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 (7.7%)</w:t>
            </w:r>
          </w:p>
        </w:tc>
        <w:tc>
          <w:tcPr>
            <w:tcW w:w="619" w:type="pct"/>
            <w:noWrap/>
            <w:hideMark/>
          </w:tcPr>
          <w:p w14:paraId="38A4707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 (8.8%)</w:t>
            </w:r>
          </w:p>
        </w:tc>
        <w:tc>
          <w:tcPr>
            <w:tcW w:w="619" w:type="pct"/>
            <w:noWrap/>
            <w:hideMark/>
          </w:tcPr>
          <w:p w14:paraId="38A4707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 (7.7%)</w:t>
            </w:r>
          </w:p>
        </w:tc>
        <w:tc>
          <w:tcPr>
            <w:tcW w:w="728" w:type="pct"/>
            <w:noWrap/>
            <w:hideMark/>
          </w:tcPr>
          <w:p w14:paraId="38A4707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106 (16.1%)</w:t>
            </w:r>
          </w:p>
        </w:tc>
        <w:tc>
          <w:tcPr>
            <w:tcW w:w="312" w:type="pct"/>
            <w:noWrap/>
            <w:hideMark/>
          </w:tcPr>
          <w:p w14:paraId="38A47080" w14:textId="77777777" w:rsidR="00CA7A60"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9D5847" w:rsidRPr="00FB60E5" w14:paraId="38A4708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088" w14:textId="08269309" w:rsidR="009D5847" w:rsidRPr="00FB60E5" w:rsidRDefault="009D5847" w:rsidP="00FB60E5">
            <w:pPr>
              <w:ind w:left="0"/>
            </w:pPr>
            <w:r w:rsidRPr="00FB60E5">
              <w:t>Pharmacotherapy treatment</w:t>
            </w:r>
          </w:p>
        </w:tc>
      </w:tr>
      <w:tr w:rsidR="00CA7A60" w:rsidRPr="00FB60E5" w14:paraId="38A4709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8A" w14:textId="77777777" w:rsidR="00CA7A60" w:rsidRPr="009D5847" w:rsidRDefault="00CA7A60" w:rsidP="00FB60E5">
            <w:pPr>
              <w:ind w:left="0"/>
              <w:rPr>
                <w:b w:val="0"/>
              </w:rPr>
            </w:pPr>
            <w:r w:rsidRPr="009D5847">
              <w:rPr>
                <w:b w:val="0"/>
              </w:rPr>
              <w:t>Methadone (n=2166; 8.6%)</w:t>
            </w:r>
          </w:p>
        </w:tc>
        <w:tc>
          <w:tcPr>
            <w:tcW w:w="572" w:type="pct"/>
            <w:noWrap/>
            <w:hideMark/>
          </w:tcPr>
          <w:p w14:paraId="38A470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1207 (55.7%)</w:t>
            </w:r>
          </w:p>
        </w:tc>
        <w:tc>
          <w:tcPr>
            <w:tcW w:w="594" w:type="pct"/>
            <w:noWrap/>
            <w:hideMark/>
          </w:tcPr>
          <w:p w14:paraId="38A4708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205 (9.5%)</w:t>
            </w:r>
          </w:p>
        </w:tc>
        <w:tc>
          <w:tcPr>
            <w:tcW w:w="619" w:type="pct"/>
            <w:noWrap/>
            <w:hideMark/>
          </w:tcPr>
          <w:p w14:paraId="38A4708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194 (9.0%)</w:t>
            </w:r>
          </w:p>
        </w:tc>
        <w:tc>
          <w:tcPr>
            <w:tcW w:w="619" w:type="pct"/>
            <w:noWrap/>
            <w:hideMark/>
          </w:tcPr>
          <w:p w14:paraId="38A4708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180 (8.3%)</w:t>
            </w:r>
          </w:p>
        </w:tc>
        <w:tc>
          <w:tcPr>
            <w:tcW w:w="728" w:type="pct"/>
            <w:noWrap/>
            <w:hideMark/>
          </w:tcPr>
          <w:p w14:paraId="38A4708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380 (17.5%)</w:t>
            </w:r>
          </w:p>
        </w:tc>
        <w:tc>
          <w:tcPr>
            <w:tcW w:w="312" w:type="pct"/>
            <w:noWrap/>
            <w:hideMark/>
          </w:tcPr>
          <w:p w14:paraId="38A4709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9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92" w14:textId="77777777" w:rsidR="00CA7A60" w:rsidRPr="009D5847" w:rsidRDefault="00CA7A60" w:rsidP="00FB60E5">
            <w:pPr>
              <w:ind w:left="0"/>
              <w:rPr>
                <w:b w:val="0"/>
              </w:rPr>
            </w:pPr>
            <w:r w:rsidRPr="009D5847">
              <w:rPr>
                <w:b w:val="0"/>
              </w:rPr>
              <w:t>Buprenorphine (n=711; 2.8%)</w:t>
            </w:r>
          </w:p>
        </w:tc>
        <w:tc>
          <w:tcPr>
            <w:tcW w:w="572" w:type="pct"/>
            <w:noWrap/>
            <w:hideMark/>
          </w:tcPr>
          <w:p w14:paraId="38A4709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433 (60.9%)</w:t>
            </w:r>
          </w:p>
        </w:tc>
        <w:tc>
          <w:tcPr>
            <w:tcW w:w="594" w:type="pct"/>
            <w:noWrap/>
            <w:hideMark/>
          </w:tcPr>
          <w:p w14:paraId="38A4709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55 (7.7%)</w:t>
            </w:r>
          </w:p>
        </w:tc>
        <w:tc>
          <w:tcPr>
            <w:tcW w:w="619" w:type="pct"/>
            <w:noWrap/>
            <w:hideMark/>
          </w:tcPr>
          <w:p w14:paraId="38A4709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 (7.3%)</w:t>
            </w:r>
          </w:p>
        </w:tc>
        <w:tc>
          <w:tcPr>
            <w:tcW w:w="619" w:type="pct"/>
            <w:noWrap/>
            <w:hideMark/>
          </w:tcPr>
          <w:p w14:paraId="38A4709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47 (6.6%)</w:t>
            </w:r>
          </w:p>
        </w:tc>
        <w:tc>
          <w:tcPr>
            <w:tcW w:w="728" w:type="pct"/>
            <w:noWrap/>
            <w:hideMark/>
          </w:tcPr>
          <w:p w14:paraId="38A4709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124 (17.4%)</w:t>
            </w:r>
          </w:p>
        </w:tc>
        <w:tc>
          <w:tcPr>
            <w:tcW w:w="312" w:type="pct"/>
            <w:noWrap/>
            <w:hideMark/>
          </w:tcPr>
          <w:p w14:paraId="38A4709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A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9A" w14:textId="77777777" w:rsidR="00CA7A60" w:rsidRPr="009D5847" w:rsidRDefault="00CA7A60" w:rsidP="00FB60E5">
            <w:pPr>
              <w:ind w:left="0"/>
              <w:rPr>
                <w:b w:val="0"/>
              </w:rPr>
            </w:pPr>
            <w:r w:rsidRPr="009D5847">
              <w:rPr>
                <w:b w:val="0"/>
              </w:rPr>
              <w:t>Naltrexone (n=327; 1.3%)</w:t>
            </w:r>
          </w:p>
        </w:tc>
        <w:tc>
          <w:tcPr>
            <w:tcW w:w="572" w:type="pct"/>
            <w:noWrap/>
            <w:hideMark/>
          </w:tcPr>
          <w:p w14:paraId="38A4709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166 (50.8%)</w:t>
            </w:r>
          </w:p>
        </w:tc>
        <w:tc>
          <w:tcPr>
            <w:tcW w:w="594" w:type="pct"/>
            <w:noWrap/>
            <w:hideMark/>
          </w:tcPr>
          <w:p w14:paraId="38A4709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 (9.2%)</w:t>
            </w:r>
          </w:p>
        </w:tc>
        <w:tc>
          <w:tcPr>
            <w:tcW w:w="619" w:type="pct"/>
            <w:noWrap/>
            <w:hideMark/>
          </w:tcPr>
          <w:p w14:paraId="38A4709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27 (8.3%)</w:t>
            </w:r>
          </w:p>
        </w:tc>
        <w:tc>
          <w:tcPr>
            <w:tcW w:w="619" w:type="pct"/>
            <w:noWrap/>
            <w:hideMark/>
          </w:tcPr>
          <w:p w14:paraId="38A4709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 (7.3%)</w:t>
            </w:r>
          </w:p>
        </w:tc>
        <w:tc>
          <w:tcPr>
            <w:tcW w:w="728" w:type="pct"/>
            <w:noWrap/>
            <w:hideMark/>
          </w:tcPr>
          <w:p w14:paraId="38A4709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80 (24.5%)</w:t>
            </w:r>
          </w:p>
        </w:tc>
        <w:tc>
          <w:tcPr>
            <w:tcW w:w="312" w:type="pct"/>
            <w:noWrap/>
            <w:hideMark/>
          </w:tcPr>
          <w:p w14:paraId="38A470A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A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A2" w14:textId="77777777" w:rsidR="00CA7A60" w:rsidRPr="009D5847" w:rsidRDefault="00CA7A60" w:rsidP="00FB60E5">
            <w:pPr>
              <w:ind w:left="0"/>
              <w:rPr>
                <w:b w:val="0"/>
              </w:rPr>
            </w:pPr>
            <w:r w:rsidRPr="009D5847">
              <w:rPr>
                <w:b w:val="0"/>
              </w:rPr>
              <w:t>Other (n=1240; 4.9%)</w:t>
            </w:r>
          </w:p>
        </w:tc>
        <w:tc>
          <w:tcPr>
            <w:tcW w:w="572" w:type="pct"/>
            <w:noWrap/>
            <w:hideMark/>
          </w:tcPr>
          <w:p w14:paraId="38A470A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680 (54.8%)</w:t>
            </w:r>
          </w:p>
        </w:tc>
        <w:tc>
          <w:tcPr>
            <w:tcW w:w="594" w:type="pct"/>
            <w:noWrap/>
            <w:hideMark/>
          </w:tcPr>
          <w:p w14:paraId="38A470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106 (8.5%)</w:t>
            </w:r>
          </w:p>
        </w:tc>
        <w:tc>
          <w:tcPr>
            <w:tcW w:w="619" w:type="pct"/>
            <w:noWrap/>
            <w:hideMark/>
          </w:tcPr>
          <w:p w14:paraId="38A470A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113 (9.1%)</w:t>
            </w:r>
          </w:p>
        </w:tc>
        <w:tc>
          <w:tcPr>
            <w:tcW w:w="619" w:type="pct"/>
            <w:noWrap/>
            <w:hideMark/>
          </w:tcPr>
          <w:p w14:paraId="38A470A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77 (6.2%)</w:t>
            </w:r>
          </w:p>
        </w:tc>
        <w:tc>
          <w:tcPr>
            <w:tcW w:w="728" w:type="pct"/>
            <w:noWrap/>
            <w:hideMark/>
          </w:tcPr>
          <w:p w14:paraId="38A470A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264 (21.3%)</w:t>
            </w:r>
          </w:p>
        </w:tc>
        <w:tc>
          <w:tcPr>
            <w:tcW w:w="312" w:type="pct"/>
            <w:noWrap/>
            <w:hideMark/>
          </w:tcPr>
          <w:p w14:paraId="38A470A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B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AA" w14:textId="77777777" w:rsidR="00CA7A60" w:rsidRPr="009D5847" w:rsidRDefault="00CA7A60" w:rsidP="00FB60E5">
            <w:pPr>
              <w:ind w:left="0"/>
              <w:rPr>
                <w:b w:val="0"/>
              </w:rPr>
            </w:pPr>
            <w:r w:rsidRPr="009D5847">
              <w:rPr>
                <w:b w:val="0"/>
              </w:rPr>
              <w:t>None (n=20785; 82.4%)</w:t>
            </w:r>
          </w:p>
        </w:tc>
        <w:tc>
          <w:tcPr>
            <w:tcW w:w="572" w:type="pct"/>
            <w:noWrap/>
            <w:hideMark/>
          </w:tcPr>
          <w:p w14:paraId="38A470A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12633 (60.8%)</w:t>
            </w:r>
          </w:p>
        </w:tc>
        <w:tc>
          <w:tcPr>
            <w:tcW w:w="594" w:type="pct"/>
            <w:noWrap/>
            <w:hideMark/>
          </w:tcPr>
          <w:p w14:paraId="38A470A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1771 (8.5%)</w:t>
            </w:r>
          </w:p>
        </w:tc>
        <w:tc>
          <w:tcPr>
            <w:tcW w:w="619" w:type="pct"/>
            <w:noWrap/>
            <w:hideMark/>
          </w:tcPr>
          <w:p w14:paraId="38A470A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1543 (7.4%)</w:t>
            </w:r>
          </w:p>
        </w:tc>
        <w:tc>
          <w:tcPr>
            <w:tcW w:w="619" w:type="pct"/>
            <w:noWrap/>
            <w:hideMark/>
          </w:tcPr>
          <w:p w14:paraId="38A470A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1473 (7.1%)</w:t>
            </w:r>
          </w:p>
        </w:tc>
        <w:tc>
          <w:tcPr>
            <w:tcW w:w="728" w:type="pct"/>
            <w:noWrap/>
            <w:hideMark/>
          </w:tcPr>
          <w:p w14:paraId="38A470A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3365 (16.2%)</w:t>
            </w:r>
          </w:p>
        </w:tc>
        <w:tc>
          <w:tcPr>
            <w:tcW w:w="312" w:type="pct"/>
            <w:noWrap/>
            <w:hideMark/>
          </w:tcPr>
          <w:p w14:paraId="38A470B0" w14:textId="77777777" w:rsidR="00CA7A60"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9D5847" w:rsidRPr="00FB60E5" w14:paraId="38A470B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0B8" w14:textId="7F961127" w:rsidR="009D5847" w:rsidRPr="009D5847" w:rsidRDefault="009D5847" w:rsidP="00FB60E5">
            <w:pPr>
              <w:ind w:left="0"/>
              <w:rPr>
                <w:b w:val="0"/>
                <w:bCs w:val="0"/>
              </w:rPr>
            </w:pPr>
            <w:r w:rsidRPr="00FB60E5">
              <w:t>Treatment termination status</w:t>
            </w:r>
          </w:p>
        </w:tc>
      </w:tr>
      <w:tr w:rsidR="00CA7A60" w:rsidRPr="00FB60E5" w14:paraId="38A470C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BA" w14:textId="77777777" w:rsidR="00CA7A60" w:rsidRPr="009D5847" w:rsidRDefault="00CA7A60" w:rsidP="00FB60E5">
            <w:pPr>
              <w:ind w:left="0"/>
              <w:rPr>
                <w:b w:val="0"/>
              </w:rPr>
            </w:pPr>
            <w:r w:rsidRPr="009D5847">
              <w:rPr>
                <w:b w:val="0"/>
              </w:rPr>
              <w:t>Completed treatment (n=18690; 74.1%)</w:t>
            </w:r>
          </w:p>
        </w:tc>
        <w:tc>
          <w:tcPr>
            <w:tcW w:w="572" w:type="pct"/>
            <w:noWrap/>
            <w:hideMark/>
          </w:tcPr>
          <w:p w14:paraId="38A470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11304 (60.5%)</w:t>
            </w:r>
          </w:p>
        </w:tc>
        <w:tc>
          <w:tcPr>
            <w:tcW w:w="594" w:type="pct"/>
            <w:noWrap/>
            <w:hideMark/>
          </w:tcPr>
          <w:p w14:paraId="38A470B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1613 (8.6%)</w:t>
            </w:r>
          </w:p>
        </w:tc>
        <w:tc>
          <w:tcPr>
            <w:tcW w:w="619" w:type="pct"/>
            <w:noWrap/>
            <w:hideMark/>
          </w:tcPr>
          <w:p w14:paraId="38A470B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1434 (7.7%)</w:t>
            </w:r>
          </w:p>
        </w:tc>
        <w:tc>
          <w:tcPr>
            <w:tcW w:w="619" w:type="pct"/>
            <w:noWrap/>
            <w:hideMark/>
          </w:tcPr>
          <w:p w14:paraId="38A470B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1355 (7.2%)</w:t>
            </w:r>
          </w:p>
        </w:tc>
        <w:tc>
          <w:tcPr>
            <w:tcW w:w="728" w:type="pct"/>
            <w:noWrap/>
            <w:hideMark/>
          </w:tcPr>
          <w:p w14:paraId="38A470B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2984 (16.0%)</w:t>
            </w:r>
          </w:p>
        </w:tc>
        <w:tc>
          <w:tcPr>
            <w:tcW w:w="312" w:type="pct"/>
            <w:noWrap/>
            <w:hideMark/>
          </w:tcPr>
          <w:p w14:paraId="38A470C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0C9" w14:textId="77777777" w:rsidTr="009D5847">
        <w:trPr>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C2" w14:textId="77777777" w:rsidR="00CA7A60" w:rsidRPr="009D5847" w:rsidRDefault="00CA7A60" w:rsidP="00FB60E5">
            <w:pPr>
              <w:ind w:left="0"/>
              <w:rPr>
                <w:b w:val="0"/>
              </w:rPr>
            </w:pPr>
            <w:r w:rsidRPr="009D5847">
              <w:rPr>
                <w:b w:val="0"/>
              </w:rPr>
              <w:t>Not completed (n=6262; 24.8%)</w:t>
            </w:r>
          </w:p>
        </w:tc>
        <w:tc>
          <w:tcPr>
            <w:tcW w:w="572" w:type="pct"/>
            <w:noWrap/>
            <w:hideMark/>
          </w:tcPr>
          <w:p w14:paraId="38A470C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3651 (58.3%)</w:t>
            </w:r>
          </w:p>
        </w:tc>
        <w:tc>
          <w:tcPr>
            <w:tcW w:w="594" w:type="pct"/>
            <w:noWrap/>
            <w:hideMark/>
          </w:tcPr>
          <w:p w14:paraId="38A470C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529 (8.4%)</w:t>
            </w:r>
          </w:p>
        </w:tc>
        <w:tc>
          <w:tcPr>
            <w:tcW w:w="619" w:type="pct"/>
            <w:noWrap/>
            <w:hideMark/>
          </w:tcPr>
          <w:p w14:paraId="38A470C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471 (7.5%)</w:t>
            </w:r>
          </w:p>
        </w:tc>
        <w:tc>
          <w:tcPr>
            <w:tcW w:w="619" w:type="pct"/>
            <w:noWrap/>
            <w:hideMark/>
          </w:tcPr>
          <w:p w14:paraId="38A470C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428 (6.8%)</w:t>
            </w:r>
          </w:p>
        </w:tc>
        <w:tc>
          <w:tcPr>
            <w:tcW w:w="728" w:type="pct"/>
            <w:noWrap/>
            <w:hideMark/>
          </w:tcPr>
          <w:p w14:paraId="38A470C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1183 (18.9%)</w:t>
            </w:r>
          </w:p>
        </w:tc>
        <w:tc>
          <w:tcPr>
            <w:tcW w:w="312" w:type="pct"/>
            <w:noWrap/>
            <w:hideMark/>
          </w:tcPr>
          <w:p w14:paraId="38A470C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0D1" w14:textId="77777777" w:rsidTr="009D58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6" w:type="pct"/>
            <w:noWrap/>
            <w:hideMark/>
          </w:tcPr>
          <w:p w14:paraId="38A470CA" w14:textId="77777777" w:rsidR="00CA7A60" w:rsidRPr="009D5847" w:rsidRDefault="00CA7A60" w:rsidP="00FB60E5">
            <w:pPr>
              <w:ind w:left="0"/>
              <w:rPr>
                <w:b w:val="0"/>
              </w:rPr>
            </w:pPr>
            <w:r w:rsidRPr="009D5847">
              <w:rPr>
                <w:b w:val="0"/>
              </w:rPr>
              <w:t>Unknown (n=277; 1.1%)</w:t>
            </w:r>
          </w:p>
        </w:tc>
        <w:tc>
          <w:tcPr>
            <w:tcW w:w="572" w:type="pct"/>
            <w:noWrap/>
            <w:hideMark/>
          </w:tcPr>
          <w:p w14:paraId="38A470C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164 (59.2%)</w:t>
            </w:r>
          </w:p>
        </w:tc>
        <w:tc>
          <w:tcPr>
            <w:tcW w:w="594" w:type="pct"/>
            <w:noWrap/>
            <w:hideMark/>
          </w:tcPr>
          <w:p w14:paraId="38A470C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 (9.0%)</w:t>
            </w:r>
          </w:p>
        </w:tc>
        <w:tc>
          <w:tcPr>
            <w:tcW w:w="619" w:type="pct"/>
            <w:noWrap/>
            <w:hideMark/>
          </w:tcPr>
          <w:p w14:paraId="38A470C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 (8.7%)</w:t>
            </w:r>
          </w:p>
        </w:tc>
        <w:tc>
          <w:tcPr>
            <w:tcW w:w="619" w:type="pct"/>
            <w:noWrap/>
            <w:hideMark/>
          </w:tcPr>
          <w:p w14:paraId="38A470C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 (6.5%)</w:t>
            </w:r>
          </w:p>
        </w:tc>
        <w:tc>
          <w:tcPr>
            <w:tcW w:w="728" w:type="pct"/>
            <w:noWrap/>
            <w:hideMark/>
          </w:tcPr>
          <w:p w14:paraId="38A470C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 (16.6%)</w:t>
            </w:r>
          </w:p>
        </w:tc>
        <w:tc>
          <w:tcPr>
            <w:tcW w:w="312" w:type="pct"/>
            <w:noWrap/>
            <w:hideMark/>
          </w:tcPr>
          <w:p w14:paraId="38A470D0" w14:textId="77777777" w:rsidR="00CA7A60"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bl>
    <w:p w14:paraId="38A470D3" w14:textId="77777777" w:rsidR="00CA7A60" w:rsidRPr="00FB60E5" w:rsidRDefault="00CA7A60" w:rsidP="00FB60E5">
      <w:pPr>
        <w:ind w:left="0"/>
      </w:pPr>
    </w:p>
    <w:p w14:paraId="38A470D4" w14:textId="77777777" w:rsidR="00CA7A60" w:rsidRPr="00FB60E5" w:rsidRDefault="00CA7A60" w:rsidP="00FB60E5">
      <w:pPr>
        <w:ind w:left="0"/>
        <w:sectPr w:rsidR="00CA7A60" w:rsidRPr="00FB60E5" w:rsidSect="00CA7A60">
          <w:pgSz w:w="16838" w:h="11906" w:orient="landscape"/>
          <w:pgMar w:top="1276" w:right="1440" w:bottom="1440" w:left="1440" w:header="708" w:footer="595" w:gutter="0"/>
          <w:cols w:space="708"/>
          <w:docGrid w:linePitch="360"/>
        </w:sectPr>
      </w:pPr>
    </w:p>
    <w:p w14:paraId="38A470D5" w14:textId="66B47404" w:rsidR="00CA7A60" w:rsidRPr="00FB60E5" w:rsidRDefault="00CA7A60" w:rsidP="00552239">
      <w:pPr>
        <w:pStyle w:val="Caption"/>
      </w:pPr>
      <w:bookmarkStart w:id="274" w:name="_Ref387153687"/>
      <w:bookmarkStart w:id="275" w:name="_Toc387244641"/>
      <w:bookmarkStart w:id="276" w:name="_Toc531625814"/>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17</w:t>
      </w:r>
      <w:r w:rsidR="00552239">
        <w:fldChar w:fldCharType="end"/>
      </w:r>
      <w:bookmarkEnd w:id="274"/>
      <w:r w:rsidR="002C27A8">
        <w:t xml:space="preserve"> </w:t>
      </w:r>
      <w:r w:rsidR="004B5CD4" w:rsidRPr="00FB60E5">
        <w:t>Treatment</w:t>
      </w:r>
      <w:r w:rsidRPr="00FB60E5">
        <w:t xml:space="preserve"> type and treatment characteristics by admissions in 2009/10, 2010/11 and 2011/12</w:t>
      </w:r>
      <w:bookmarkEnd w:id="275"/>
      <w:bookmarkEnd w:id="276"/>
    </w:p>
    <w:tbl>
      <w:tblPr>
        <w:tblStyle w:val="LightList-Accent1"/>
        <w:tblW w:w="5000" w:type="pct"/>
        <w:tblLook w:val="04A0" w:firstRow="1" w:lastRow="0" w:firstColumn="1" w:lastColumn="0" w:noHBand="0" w:noVBand="1"/>
        <w:tblDescription w:val="Table 4.17 is a list of Treatment type and treatment characteristics by admissions in 2009/10, 2010/11 and 2011/12"/>
      </w:tblPr>
      <w:tblGrid>
        <w:gridCol w:w="4411"/>
        <w:gridCol w:w="1665"/>
        <w:gridCol w:w="1665"/>
        <w:gridCol w:w="1665"/>
      </w:tblGrid>
      <w:tr w:rsidR="00CA7A60" w:rsidRPr="00FB60E5" w14:paraId="38A470D8"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45" w:type="pct"/>
            <w:vMerge w:val="restart"/>
            <w:noWrap/>
            <w:hideMark/>
          </w:tcPr>
          <w:p w14:paraId="38A470D6" w14:textId="77777777" w:rsidR="00CA7A60" w:rsidRPr="00FB60E5" w:rsidRDefault="00CA7A60" w:rsidP="00FB60E5">
            <w:pPr>
              <w:ind w:left="0"/>
            </w:pPr>
            <w:r w:rsidRPr="00FB60E5">
              <w:t> </w:t>
            </w:r>
          </w:p>
        </w:tc>
        <w:tc>
          <w:tcPr>
            <w:tcW w:w="2655" w:type="pct"/>
            <w:gridSpan w:val="3"/>
            <w:noWrap/>
            <w:hideMark/>
          </w:tcPr>
          <w:p w14:paraId="38A470D7" w14:textId="076C65E5"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Number of AOD clients </w:t>
            </w:r>
          </w:p>
        </w:tc>
      </w:tr>
      <w:tr w:rsidR="00CA7A60" w:rsidRPr="00FB60E5" w14:paraId="38A470DD"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45" w:type="pct"/>
            <w:vMerge/>
            <w:hideMark/>
          </w:tcPr>
          <w:p w14:paraId="38A470D9" w14:textId="77777777" w:rsidR="00CA7A60" w:rsidRPr="00FB60E5" w:rsidRDefault="00CA7A60" w:rsidP="00FB60E5">
            <w:pPr>
              <w:ind w:left="0"/>
            </w:pPr>
          </w:p>
        </w:tc>
        <w:tc>
          <w:tcPr>
            <w:tcW w:w="885" w:type="pct"/>
            <w:hideMark/>
          </w:tcPr>
          <w:p w14:paraId="38A470DA"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885" w:type="pct"/>
            <w:hideMark/>
          </w:tcPr>
          <w:p w14:paraId="38A470DB"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885" w:type="pct"/>
            <w:hideMark/>
          </w:tcPr>
          <w:p w14:paraId="38A470DC"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0E2"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0DE" w14:textId="77777777" w:rsidR="00CA7A60" w:rsidRPr="00FB60E5" w:rsidRDefault="00CA7A60" w:rsidP="00FB60E5">
            <w:pPr>
              <w:ind w:left="0"/>
            </w:pPr>
            <w:r w:rsidRPr="00FB60E5">
              <w:t>Total (n=25229)</w:t>
            </w:r>
          </w:p>
        </w:tc>
        <w:tc>
          <w:tcPr>
            <w:tcW w:w="885" w:type="pct"/>
            <w:noWrap/>
            <w:hideMark/>
          </w:tcPr>
          <w:p w14:paraId="38A470D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5367 (21.3%)</w:t>
            </w:r>
          </w:p>
        </w:tc>
        <w:tc>
          <w:tcPr>
            <w:tcW w:w="885" w:type="pct"/>
            <w:noWrap/>
            <w:hideMark/>
          </w:tcPr>
          <w:p w14:paraId="38A470E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5301 (21.0%)</w:t>
            </w:r>
          </w:p>
        </w:tc>
        <w:tc>
          <w:tcPr>
            <w:tcW w:w="885" w:type="pct"/>
            <w:noWrap/>
            <w:hideMark/>
          </w:tcPr>
          <w:p w14:paraId="38A470E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4983 (19.8%)</w:t>
            </w:r>
          </w:p>
        </w:tc>
      </w:tr>
      <w:tr w:rsidR="009D5847" w:rsidRPr="00FB60E5" w14:paraId="38A470E6"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0E5" w14:textId="08A9B8A9" w:rsidR="009D5847" w:rsidRPr="00042CE9" w:rsidRDefault="009D5847" w:rsidP="00FB60E5">
            <w:pPr>
              <w:ind w:left="0"/>
              <w:rPr>
                <w:b w:val="0"/>
                <w:bCs w:val="0"/>
              </w:rPr>
            </w:pPr>
            <w:r w:rsidRPr="00FB60E5">
              <w:t>Treatment type</w:t>
            </w:r>
          </w:p>
        </w:tc>
      </w:tr>
      <w:tr w:rsidR="00CA7A60" w:rsidRPr="00FB60E5" w14:paraId="38A470EB"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0E7" w14:textId="77777777" w:rsidR="00CA7A60" w:rsidRPr="009D5847" w:rsidRDefault="00CA7A60" w:rsidP="00FB60E5">
            <w:pPr>
              <w:ind w:left="0"/>
              <w:rPr>
                <w:b w:val="0"/>
              </w:rPr>
            </w:pPr>
            <w:r w:rsidRPr="009D5847">
              <w:rPr>
                <w:b w:val="0"/>
              </w:rPr>
              <w:t>Counselling (n=11919; 47.2%)</w:t>
            </w:r>
          </w:p>
        </w:tc>
        <w:tc>
          <w:tcPr>
            <w:tcW w:w="885" w:type="pct"/>
            <w:noWrap/>
            <w:hideMark/>
          </w:tcPr>
          <w:p w14:paraId="38A470E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2514 (21.1%)</w:t>
            </w:r>
          </w:p>
        </w:tc>
        <w:tc>
          <w:tcPr>
            <w:tcW w:w="885" w:type="pct"/>
            <w:noWrap/>
            <w:hideMark/>
          </w:tcPr>
          <w:p w14:paraId="38A470E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2510 (21.1%)</w:t>
            </w:r>
          </w:p>
        </w:tc>
        <w:tc>
          <w:tcPr>
            <w:tcW w:w="885" w:type="pct"/>
            <w:noWrap/>
            <w:hideMark/>
          </w:tcPr>
          <w:p w14:paraId="38A470E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2284 (19.2%)</w:t>
            </w:r>
          </w:p>
        </w:tc>
      </w:tr>
      <w:tr w:rsidR="00CA7A60" w:rsidRPr="00FB60E5" w14:paraId="38A470F0"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0EC" w14:textId="77777777" w:rsidR="00CA7A60" w:rsidRPr="009D5847" w:rsidRDefault="00CA7A60" w:rsidP="00FB60E5">
            <w:pPr>
              <w:ind w:left="0"/>
              <w:rPr>
                <w:b w:val="0"/>
              </w:rPr>
            </w:pPr>
            <w:r w:rsidRPr="009D5847">
              <w:rPr>
                <w:b w:val="0"/>
              </w:rPr>
              <w:t>Residential withdrawal (n=1962; 7.8%)</w:t>
            </w:r>
          </w:p>
        </w:tc>
        <w:tc>
          <w:tcPr>
            <w:tcW w:w="885" w:type="pct"/>
            <w:noWrap/>
            <w:hideMark/>
          </w:tcPr>
          <w:p w14:paraId="38A470E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560 (28.5%)</w:t>
            </w:r>
          </w:p>
        </w:tc>
        <w:tc>
          <w:tcPr>
            <w:tcW w:w="885" w:type="pct"/>
            <w:noWrap/>
            <w:hideMark/>
          </w:tcPr>
          <w:p w14:paraId="38A470E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569 (29.0%)</w:t>
            </w:r>
          </w:p>
        </w:tc>
        <w:tc>
          <w:tcPr>
            <w:tcW w:w="885" w:type="pct"/>
            <w:noWrap/>
            <w:hideMark/>
          </w:tcPr>
          <w:p w14:paraId="38A470E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535 (27.3%)</w:t>
            </w:r>
          </w:p>
        </w:tc>
      </w:tr>
      <w:tr w:rsidR="00CA7A60" w:rsidRPr="00FB60E5" w14:paraId="38A470F5"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0F1" w14:textId="77777777" w:rsidR="00CA7A60" w:rsidRPr="009D5847" w:rsidRDefault="00CA7A60" w:rsidP="00FB60E5">
            <w:pPr>
              <w:ind w:left="0"/>
              <w:rPr>
                <w:b w:val="0"/>
              </w:rPr>
            </w:pPr>
            <w:r w:rsidRPr="009D5847">
              <w:rPr>
                <w:b w:val="0"/>
              </w:rPr>
              <w:t>Other withdrawal (n=2582; 10.2%)</w:t>
            </w:r>
          </w:p>
        </w:tc>
        <w:tc>
          <w:tcPr>
            <w:tcW w:w="885" w:type="pct"/>
            <w:noWrap/>
            <w:hideMark/>
          </w:tcPr>
          <w:p w14:paraId="38A470F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587 (22.7%)</w:t>
            </w:r>
          </w:p>
        </w:tc>
        <w:tc>
          <w:tcPr>
            <w:tcW w:w="885" w:type="pct"/>
            <w:noWrap/>
            <w:hideMark/>
          </w:tcPr>
          <w:p w14:paraId="38A470F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628 (24.3%)</w:t>
            </w:r>
          </w:p>
        </w:tc>
        <w:tc>
          <w:tcPr>
            <w:tcW w:w="885" w:type="pct"/>
            <w:noWrap/>
            <w:hideMark/>
          </w:tcPr>
          <w:p w14:paraId="38A470F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537 (20.8%)</w:t>
            </w:r>
          </w:p>
        </w:tc>
      </w:tr>
      <w:tr w:rsidR="00CA7A60" w:rsidRPr="00FB60E5" w14:paraId="38A470FA"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0F6" w14:textId="77777777" w:rsidR="00CA7A60" w:rsidRPr="009D5847" w:rsidRDefault="00CA7A60" w:rsidP="00FB60E5">
            <w:pPr>
              <w:ind w:left="0"/>
              <w:rPr>
                <w:b w:val="0"/>
              </w:rPr>
            </w:pPr>
            <w:r w:rsidRPr="009D5847">
              <w:rPr>
                <w:b w:val="0"/>
              </w:rPr>
              <w:t>Outreach (n=2368; 9.4%)</w:t>
            </w:r>
          </w:p>
        </w:tc>
        <w:tc>
          <w:tcPr>
            <w:tcW w:w="885" w:type="pct"/>
            <w:noWrap/>
            <w:hideMark/>
          </w:tcPr>
          <w:p w14:paraId="38A470F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425 (17.9%)</w:t>
            </w:r>
          </w:p>
        </w:tc>
        <w:tc>
          <w:tcPr>
            <w:tcW w:w="885" w:type="pct"/>
            <w:noWrap/>
            <w:hideMark/>
          </w:tcPr>
          <w:p w14:paraId="38A470F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418 (17.7%)</w:t>
            </w:r>
          </w:p>
        </w:tc>
        <w:tc>
          <w:tcPr>
            <w:tcW w:w="885" w:type="pct"/>
            <w:noWrap/>
            <w:hideMark/>
          </w:tcPr>
          <w:p w14:paraId="38A470F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435 (18.4%)</w:t>
            </w:r>
          </w:p>
        </w:tc>
      </w:tr>
      <w:tr w:rsidR="00CA7A60" w:rsidRPr="00FB60E5" w14:paraId="38A470FF"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0FB" w14:textId="77777777" w:rsidR="00CA7A60" w:rsidRPr="009D5847" w:rsidRDefault="00CA7A60" w:rsidP="00FB60E5">
            <w:pPr>
              <w:ind w:left="0"/>
              <w:rPr>
                <w:b w:val="0"/>
              </w:rPr>
            </w:pPr>
            <w:r w:rsidRPr="009D5847">
              <w:rPr>
                <w:b w:val="0"/>
              </w:rPr>
              <w:t>Brokerage (n=3904; 15.5%)</w:t>
            </w:r>
          </w:p>
        </w:tc>
        <w:tc>
          <w:tcPr>
            <w:tcW w:w="885" w:type="pct"/>
            <w:noWrap/>
            <w:hideMark/>
          </w:tcPr>
          <w:p w14:paraId="38A470F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755 (19.3%)</w:t>
            </w:r>
          </w:p>
        </w:tc>
        <w:tc>
          <w:tcPr>
            <w:tcW w:w="885" w:type="pct"/>
            <w:noWrap/>
            <w:hideMark/>
          </w:tcPr>
          <w:p w14:paraId="38A470F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645 (16.5%)</w:t>
            </w:r>
          </w:p>
        </w:tc>
        <w:tc>
          <w:tcPr>
            <w:tcW w:w="885" w:type="pct"/>
            <w:noWrap/>
            <w:hideMark/>
          </w:tcPr>
          <w:p w14:paraId="38A470F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679 (17.4%)</w:t>
            </w:r>
          </w:p>
        </w:tc>
      </w:tr>
      <w:tr w:rsidR="00CA7A60" w:rsidRPr="00FB60E5" w14:paraId="38A47104"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00" w14:textId="77777777" w:rsidR="00CA7A60" w:rsidRPr="009D5847" w:rsidRDefault="00CA7A60" w:rsidP="00FB60E5">
            <w:pPr>
              <w:ind w:left="0"/>
              <w:rPr>
                <w:b w:val="0"/>
              </w:rPr>
            </w:pPr>
            <w:r w:rsidRPr="009D5847">
              <w:rPr>
                <w:b w:val="0"/>
              </w:rPr>
              <w:t>Aboriginal services (n=733; 2.9%)</w:t>
            </w:r>
          </w:p>
        </w:tc>
        <w:tc>
          <w:tcPr>
            <w:tcW w:w="885" w:type="pct"/>
            <w:noWrap/>
            <w:hideMark/>
          </w:tcPr>
          <w:p w14:paraId="38A4710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114 (15.6%)</w:t>
            </w:r>
          </w:p>
        </w:tc>
        <w:tc>
          <w:tcPr>
            <w:tcW w:w="885" w:type="pct"/>
            <w:noWrap/>
            <w:hideMark/>
          </w:tcPr>
          <w:p w14:paraId="38A4710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134 (18.3%)</w:t>
            </w:r>
          </w:p>
        </w:tc>
        <w:tc>
          <w:tcPr>
            <w:tcW w:w="885" w:type="pct"/>
            <w:noWrap/>
            <w:hideMark/>
          </w:tcPr>
          <w:p w14:paraId="38A4710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130 (17.7%)</w:t>
            </w:r>
          </w:p>
        </w:tc>
      </w:tr>
      <w:tr w:rsidR="00CA7A60" w:rsidRPr="00FB60E5" w14:paraId="38A47109"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05" w14:textId="77777777" w:rsidR="00CA7A60" w:rsidRPr="009D5847" w:rsidRDefault="00CA7A60" w:rsidP="00FB60E5">
            <w:pPr>
              <w:ind w:left="0"/>
              <w:rPr>
                <w:b w:val="0"/>
              </w:rPr>
            </w:pPr>
            <w:r w:rsidRPr="009D5847">
              <w:rPr>
                <w:b w:val="0"/>
              </w:rPr>
              <w:t>Specialist pharmacotherapy (n=401; 1.6%)</w:t>
            </w:r>
          </w:p>
        </w:tc>
        <w:tc>
          <w:tcPr>
            <w:tcW w:w="885" w:type="pct"/>
            <w:noWrap/>
            <w:hideMark/>
          </w:tcPr>
          <w:p w14:paraId="38A4710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113 (28.2%)</w:t>
            </w:r>
          </w:p>
        </w:tc>
        <w:tc>
          <w:tcPr>
            <w:tcW w:w="885" w:type="pct"/>
            <w:noWrap/>
            <w:hideMark/>
          </w:tcPr>
          <w:p w14:paraId="38A4710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104 (25.9%)</w:t>
            </w:r>
          </w:p>
        </w:tc>
        <w:tc>
          <w:tcPr>
            <w:tcW w:w="885" w:type="pct"/>
            <w:noWrap/>
            <w:hideMark/>
          </w:tcPr>
          <w:p w14:paraId="38A4710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105 (26.2%)</w:t>
            </w:r>
          </w:p>
        </w:tc>
      </w:tr>
      <w:tr w:rsidR="00CA7A60" w:rsidRPr="00FB60E5" w14:paraId="38A4710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0A" w14:textId="77777777" w:rsidR="00CA7A60" w:rsidRPr="009D5847" w:rsidRDefault="00CA7A60" w:rsidP="00FB60E5">
            <w:pPr>
              <w:ind w:left="0"/>
              <w:rPr>
                <w:b w:val="0"/>
              </w:rPr>
            </w:pPr>
            <w:r w:rsidRPr="009D5847">
              <w:rPr>
                <w:b w:val="0"/>
              </w:rPr>
              <w:t>Residential rehabilitation (n=176; 0.7%)</w:t>
            </w:r>
          </w:p>
        </w:tc>
        <w:tc>
          <w:tcPr>
            <w:tcW w:w="885" w:type="pct"/>
            <w:noWrap/>
            <w:hideMark/>
          </w:tcPr>
          <w:p w14:paraId="38A4710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 (23.9%)</w:t>
            </w:r>
          </w:p>
        </w:tc>
        <w:tc>
          <w:tcPr>
            <w:tcW w:w="885" w:type="pct"/>
            <w:noWrap/>
            <w:hideMark/>
          </w:tcPr>
          <w:p w14:paraId="38A4710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37 (21.0%)</w:t>
            </w:r>
          </w:p>
        </w:tc>
        <w:tc>
          <w:tcPr>
            <w:tcW w:w="885" w:type="pct"/>
            <w:noWrap/>
            <w:hideMark/>
          </w:tcPr>
          <w:p w14:paraId="38A4710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 (19.3%)</w:t>
            </w:r>
          </w:p>
        </w:tc>
      </w:tr>
      <w:tr w:rsidR="00CA7A60" w:rsidRPr="00FB60E5" w14:paraId="38A47113"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0F" w14:textId="77777777" w:rsidR="00CA7A60" w:rsidRPr="009D5847" w:rsidRDefault="00CA7A60" w:rsidP="00FB60E5">
            <w:pPr>
              <w:ind w:left="0"/>
              <w:rPr>
                <w:b w:val="0"/>
              </w:rPr>
            </w:pPr>
            <w:r w:rsidRPr="009D5847">
              <w:rPr>
                <w:b w:val="0"/>
              </w:rPr>
              <w:t>Supported accommodation (n=269; 1.1%)</w:t>
            </w:r>
          </w:p>
        </w:tc>
        <w:tc>
          <w:tcPr>
            <w:tcW w:w="885" w:type="pct"/>
            <w:noWrap/>
            <w:hideMark/>
          </w:tcPr>
          <w:p w14:paraId="38A4711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73 (27.1%)</w:t>
            </w:r>
          </w:p>
        </w:tc>
        <w:tc>
          <w:tcPr>
            <w:tcW w:w="885" w:type="pct"/>
            <w:noWrap/>
            <w:hideMark/>
          </w:tcPr>
          <w:p w14:paraId="38A4711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59 (21.9%)</w:t>
            </w:r>
          </w:p>
        </w:tc>
        <w:tc>
          <w:tcPr>
            <w:tcW w:w="885" w:type="pct"/>
            <w:noWrap/>
            <w:hideMark/>
          </w:tcPr>
          <w:p w14:paraId="38A4711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 (23.4%)</w:t>
            </w:r>
          </w:p>
        </w:tc>
      </w:tr>
      <w:tr w:rsidR="00CA7A60" w:rsidRPr="00FB60E5" w14:paraId="38A47118"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14" w14:textId="77777777" w:rsidR="00CA7A60" w:rsidRPr="009D5847" w:rsidRDefault="00CA7A60" w:rsidP="00FB60E5">
            <w:pPr>
              <w:ind w:left="0"/>
              <w:rPr>
                <w:b w:val="0"/>
              </w:rPr>
            </w:pPr>
            <w:r w:rsidRPr="009D5847">
              <w:rPr>
                <w:b w:val="0"/>
              </w:rPr>
              <w:t>Post withdrawal linkage (n=256; 1.0%)</w:t>
            </w:r>
          </w:p>
        </w:tc>
        <w:tc>
          <w:tcPr>
            <w:tcW w:w="885" w:type="pct"/>
            <w:noWrap/>
            <w:hideMark/>
          </w:tcPr>
          <w:p w14:paraId="38A4711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49 (19.1%)</w:t>
            </w:r>
          </w:p>
        </w:tc>
        <w:tc>
          <w:tcPr>
            <w:tcW w:w="885" w:type="pct"/>
            <w:noWrap/>
            <w:hideMark/>
          </w:tcPr>
          <w:p w14:paraId="38A4711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53 (20.7%)</w:t>
            </w:r>
          </w:p>
        </w:tc>
        <w:tc>
          <w:tcPr>
            <w:tcW w:w="885" w:type="pct"/>
            <w:noWrap/>
            <w:hideMark/>
          </w:tcPr>
          <w:p w14:paraId="38A4711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49 (19.1%)</w:t>
            </w:r>
          </w:p>
        </w:tc>
      </w:tr>
      <w:tr w:rsidR="00CA7A60" w:rsidRPr="00FB60E5" w14:paraId="38A4711D"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19" w14:textId="77777777" w:rsidR="00CA7A60" w:rsidRPr="009D5847" w:rsidRDefault="00CA7A60" w:rsidP="00FB60E5">
            <w:pPr>
              <w:ind w:left="0"/>
              <w:rPr>
                <w:b w:val="0"/>
              </w:rPr>
            </w:pPr>
            <w:r w:rsidRPr="009D5847">
              <w:rPr>
                <w:b w:val="0"/>
              </w:rPr>
              <w:t>Other/unknown (n=659; 2.6%)</w:t>
            </w:r>
          </w:p>
        </w:tc>
        <w:tc>
          <w:tcPr>
            <w:tcW w:w="885" w:type="pct"/>
            <w:noWrap/>
            <w:hideMark/>
          </w:tcPr>
          <w:p w14:paraId="38A4711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135 (20.5%)</w:t>
            </w:r>
          </w:p>
        </w:tc>
        <w:tc>
          <w:tcPr>
            <w:tcW w:w="885" w:type="pct"/>
            <w:noWrap/>
            <w:hideMark/>
          </w:tcPr>
          <w:p w14:paraId="38A4711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144 (21.9%)</w:t>
            </w:r>
          </w:p>
        </w:tc>
        <w:tc>
          <w:tcPr>
            <w:tcW w:w="885" w:type="pct"/>
            <w:noWrap/>
            <w:hideMark/>
          </w:tcPr>
          <w:p w14:paraId="38A4711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132 (20.0%)</w:t>
            </w:r>
          </w:p>
        </w:tc>
      </w:tr>
      <w:tr w:rsidR="009D5847" w:rsidRPr="00FB60E5" w14:paraId="38A47120" w14:textId="77777777" w:rsidTr="009218C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11F" w14:textId="3AE9AC31" w:rsidR="009D5847" w:rsidRPr="00FB60E5" w:rsidRDefault="009D5847" w:rsidP="00FB60E5">
            <w:pPr>
              <w:ind w:left="0"/>
            </w:pPr>
            <w:r w:rsidRPr="00FB60E5">
              <w:t>Pharmacotherapy treatment</w:t>
            </w:r>
          </w:p>
        </w:tc>
      </w:tr>
      <w:tr w:rsidR="00CA7A60" w:rsidRPr="00FB60E5" w14:paraId="38A47125"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21" w14:textId="77777777" w:rsidR="00CA7A60" w:rsidRPr="009D5847" w:rsidRDefault="00CA7A60" w:rsidP="00FB60E5">
            <w:pPr>
              <w:ind w:left="0"/>
              <w:rPr>
                <w:b w:val="0"/>
              </w:rPr>
            </w:pPr>
            <w:r w:rsidRPr="009D5847">
              <w:rPr>
                <w:b w:val="0"/>
              </w:rPr>
              <w:t>Methadone (n=2166; 8.6%)</w:t>
            </w:r>
          </w:p>
        </w:tc>
        <w:tc>
          <w:tcPr>
            <w:tcW w:w="885" w:type="pct"/>
            <w:noWrap/>
            <w:hideMark/>
          </w:tcPr>
          <w:p w14:paraId="38A4712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496 (22.9%)</w:t>
            </w:r>
          </w:p>
        </w:tc>
        <w:tc>
          <w:tcPr>
            <w:tcW w:w="885" w:type="pct"/>
            <w:noWrap/>
            <w:hideMark/>
          </w:tcPr>
          <w:p w14:paraId="38A4712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495 (22.9%)</w:t>
            </w:r>
          </w:p>
        </w:tc>
        <w:tc>
          <w:tcPr>
            <w:tcW w:w="885" w:type="pct"/>
            <w:noWrap/>
            <w:hideMark/>
          </w:tcPr>
          <w:p w14:paraId="38A4712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456 (21.1%)</w:t>
            </w:r>
          </w:p>
        </w:tc>
      </w:tr>
      <w:tr w:rsidR="00CA7A60" w:rsidRPr="00FB60E5" w14:paraId="38A4712A"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26" w14:textId="77777777" w:rsidR="00CA7A60" w:rsidRPr="009D5847" w:rsidRDefault="00CA7A60" w:rsidP="00FB60E5">
            <w:pPr>
              <w:ind w:left="0"/>
              <w:rPr>
                <w:b w:val="0"/>
              </w:rPr>
            </w:pPr>
            <w:r w:rsidRPr="009D5847">
              <w:rPr>
                <w:b w:val="0"/>
              </w:rPr>
              <w:t>Buprenorphine (n=711; 2.8%)</w:t>
            </w:r>
          </w:p>
        </w:tc>
        <w:tc>
          <w:tcPr>
            <w:tcW w:w="885" w:type="pct"/>
            <w:noWrap/>
            <w:hideMark/>
          </w:tcPr>
          <w:p w14:paraId="38A4712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143 (20.1%)</w:t>
            </w:r>
          </w:p>
        </w:tc>
        <w:tc>
          <w:tcPr>
            <w:tcW w:w="885" w:type="pct"/>
            <w:noWrap/>
            <w:hideMark/>
          </w:tcPr>
          <w:p w14:paraId="38A4712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150 (21.1%)</w:t>
            </w:r>
          </w:p>
        </w:tc>
        <w:tc>
          <w:tcPr>
            <w:tcW w:w="885" w:type="pct"/>
            <w:noWrap/>
            <w:hideMark/>
          </w:tcPr>
          <w:p w14:paraId="38A4712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142 (20.0%)</w:t>
            </w:r>
          </w:p>
        </w:tc>
      </w:tr>
      <w:tr w:rsidR="00CA7A60" w:rsidRPr="00FB60E5" w14:paraId="38A4712F"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2B" w14:textId="77777777" w:rsidR="00CA7A60" w:rsidRPr="009D5847" w:rsidRDefault="00CA7A60" w:rsidP="00FB60E5">
            <w:pPr>
              <w:ind w:left="0"/>
              <w:rPr>
                <w:b w:val="0"/>
              </w:rPr>
            </w:pPr>
            <w:r w:rsidRPr="009D5847">
              <w:rPr>
                <w:b w:val="0"/>
              </w:rPr>
              <w:t>Naltrexone (n=327; 1.3%)</w:t>
            </w:r>
          </w:p>
        </w:tc>
        <w:tc>
          <w:tcPr>
            <w:tcW w:w="885" w:type="pct"/>
            <w:noWrap/>
            <w:hideMark/>
          </w:tcPr>
          <w:p w14:paraId="38A4712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97 (29.7%)</w:t>
            </w:r>
          </w:p>
        </w:tc>
        <w:tc>
          <w:tcPr>
            <w:tcW w:w="885" w:type="pct"/>
            <w:noWrap/>
            <w:hideMark/>
          </w:tcPr>
          <w:p w14:paraId="38A4712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96 (29.4%)</w:t>
            </w:r>
          </w:p>
        </w:tc>
        <w:tc>
          <w:tcPr>
            <w:tcW w:w="885" w:type="pct"/>
            <w:noWrap/>
            <w:hideMark/>
          </w:tcPr>
          <w:p w14:paraId="38A4712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85 (26.0%)</w:t>
            </w:r>
          </w:p>
        </w:tc>
      </w:tr>
      <w:tr w:rsidR="00CA7A60" w:rsidRPr="00FB60E5" w14:paraId="38A47134"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30" w14:textId="77777777" w:rsidR="00CA7A60" w:rsidRPr="009D5847" w:rsidRDefault="00CA7A60" w:rsidP="00FB60E5">
            <w:pPr>
              <w:ind w:left="0"/>
              <w:rPr>
                <w:b w:val="0"/>
              </w:rPr>
            </w:pPr>
            <w:r w:rsidRPr="009D5847">
              <w:rPr>
                <w:b w:val="0"/>
              </w:rPr>
              <w:t>Other (n=1240; 4.9%)</w:t>
            </w:r>
          </w:p>
        </w:tc>
        <w:tc>
          <w:tcPr>
            <w:tcW w:w="885" w:type="pct"/>
            <w:noWrap/>
            <w:hideMark/>
          </w:tcPr>
          <w:p w14:paraId="38A4713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317 (25.6%)</w:t>
            </w:r>
          </w:p>
        </w:tc>
        <w:tc>
          <w:tcPr>
            <w:tcW w:w="885" w:type="pct"/>
            <w:noWrap/>
            <w:hideMark/>
          </w:tcPr>
          <w:p w14:paraId="38A4713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322 (26.0%)</w:t>
            </w:r>
          </w:p>
        </w:tc>
        <w:tc>
          <w:tcPr>
            <w:tcW w:w="885" w:type="pct"/>
            <w:noWrap/>
            <w:hideMark/>
          </w:tcPr>
          <w:p w14:paraId="38A4713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287 (23.1%)</w:t>
            </w:r>
          </w:p>
        </w:tc>
      </w:tr>
      <w:tr w:rsidR="00CA7A60" w:rsidRPr="00FB60E5" w14:paraId="38A47139"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35" w14:textId="77777777" w:rsidR="00CA7A60" w:rsidRPr="009D5847" w:rsidRDefault="00CA7A60" w:rsidP="00FB60E5">
            <w:pPr>
              <w:ind w:left="0"/>
              <w:rPr>
                <w:b w:val="0"/>
              </w:rPr>
            </w:pPr>
            <w:r w:rsidRPr="009D5847">
              <w:rPr>
                <w:b w:val="0"/>
              </w:rPr>
              <w:t>None (n=20785; 82.4%)</w:t>
            </w:r>
          </w:p>
        </w:tc>
        <w:tc>
          <w:tcPr>
            <w:tcW w:w="885" w:type="pct"/>
            <w:noWrap/>
            <w:hideMark/>
          </w:tcPr>
          <w:p w14:paraId="38A4713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4314 (20.8%)</w:t>
            </w:r>
          </w:p>
        </w:tc>
        <w:tc>
          <w:tcPr>
            <w:tcW w:w="885" w:type="pct"/>
            <w:noWrap/>
            <w:hideMark/>
          </w:tcPr>
          <w:p w14:paraId="38A4713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4238 (20.4%)</w:t>
            </w:r>
          </w:p>
        </w:tc>
        <w:tc>
          <w:tcPr>
            <w:tcW w:w="885" w:type="pct"/>
            <w:noWrap/>
            <w:hideMark/>
          </w:tcPr>
          <w:p w14:paraId="38A4713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4013 (19.3%)</w:t>
            </w:r>
          </w:p>
        </w:tc>
      </w:tr>
      <w:tr w:rsidR="009D5847" w:rsidRPr="00FB60E5" w14:paraId="38A4713C" w14:textId="77777777" w:rsidTr="009218C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13B" w14:textId="177C7DBD" w:rsidR="009D5847" w:rsidRPr="009218C4" w:rsidRDefault="009D5847" w:rsidP="00FB60E5">
            <w:pPr>
              <w:ind w:left="0"/>
              <w:rPr>
                <w:b w:val="0"/>
                <w:bCs w:val="0"/>
              </w:rPr>
            </w:pPr>
            <w:r w:rsidRPr="00FB60E5">
              <w:t>Treatment termination status</w:t>
            </w:r>
          </w:p>
        </w:tc>
      </w:tr>
      <w:tr w:rsidR="00CA7A60" w:rsidRPr="00FB60E5" w14:paraId="38A47141"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3D" w14:textId="77777777" w:rsidR="00CA7A60" w:rsidRPr="009D5847" w:rsidRDefault="00CA7A60" w:rsidP="00FB60E5">
            <w:pPr>
              <w:ind w:left="0"/>
              <w:rPr>
                <w:b w:val="0"/>
              </w:rPr>
            </w:pPr>
            <w:r w:rsidRPr="009D5847">
              <w:rPr>
                <w:b w:val="0"/>
              </w:rPr>
              <w:t>Completed treatment (n=18690; 74.1%)</w:t>
            </w:r>
          </w:p>
        </w:tc>
        <w:tc>
          <w:tcPr>
            <w:tcW w:w="885" w:type="pct"/>
            <w:noWrap/>
            <w:hideMark/>
          </w:tcPr>
          <w:p w14:paraId="38A471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3869 (20.7%)</w:t>
            </w:r>
          </w:p>
        </w:tc>
        <w:tc>
          <w:tcPr>
            <w:tcW w:w="885" w:type="pct"/>
            <w:noWrap/>
            <w:hideMark/>
          </w:tcPr>
          <w:p w14:paraId="38A471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3808 (20.4%)</w:t>
            </w:r>
          </w:p>
        </w:tc>
        <w:tc>
          <w:tcPr>
            <w:tcW w:w="885" w:type="pct"/>
            <w:noWrap/>
            <w:hideMark/>
          </w:tcPr>
          <w:p w14:paraId="38A4714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3609 (19.3%)</w:t>
            </w:r>
          </w:p>
        </w:tc>
      </w:tr>
      <w:tr w:rsidR="00CA7A60" w:rsidRPr="00FB60E5" w14:paraId="38A47146"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42" w14:textId="77777777" w:rsidR="00CA7A60" w:rsidRPr="009D5847" w:rsidRDefault="00CA7A60" w:rsidP="00FB60E5">
            <w:pPr>
              <w:ind w:left="0"/>
              <w:rPr>
                <w:b w:val="0"/>
              </w:rPr>
            </w:pPr>
            <w:r w:rsidRPr="009D5847">
              <w:rPr>
                <w:b w:val="0"/>
              </w:rPr>
              <w:t>Not completed (n=6262; 24.8%)</w:t>
            </w:r>
          </w:p>
        </w:tc>
        <w:tc>
          <w:tcPr>
            <w:tcW w:w="885" w:type="pct"/>
            <w:noWrap/>
            <w:hideMark/>
          </w:tcPr>
          <w:p w14:paraId="38A4714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1438 (23.0%)</w:t>
            </w:r>
          </w:p>
        </w:tc>
        <w:tc>
          <w:tcPr>
            <w:tcW w:w="885" w:type="pct"/>
            <w:noWrap/>
            <w:hideMark/>
          </w:tcPr>
          <w:p w14:paraId="38A4714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1436 (22.9%)</w:t>
            </w:r>
          </w:p>
        </w:tc>
        <w:tc>
          <w:tcPr>
            <w:tcW w:w="885" w:type="pct"/>
            <w:noWrap/>
            <w:hideMark/>
          </w:tcPr>
          <w:p w14:paraId="38A4714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1320 (21.1%)</w:t>
            </w:r>
          </w:p>
        </w:tc>
      </w:tr>
      <w:tr w:rsidR="00CA7A60" w:rsidRPr="00FB60E5" w14:paraId="38A4714B"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14:paraId="38A47147" w14:textId="77777777" w:rsidR="00CA7A60" w:rsidRPr="009D5847" w:rsidRDefault="00CA7A60" w:rsidP="00FB60E5">
            <w:pPr>
              <w:ind w:left="0"/>
              <w:rPr>
                <w:b w:val="0"/>
              </w:rPr>
            </w:pPr>
            <w:r w:rsidRPr="009D5847">
              <w:rPr>
                <w:b w:val="0"/>
              </w:rPr>
              <w:t>Unknown (n=277; 1.1%)</w:t>
            </w:r>
          </w:p>
        </w:tc>
        <w:tc>
          <w:tcPr>
            <w:tcW w:w="885" w:type="pct"/>
            <w:noWrap/>
            <w:hideMark/>
          </w:tcPr>
          <w:p w14:paraId="38A4714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 (21.7%)</w:t>
            </w:r>
          </w:p>
        </w:tc>
        <w:tc>
          <w:tcPr>
            <w:tcW w:w="885" w:type="pct"/>
            <w:noWrap/>
            <w:hideMark/>
          </w:tcPr>
          <w:p w14:paraId="38A4714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57 (20.6%)</w:t>
            </w:r>
          </w:p>
        </w:tc>
        <w:tc>
          <w:tcPr>
            <w:tcW w:w="885" w:type="pct"/>
            <w:noWrap/>
            <w:hideMark/>
          </w:tcPr>
          <w:p w14:paraId="38A4714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54 (19.5%)</w:t>
            </w:r>
          </w:p>
        </w:tc>
      </w:tr>
    </w:tbl>
    <w:p w14:paraId="38A4714D" w14:textId="77777777" w:rsidR="00CA7A60" w:rsidRPr="00FB60E5" w:rsidRDefault="00381191" w:rsidP="00FB60E5">
      <w:pPr>
        <w:ind w:left="0"/>
      </w:pPr>
      <w:r w:rsidRPr="00FB60E5">
        <w:fldChar w:fldCharType="begin"/>
      </w:r>
      <w:r w:rsidRPr="00FB60E5">
        <w:instrText xml:space="preserve"> REF _Ref387141371 \h  \* MERGEFORMAT </w:instrText>
      </w:r>
      <w:r w:rsidRPr="00FB60E5">
        <w:fldChar w:fldCharType="separate"/>
      </w:r>
      <w:r w:rsidR="00E150CA" w:rsidRPr="00FB60E5">
        <w:t>Table 4.18</w:t>
      </w:r>
      <w:r w:rsidRPr="00FB60E5">
        <w:fldChar w:fldCharType="end"/>
      </w:r>
      <w:r w:rsidR="00CA7A60" w:rsidRPr="00FB60E5">
        <w:t xml:space="preserve"> shows that alcohol was most commonly the primary drug of concern (47%), followed by cannabis (22%) and heroin &amp; other opioids (15%). The majority of clients were not hospitalised across the three years presented. A higher proportion of clients with </w:t>
      </w:r>
      <w:r w:rsidR="00B473EE" w:rsidRPr="00FB60E5">
        <w:t>amphetamines</w:t>
      </w:r>
      <w:r w:rsidR="00CA7A60" w:rsidRPr="00FB60E5">
        <w:t xml:space="preserve"> or other stimulants as a primary drug of concern had hospitalisations over the three-year period, in contrast to a lower proportion of clients with benzodiazepines and other tranquilisers as a primary drug of concern. Between 12% and 21% of all primary drug of concern groupings had multiple hospitalisations, with multiple hospital admissions most common among clients with benzodiazepines and other tranquilisers, alcohol or heroin and other opioids as the primary drug of concern.</w:t>
      </w:r>
    </w:p>
    <w:p w14:paraId="0257FD9F" w14:textId="0A44FCA7" w:rsidR="002C27A8" w:rsidRDefault="00CA7A60" w:rsidP="00FB60E5">
      <w:pPr>
        <w:ind w:left="0"/>
      </w:pPr>
      <w:r w:rsidRPr="00FB60E5">
        <w:t xml:space="preserve">The most common method of drug use was ingestion (49%), followed by smoking (20%). Those whose route of administration was ingestion had a higher prevalence of multiple hospitalisations compared with an injecting route of administration. Those reporting no injecting drug use history accounted for over half of AOD clients. Clients with any injecting drug use history had more hospitalisation activity. Although differences were relatively small, a greater proportion (60.8%) of those who had never injected were not hospitalised in the three years compared with those who had injected within the past 12 months (57%) or </w:t>
      </w:r>
      <w:r w:rsidRPr="00FB60E5">
        <w:lastRenderedPageBreak/>
        <w:t xml:space="preserve">greater than 12 months preceding AOD treatment engagement (58%). However, clients who had injected in the past 12 months demonstrated the highest proportion of multiple hospitalisations across the three years (18%) </w:t>
      </w:r>
      <w:proofErr w:type="gramStart"/>
      <w:r w:rsidRPr="00FB60E5">
        <w:t>(</w:t>
      </w:r>
      <w:r w:rsidR="001B3CBD">
        <w:fldChar w:fldCharType="begin"/>
      </w:r>
      <w:r w:rsidR="001B3CBD">
        <w:instrText xml:space="preserve"> REF _Ref387141371 \h </w:instrText>
      </w:r>
      <w:r w:rsidR="001B3CBD">
        <w:fldChar w:fldCharType="separate"/>
      </w:r>
      <w:r w:rsidR="001B3CBD" w:rsidRPr="00FB60E5">
        <w:t xml:space="preserve">Table </w:t>
      </w:r>
      <w:r w:rsidR="001B3CBD">
        <w:rPr>
          <w:noProof/>
        </w:rPr>
        <w:t>4</w:t>
      </w:r>
      <w:r w:rsidR="001B3CBD">
        <w:t>.</w:t>
      </w:r>
      <w:r w:rsidR="001B3CBD">
        <w:rPr>
          <w:noProof/>
        </w:rPr>
        <w:t>18</w:t>
      </w:r>
      <w:r w:rsidR="001B3CBD">
        <w:fldChar w:fldCharType="end"/>
      </w:r>
      <w:r w:rsidRPr="00FB60E5">
        <w:t>)</w:t>
      </w:r>
      <w:r w:rsidR="002C27A8">
        <w:t>.</w:t>
      </w:r>
      <w:proofErr w:type="gramEnd"/>
    </w:p>
    <w:p w14:paraId="38A4714F" w14:textId="78BCE988" w:rsidR="00CA7A60" w:rsidRPr="00FB60E5" w:rsidRDefault="00CA7A60" w:rsidP="00FB60E5">
      <w:pPr>
        <w:ind w:left="0"/>
      </w:pPr>
      <w:proofErr w:type="spellStart"/>
      <w:r w:rsidRPr="00FB60E5">
        <w:t>Polydrug</w:t>
      </w:r>
      <w:proofErr w:type="spellEnd"/>
      <w:r w:rsidRPr="00FB60E5">
        <w:t xml:space="preserve"> use was common, being recorded for 43% of AOD clients. There was little difference across hospital admissions compared with those with no reported </w:t>
      </w:r>
      <w:proofErr w:type="spellStart"/>
      <w:r w:rsidRPr="00FB60E5">
        <w:t>polydrug</w:t>
      </w:r>
      <w:proofErr w:type="spellEnd"/>
      <w:r w:rsidRPr="00FB60E5">
        <w:t xml:space="preserve"> use. Clients with reported </w:t>
      </w:r>
      <w:proofErr w:type="spellStart"/>
      <w:r w:rsidRPr="00FB60E5">
        <w:t>polydrug</w:t>
      </w:r>
      <w:proofErr w:type="spellEnd"/>
      <w:r w:rsidRPr="00FB60E5">
        <w:t xml:space="preserve"> use had a slightly higher proportion of hospitalisations prior to treatment and lower proportion for multiple hospital admissions (</w:t>
      </w:r>
      <w:r w:rsidR="00381191" w:rsidRPr="00FB60E5">
        <w:fldChar w:fldCharType="begin"/>
      </w:r>
      <w:r w:rsidR="00381191" w:rsidRPr="00FB60E5">
        <w:instrText xml:space="preserve"> REF _Ref387141371 \h  \* MERGEFORMAT </w:instrText>
      </w:r>
      <w:r w:rsidR="00381191" w:rsidRPr="00FB60E5">
        <w:fldChar w:fldCharType="separate"/>
      </w:r>
      <w:r w:rsidR="00E150CA" w:rsidRPr="00FB60E5">
        <w:t>Table 4.18</w:t>
      </w:r>
      <w:r w:rsidR="00381191" w:rsidRPr="00FB60E5">
        <w:fldChar w:fldCharType="end"/>
      </w:r>
      <w:r w:rsidRPr="00FB60E5">
        <w:t>).</w:t>
      </w:r>
    </w:p>
    <w:p w14:paraId="38A47150" w14:textId="59941BE8" w:rsidR="00CA7A60" w:rsidRPr="00FB60E5" w:rsidRDefault="001B3CBD" w:rsidP="00FB60E5">
      <w:pPr>
        <w:ind w:left="0"/>
      </w:pPr>
      <w:r>
        <w:fldChar w:fldCharType="begin"/>
      </w:r>
      <w:r>
        <w:instrText xml:space="preserve"> REF _Ref387152523 \h </w:instrText>
      </w:r>
      <w:r>
        <w:fldChar w:fldCharType="separate"/>
      </w:r>
      <w:r w:rsidRPr="00FB60E5">
        <w:t xml:space="preserve">Table </w:t>
      </w:r>
      <w:r>
        <w:rPr>
          <w:noProof/>
        </w:rPr>
        <w:t>4</w:t>
      </w:r>
      <w:r>
        <w:t>.</w:t>
      </w:r>
      <w:r>
        <w:rPr>
          <w:noProof/>
        </w:rPr>
        <w:t>19</w:t>
      </w:r>
      <w:r>
        <w:fldChar w:fldCharType="end"/>
      </w:r>
      <w:r w:rsidR="00CA7A60" w:rsidRPr="00FB60E5">
        <w:t xml:space="preserve"> shows these same drug characteristics for AOD clients by hospitalisation across the three years – the year prior to treatment, year of treatment, and the year post-treatment. Proportions of pre-AOD treatment hospital admissions (2009/10) were higher than the proportions of post-AOD treatment hospital admissions (2011/12).</w:t>
      </w:r>
    </w:p>
    <w:p w14:paraId="38A47151" w14:textId="77777777" w:rsidR="00CA7A60" w:rsidRPr="00FB60E5" w:rsidRDefault="00CA7A60" w:rsidP="00FB60E5">
      <w:pPr>
        <w:ind w:left="0"/>
      </w:pPr>
    </w:p>
    <w:p w14:paraId="38A47152" w14:textId="77777777" w:rsidR="00CA7A60" w:rsidRPr="00FB60E5" w:rsidRDefault="00CA7A60" w:rsidP="00FB60E5">
      <w:pPr>
        <w:ind w:left="0"/>
        <w:sectPr w:rsidR="00CA7A60" w:rsidRPr="00FB60E5" w:rsidSect="00CA7A60">
          <w:type w:val="continuous"/>
          <w:pgSz w:w="11906" w:h="16838"/>
          <w:pgMar w:top="1440" w:right="1440" w:bottom="1440" w:left="1276" w:header="708" w:footer="595" w:gutter="0"/>
          <w:cols w:space="708"/>
          <w:docGrid w:linePitch="360"/>
        </w:sectPr>
      </w:pPr>
    </w:p>
    <w:p w14:paraId="38A47153" w14:textId="27ABB0CA" w:rsidR="00CA7A60" w:rsidRPr="00FB60E5" w:rsidRDefault="00CA7A60" w:rsidP="00552239">
      <w:pPr>
        <w:pStyle w:val="Caption"/>
      </w:pPr>
      <w:bookmarkStart w:id="277" w:name="_Ref387141371"/>
      <w:bookmarkStart w:id="278" w:name="_Toc387244642"/>
      <w:bookmarkStart w:id="279" w:name="_Toc531625815"/>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18</w:t>
      </w:r>
      <w:r w:rsidR="00552239">
        <w:fldChar w:fldCharType="end"/>
      </w:r>
      <w:bookmarkEnd w:id="277"/>
      <w:r w:rsidR="002C27A8">
        <w:t xml:space="preserve"> </w:t>
      </w:r>
      <w:r w:rsidRPr="00FB60E5">
        <w:t xml:space="preserve">Drug </w:t>
      </w:r>
      <w:r w:rsidR="004B5CD4" w:rsidRPr="00FB60E5">
        <w:t xml:space="preserve">use </w:t>
      </w:r>
      <w:r w:rsidRPr="00FB60E5">
        <w:t>characteristics by hospital admission, 2009/10 to 2011/12</w:t>
      </w:r>
      <w:bookmarkEnd w:id="278"/>
      <w:bookmarkEnd w:id="279"/>
    </w:p>
    <w:tbl>
      <w:tblPr>
        <w:tblStyle w:val="LightList-Accent1"/>
        <w:tblW w:w="5000" w:type="pct"/>
        <w:tblLook w:val="04A0" w:firstRow="1" w:lastRow="0" w:firstColumn="1" w:lastColumn="0" w:noHBand="0" w:noVBand="1"/>
        <w:tblDescription w:val="Table 4.18 is a list of Drug use characteristics by hospital admission, 2009/10 to 2011/12"/>
      </w:tblPr>
      <w:tblGrid>
        <w:gridCol w:w="5488"/>
        <w:gridCol w:w="1622"/>
        <w:gridCol w:w="1485"/>
        <w:gridCol w:w="1485"/>
        <w:gridCol w:w="1485"/>
        <w:gridCol w:w="1726"/>
        <w:gridCol w:w="883"/>
      </w:tblGrid>
      <w:tr w:rsidR="00CA7A60" w:rsidRPr="00FB60E5" w14:paraId="38A47156"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36" w:type="pct"/>
            <w:vMerge w:val="restart"/>
            <w:hideMark/>
          </w:tcPr>
          <w:p w14:paraId="38A47154" w14:textId="77777777" w:rsidR="00CA7A60" w:rsidRPr="00FB60E5" w:rsidRDefault="00CA7A60" w:rsidP="00FB60E5">
            <w:pPr>
              <w:ind w:left="0"/>
            </w:pPr>
            <w:r w:rsidRPr="00FB60E5">
              <w:t> </w:t>
            </w:r>
          </w:p>
        </w:tc>
        <w:tc>
          <w:tcPr>
            <w:tcW w:w="3064" w:type="pct"/>
            <w:gridSpan w:val="6"/>
            <w:noWrap/>
            <w:hideMark/>
          </w:tcPr>
          <w:p w14:paraId="38A47155" w14:textId="0A43B43A"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Number of AOD clients </w:t>
            </w:r>
          </w:p>
        </w:tc>
      </w:tr>
      <w:tr w:rsidR="00CA7A60" w:rsidRPr="00FB60E5" w14:paraId="38A4715E"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36" w:type="pct"/>
            <w:vMerge/>
            <w:hideMark/>
          </w:tcPr>
          <w:p w14:paraId="38A47157" w14:textId="77777777" w:rsidR="00CA7A60" w:rsidRPr="00FB60E5" w:rsidRDefault="00CA7A60" w:rsidP="00FB60E5">
            <w:pPr>
              <w:ind w:left="0"/>
            </w:pPr>
          </w:p>
        </w:tc>
        <w:tc>
          <w:tcPr>
            <w:tcW w:w="572" w:type="pct"/>
            <w:hideMark/>
          </w:tcPr>
          <w:p w14:paraId="38A4715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No Admission (%)</w:t>
            </w:r>
          </w:p>
        </w:tc>
        <w:tc>
          <w:tcPr>
            <w:tcW w:w="524" w:type="pct"/>
            <w:hideMark/>
          </w:tcPr>
          <w:p w14:paraId="38A47159"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only (%)</w:t>
            </w:r>
          </w:p>
        </w:tc>
        <w:tc>
          <w:tcPr>
            <w:tcW w:w="524" w:type="pct"/>
            <w:hideMark/>
          </w:tcPr>
          <w:p w14:paraId="38A4715A"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only (%)</w:t>
            </w:r>
          </w:p>
        </w:tc>
        <w:tc>
          <w:tcPr>
            <w:tcW w:w="524" w:type="pct"/>
            <w:hideMark/>
          </w:tcPr>
          <w:p w14:paraId="38A4715B"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only (%)</w:t>
            </w:r>
          </w:p>
        </w:tc>
        <w:tc>
          <w:tcPr>
            <w:tcW w:w="609" w:type="pct"/>
            <w:hideMark/>
          </w:tcPr>
          <w:p w14:paraId="38A4715C"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in multiple years (%)</w:t>
            </w:r>
          </w:p>
        </w:tc>
        <w:tc>
          <w:tcPr>
            <w:tcW w:w="311" w:type="pct"/>
            <w:hideMark/>
          </w:tcPr>
          <w:p w14:paraId="38A4715D"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p</w:t>
            </w:r>
          </w:p>
        </w:tc>
      </w:tr>
      <w:tr w:rsidR="00CA7A60" w:rsidRPr="00FB60E5" w14:paraId="38A4716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5F" w14:textId="77777777" w:rsidR="00CA7A60" w:rsidRPr="00FB60E5" w:rsidRDefault="00CA7A60" w:rsidP="00FB60E5">
            <w:pPr>
              <w:ind w:left="0"/>
            </w:pPr>
            <w:r w:rsidRPr="00FB60E5">
              <w:t>Total (n=25229)</w:t>
            </w:r>
          </w:p>
        </w:tc>
        <w:tc>
          <w:tcPr>
            <w:tcW w:w="572" w:type="pct"/>
            <w:noWrap/>
            <w:hideMark/>
          </w:tcPr>
          <w:p w14:paraId="38A4716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15119 (59.9%)</w:t>
            </w:r>
          </w:p>
        </w:tc>
        <w:tc>
          <w:tcPr>
            <w:tcW w:w="524" w:type="pct"/>
            <w:noWrap/>
            <w:hideMark/>
          </w:tcPr>
          <w:p w14:paraId="38A4716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2167 (8.6%)</w:t>
            </w:r>
          </w:p>
        </w:tc>
        <w:tc>
          <w:tcPr>
            <w:tcW w:w="524" w:type="pct"/>
            <w:noWrap/>
            <w:hideMark/>
          </w:tcPr>
          <w:p w14:paraId="38A4716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1929 (7.6%)</w:t>
            </w:r>
          </w:p>
        </w:tc>
        <w:tc>
          <w:tcPr>
            <w:tcW w:w="524" w:type="pct"/>
            <w:noWrap/>
            <w:hideMark/>
          </w:tcPr>
          <w:p w14:paraId="38A471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1801 (7.1%)</w:t>
            </w:r>
          </w:p>
        </w:tc>
        <w:tc>
          <w:tcPr>
            <w:tcW w:w="609" w:type="pct"/>
            <w:noWrap/>
            <w:hideMark/>
          </w:tcPr>
          <w:p w14:paraId="38A4716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4213 (16.7%)</w:t>
            </w:r>
          </w:p>
        </w:tc>
        <w:tc>
          <w:tcPr>
            <w:tcW w:w="311" w:type="pct"/>
            <w:noWrap/>
            <w:hideMark/>
          </w:tcPr>
          <w:p w14:paraId="38A4716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 </w:t>
            </w:r>
          </w:p>
        </w:tc>
      </w:tr>
      <w:tr w:rsidR="00042CE9" w:rsidRPr="00FB60E5" w14:paraId="38A4716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16D" w14:textId="2B02A825" w:rsidR="00042CE9" w:rsidRPr="00FB60E5" w:rsidRDefault="00042CE9" w:rsidP="00FB60E5">
            <w:pPr>
              <w:ind w:left="0"/>
            </w:pPr>
            <w:r w:rsidRPr="00FB60E5">
              <w:t>Primary drug of concern</w:t>
            </w:r>
          </w:p>
        </w:tc>
      </w:tr>
      <w:tr w:rsidR="00CA7A60" w:rsidRPr="00FB60E5" w14:paraId="38A4717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6F" w14:textId="77777777" w:rsidR="00CA7A60" w:rsidRPr="009D5847" w:rsidRDefault="00CA7A60" w:rsidP="00FB60E5">
            <w:pPr>
              <w:ind w:left="0"/>
              <w:rPr>
                <w:b w:val="0"/>
              </w:rPr>
            </w:pPr>
            <w:r w:rsidRPr="009D5847">
              <w:rPr>
                <w:b w:val="0"/>
              </w:rPr>
              <w:t>Alcohol (n=11912; 47.2%)</w:t>
            </w:r>
          </w:p>
        </w:tc>
        <w:tc>
          <w:tcPr>
            <w:tcW w:w="572" w:type="pct"/>
            <w:noWrap/>
            <w:hideMark/>
          </w:tcPr>
          <w:p w14:paraId="38A471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7004 (58.8%)</w:t>
            </w:r>
          </w:p>
        </w:tc>
        <w:tc>
          <w:tcPr>
            <w:tcW w:w="524" w:type="pct"/>
            <w:noWrap/>
            <w:hideMark/>
          </w:tcPr>
          <w:p w14:paraId="38A471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1003 (8.4%)</w:t>
            </w:r>
          </w:p>
        </w:tc>
        <w:tc>
          <w:tcPr>
            <w:tcW w:w="524" w:type="pct"/>
            <w:noWrap/>
            <w:hideMark/>
          </w:tcPr>
          <w:p w14:paraId="38A4717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896 (7.5%)</w:t>
            </w:r>
          </w:p>
        </w:tc>
        <w:tc>
          <w:tcPr>
            <w:tcW w:w="524" w:type="pct"/>
            <w:noWrap/>
            <w:hideMark/>
          </w:tcPr>
          <w:p w14:paraId="38A4717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825 (6.9%)</w:t>
            </w:r>
          </w:p>
        </w:tc>
        <w:tc>
          <w:tcPr>
            <w:tcW w:w="609" w:type="pct"/>
            <w:noWrap/>
            <w:hideMark/>
          </w:tcPr>
          <w:p w14:paraId="38A4717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2184 (18.3%)</w:t>
            </w:r>
          </w:p>
        </w:tc>
        <w:tc>
          <w:tcPr>
            <w:tcW w:w="311" w:type="pct"/>
            <w:noWrap/>
            <w:hideMark/>
          </w:tcPr>
          <w:p w14:paraId="38A4717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17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77" w14:textId="77777777" w:rsidR="00CA7A60" w:rsidRPr="009D5847" w:rsidRDefault="00CA7A60" w:rsidP="00FB60E5">
            <w:pPr>
              <w:ind w:left="0"/>
              <w:rPr>
                <w:b w:val="0"/>
              </w:rPr>
            </w:pPr>
            <w:r w:rsidRPr="009D5847">
              <w:rPr>
                <w:b w:val="0"/>
              </w:rPr>
              <w:t>Cannabis (n=5663; 22.4%)</w:t>
            </w:r>
          </w:p>
        </w:tc>
        <w:tc>
          <w:tcPr>
            <w:tcW w:w="572" w:type="pct"/>
            <w:noWrap/>
            <w:hideMark/>
          </w:tcPr>
          <w:p w14:paraId="38A4717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3563 (62.9%)</w:t>
            </w:r>
          </w:p>
        </w:tc>
        <w:tc>
          <w:tcPr>
            <w:tcW w:w="524" w:type="pct"/>
            <w:noWrap/>
            <w:hideMark/>
          </w:tcPr>
          <w:p w14:paraId="38A4717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487 (8.6%)</w:t>
            </w:r>
          </w:p>
        </w:tc>
        <w:tc>
          <w:tcPr>
            <w:tcW w:w="524" w:type="pct"/>
            <w:noWrap/>
            <w:hideMark/>
          </w:tcPr>
          <w:p w14:paraId="38A4717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380 (6.7%)</w:t>
            </w:r>
          </w:p>
        </w:tc>
        <w:tc>
          <w:tcPr>
            <w:tcW w:w="524" w:type="pct"/>
            <w:noWrap/>
            <w:hideMark/>
          </w:tcPr>
          <w:p w14:paraId="38A4717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397 (7.0%)</w:t>
            </w:r>
          </w:p>
        </w:tc>
        <w:tc>
          <w:tcPr>
            <w:tcW w:w="609" w:type="pct"/>
            <w:noWrap/>
            <w:hideMark/>
          </w:tcPr>
          <w:p w14:paraId="38A4717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836 (14.8%)</w:t>
            </w:r>
          </w:p>
        </w:tc>
        <w:tc>
          <w:tcPr>
            <w:tcW w:w="311" w:type="pct"/>
            <w:noWrap/>
            <w:hideMark/>
          </w:tcPr>
          <w:p w14:paraId="38A4717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18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7F" w14:textId="77777777" w:rsidR="00CA7A60" w:rsidRPr="009D5847" w:rsidRDefault="00CA7A60" w:rsidP="00FB60E5">
            <w:pPr>
              <w:ind w:left="0"/>
              <w:rPr>
                <w:b w:val="0"/>
              </w:rPr>
            </w:pPr>
            <w:r w:rsidRPr="009D5847">
              <w:rPr>
                <w:b w:val="0"/>
              </w:rPr>
              <w:t>Heroin &amp; other opioids (n=3863; 15.3%)</w:t>
            </w:r>
          </w:p>
        </w:tc>
        <w:tc>
          <w:tcPr>
            <w:tcW w:w="572" w:type="pct"/>
            <w:noWrap/>
            <w:hideMark/>
          </w:tcPr>
          <w:p w14:paraId="38A4718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2231 (57.8%)</w:t>
            </w:r>
          </w:p>
        </w:tc>
        <w:tc>
          <w:tcPr>
            <w:tcW w:w="524" w:type="pct"/>
            <w:noWrap/>
            <w:hideMark/>
          </w:tcPr>
          <w:p w14:paraId="38A4718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353 (9.1%)</w:t>
            </w:r>
          </w:p>
        </w:tc>
        <w:tc>
          <w:tcPr>
            <w:tcW w:w="524" w:type="pct"/>
            <w:noWrap/>
            <w:hideMark/>
          </w:tcPr>
          <w:p w14:paraId="38A4718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328 (8.5%)</w:t>
            </w:r>
          </w:p>
        </w:tc>
        <w:tc>
          <w:tcPr>
            <w:tcW w:w="524" w:type="pct"/>
            <w:noWrap/>
            <w:hideMark/>
          </w:tcPr>
          <w:p w14:paraId="38A4718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302 (7.8%)</w:t>
            </w:r>
          </w:p>
        </w:tc>
        <w:tc>
          <w:tcPr>
            <w:tcW w:w="609" w:type="pct"/>
            <w:noWrap/>
            <w:hideMark/>
          </w:tcPr>
          <w:p w14:paraId="38A4718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649 (16.8%)</w:t>
            </w:r>
          </w:p>
        </w:tc>
        <w:tc>
          <w:tcPr>
            <w:tcW w:w="311" w:type="pct"/>
            <w:noWrap/>
            <w:hideMark/>
          </w:tcPr>
          <w:p w14:paraId="38A4718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18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87" w14:textId="77777777" w:rsidR="00CA7A60" w:rsidRPr="009D5847" w:rsidRDefault="00CA7A60" w:rsidP="00FB60E5">
            <w:pPr>
              <w:ind w:left="0"/>
              <w:rPr>
                <w:b w:val="0"/>
              </w:rPr>
            </w:pPr>
            <w:r w:rsidRPr="009D5847">
              <w:rPr>
                <w:b w:val="0"/>
              </w:rPr>
              <w:t>Amphetamine &amp; other stimulants (n=2198; 8.7%)</w:t>
            </w:r>
          </w:p>
        </w:tc>
        <w:tc>
          <w:tcPr>
            <w:tcW w:w="572" w:type="pct"/>
            <w:noWrap/>
            <w:hideMark/>
          </w:tcPr>
          <w:p w14:paraId="38A4718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1388 (63.1%)</w:t>
            </w:r>
          </w:p>
        </w:tc>
        <w:tc>
          <w:tcPr>
            <w:tcW w:w="524" w:type="pct"/>
            <w:noWrap/>
            <w:hideMark/>
          </w:tcPr>
          <w:p w14:paraId="38A4718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192 (8.7%)</w:t>
            </w:r>
          </w:p>
        </w:tc>
        <w:tc>
          <w:tcPr>
            <w:tcW w:w="524" w:type="pct"/>
            <w:noWrap/>
            <w:hideMark/>
          </w:tcPr>
          <w:p w14:paraId="38A4718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181 (8.2%)</w:t>
            </w:r>
          </w:p>
        </w:tc>
        <w:tc>
          <w:tcPr>
            <w:tcW w:w="524" w:type="pct"/>
            <w:noWrap/>
            <w:hideMark/>
          </w:tcPr>
          <w:p w14:paraId="38A4718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166 (7.6%)</w:t>
            </w:r>
          </w:p>
        </w:tc>
        <w:tc>
          <w:tcPr>
            <w:tcW w:w="609" w:type="pct"/>
            <w:noWrap/>
            <w:hideMark/>
          </w:tcPr>
          <w:p w14:paraId="38A4718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271 (12.3%)</w:t>
            </w:r>
          </w:p>
        </w:tc>
        <w:tc>
          <w:tcPr>
            <w:tcW w:w="311" w:type="pct"/>
            <w:noWrap/>
            <w:hideMark/>
          </w:tcPr>
          <w:p w14:paraId="38A4718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19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8F" w14:textId="77777777" w:rsidR="00CA7A60" w:rsidRPr="009D5847" w:rsidRDefault="00CA7A60" w:rsidP="00FB60E5">
            <w:pPr>
              <w:ind w:left="0"/>
              <w:rPr>
                <w:b w:val="0"/>
              </w:rPr>
            </w:pPr>
            <w:r w:rsidRPr="009D5847">
              <w:rPr>
                <w:b w:val="0"/>
              </w:rPr>
              <w:t>Benzodiazepines &amp; other tranquillisers (n=522; 2.1%)</w:t>
            </w:r>
          </w:p>
        </w:tc>
        <w:tc>
          <w:tcPr>
            <w:tcW w:w="572" w:type="pct"/>
            <w:noWrap/>
            <w:hideMark/>
          </w:tcPr>
          <w:p w14:paraId="38A4719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292 (55.9%)</w:t>
            </w:r>
          </w:p>
        </w:tc>
        <w:tc>
          <w:tcPr>
            <w:tcW w:w="524" w:type="pct"/>
            <w:noWrap/>
            <w:hideMark/>
          </w:tcPr>
          <w:p w14:paraId="38A4719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 (7.9%)</w:t>
            </w:r>
          </w:p>
        </w:tc>
        <w:tc>
          <w:tcPr>
            <w:tcW w:w="524" w:type="pct"/>
            <w:noWrap/>
            <w:hideMark/>
          </w:tcPr>
          <w:p w14:paraId="38A4719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 (8.8%)</w:t>
            </w:r>
          </w:p>
        </w:tc>
        <w:tc>
          <w:tcPr>
            <w:tcW w:w="524" w:type="pct"/>
            <w:noWrap/>
            <w:hideMark/>
          </w:tcPr>
          <w:p w14:paraId="38A4719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 (6.7%)</w:t>
            </w:r>
          </w:p>
        </w:tc>
        <w:tc>
          <w:tcPr>
            <w:tcW w:w="609" w:type="pct"/>
            <w:noWrap/>
            <w:hideMark/>
          </w:tcPr>
          <w:p w14:paraId="38A4719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108 (20.7%)</w:t>
            </w:r>
          </w:p>
        </w:tc>
        <w:tc>
          <w:tcPr>
            <w:tcW w:w="311" w:type="pct"/>
            <w:noWrap/>
            <w:hideMark/>
          </w:tcPr>
          <w:p w14:paraId="38A471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p>
        </w:tc>
      </w:tr>
      <w:tr w:rsidR="00CA7A60" w:rsidRPr="00FB60E5" w14:paraId="38A4719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97" w14:textId="77777777" w:rsidR="00CA7A60" w:rsidRPr="009D5847" w:rsidRDefault="00CA7A60" w:rsidP="00FB60E5">
            <w:pPr>
              <w:ind w:left="0"/>
              <w:rPr>
                <w:b w:val="0"/>
              </w:rPr>
            </w:pPr>
            <w:r w:rsidRPr="009D5847">
              <w:rPr>
                <w:b w:val="0"/>
              </w:rPr>
              <w:t>Other (n=730; 2.9%)</w:t>
            </w:r>
          </w:p>
        </w:tc>
        <w:tc>
          <w:tcPr>
            <w:tcW w:w="572" w:type="pct"/>
            <w:noWrap/>
            <w:hideMark/>
          </w:tcPr>
          <w:p w14:paraId="38A4719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440 (60.3%)</w:t>
            </w:r>
          </w:p>
        </w:tc>
        <w:tc>
          <w:tcPr>
            <w:tcW w:w="524" w:type="pct"/>
            <w:noWrap/>
            <w:hideMark/>
          </w:tcPr>
          <w:p w14:paraId="38A4719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57 (7.8%)</w:t>
            </w:r>
          </w:p>
        </w:tc>
        <w:tc>
          <w:tcPr>
            <w:tcW w:w="524" w:type="pct"/>
            <w:noWrap/>
            <w:hideMark/>
          </w:tcPr>
          <w:p w14:paraId="38A471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67 (9.2%)</w:t>
            </w:r>
          </w:p>
        </w:tc>
        <w:tc>
          <w:tcPr>
            <w:tcW w:w="524" w:type="pct"/>
            <w:noWrap/>
            <w:hideMark/>
          </w:tcPr>
          <w:p w14:paraId="38A4719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54 (7.4%)</w:t>
            </w:r>
          </w:p>
        </w:tc>
        <w:tc>
          <w:tcPr>
            <w:tcW w:w="609" w:type="pct"/>
            <w:noWrap/>
            <w:hideMark/>
          </w:tcPr>
          <w:p w14:paraId="38A4719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112 (15.3%)</w:t>
            </w:r>
          </w:p>
        </w:tc>
        <w:tc>
          <w:tcPr>
            <w:tcW w:w="311" w:type="pct"/>
            <w:noWrap/>
            <w:hideMark/>
          </w:tcPr>
          <w:p w14:paraId="38A4719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71A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9F" w14:textId="77777777" w:rsidR="003F3393" w:rsidRPr="009D5847" w:rsidRDefault="003F3393" w:rsidP="00FB60E5">
            <w:pPr>
              <w:ind w:left="0"/>
              <w:rPr>
                <w:b w:val="0"/>
              </w:rPr>
            </w:pPr>
            <w:r w:rsidRPr="009D5847">
              <w:rPr>
                <w:b w:val="0"/>
              </w:rPr>
              <w:t>Unknown (n=341; 1.4%)</w:t>
            </w:r>
          </w:p>
        </w:tc>
        <w:tc>
          <w:tcPr>
            <w:tcW w:w="572" w:type="pct"/>
            <w:noWrap/>
            <w:hideMark/>
          </w:tcPr>
          <w:p w14:paraId="38A471A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201 (58.9%)</w:t>
            </w:r>
          </w:p>
        </w:tc>
        <w:tc>
          <w:tcPr>
            <w:tcW w:w="524" w:type="pct"/>
            <w:noWrap/>
            <w:hideMark/>
          </w:tcPr>
          <w:p w14:paraId="38A471A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34 (10.0%)</w:t>
            </w:r>
          </w:p>
        </w:tc>
        <w:tc>
          <w:tcPr>
            <w:tcW w:w="524" w:type="pct"/>
            <w:noWrap/>
            <w:hideMark/>
          </w:tcPr>
          <w:p w14:paraId="38A471A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31 (9.1%)</w:t>
            </w:r>
          </w:p>
        </w:tc>
        <w:tc>
          <w:tcPr>
            <w:tcW w:w="524" w:type="pct"/>
            <w:noWrap/>
            <w:hideMark/>
          </w:tcPr>
          <w:p w14:paraId="38A471A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22 (6.5%)</w:t>
            </w:r>
          </w:p>
        </w:tc>
        <w:tc>
          <w:tcPr>
            <w:tcW w:w="609" w:type="pct"/>
            <w:noWrap/>
            <w:hideMark/>
          </w:tcPr>
          <w:p w14:paraId="38A471A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53 (15.5%)</w:t>
            </w:r>
          </w:p>
        </w:tc>
        <w:tc>
          <w:tcPr>
            <w:tcW w:w="311" w:type="pct"/>
            <w:noWrap/>
            <w:hideMark/>
          </w:tcPr>
          <w:p w14:paraId="38A471A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042CE9" w:rsidRPr="00FB60E5" w14:paraId="38A471A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1AD" w14:textId="0340C81D" w:rsidR="00042CE9" w:rsidRPr="00042CE9" w:rsidRDefault="00042CE9" w:rsidP="00FB60E5">
            <w:pPr>
              <w:ind w:left="0"/>
              <w:rPr>
                <w:b w:val="0"/>
                <w:bCs w:val="0"/>
              </w:rPr>
            </w:pPr>
            <w:r w:rsidRPr="00FB60E5">
              <w:t xml:space="preserve">Method of use </w:t>
            </w:r>
          </w:p>
        </w:tc>
      </w:tr>
      <w:tr w:rsidR="003F3393" w:rsidRPr="00FB60E5" w14:paraId="38A471B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AF" w14:textId="77777777" w:rsidR="003F3393" w:rsidRPr="009D5847" w:rsidRDefault="003F3393" w:rsidP="00FB60E5">
            <w:pPr>
              <w:ind w:left="0"/>
              <w:rPr>
                <w:b w:val="0"/>
              </w:rPr>
            </w:pPr>
            <w:r w:rsidRPr="009D5847">
              <w:rPr>
                <w:b w:val="0"/>
              </w:rPr>
              <w:t>Ingest (n=12461; 49.4%)</w:t>
            </w:r>
          </w:p>
        </w:tc>
        <w:tc>
          <w:tcPr>
            <w:tcW w:w="572" w:type="pct"/>
            <w:noWrap/>
            <w:hideMark/>
          </w:tcPr>
          <w:p w14:paraId="38A471B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7307 (58.6%)</w:t>
            </w:r>
          </w:p>
        </w:tc>
        <w:tc>
          <w:tcPr>
            <w:tcW w:w="524" w:type="pct"/>
            <w:noWrap/>
            <w:hideMark/>
          </w:tcPr>
          <w:p w14:paraId="38A471B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1045 (8.4%)</w:t>
            </w:r>
          </w:p>
        </w:tc>
        <w:tc>
          <w:tcPr>
            <w:tcW w:w="524" w:type="pct"/>
            <w:noWrap/>
            <w:hideMark/>
          </w:tcPr>
          <w:p w14:paraId="38A471B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969 (7.8%)</w:t>
            </w:r>
          </w:p>
        </w:tc>
        <w:tc>
          <w:tcPr>
            <w:tcW w:w="524" w:type="pct"/>
            <w:noWrap/>
            <w:hideMark/>
          </w:tcPr>
          <w:p w14:paraId="38A471B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857 (6.9%)</w:t>
            </w:r>
          </w:p>
        </w:tc>
        <w:tc>
          <w:tcPr>
            <w:tcW w:w="609" w:type="pct"/>
            <w:noWrap/>
            <w:hideMark/>
          </w:tcPr>
          <w:p w14:paraId="38A471B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2283 (18.3%)</w:t>
            </w:r>
          </w:p>
        </w:tc>
        <w:tc>
          <w:tcPr>
            <w:tcW w:w="311" w:type="pct"/>
            <w:noWrap/>
            <w:hideMark/>
          </w:tcPr>
          <w:p w14:paraId="38A471B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71B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B7" w14:textId="77777777" w:rsidR="003F3393" w:rsidRPr="009D5847" w:rsidRDefault="003F3393" w:rsidP="00FB60E5">
            <w:pPr>
              <w:ind w:left="0"/>
              <w:rPr>
                <w:b w:val="0"/>
              </w:rPr>
            </w:pPr>
            <w:r w:rsidRPr="009D5847">
              <w:rPr>
                <w:b w:val="0"/>
              </w:rPr>
              <w:t>Smoke (n=5103; 20.2%)</w:t>
            </w:r>
          </w:p>
        </w:tc>
        <w:tc>
          <w:tcPr>
            <w:tcW w:w="572" w:type="pct"/>
            <w:noWrap/>
            <w:hideMark/>
          </w:tcPr>
          <w:p w14:paraId="38A471B8"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3235 (63.4%)</w:t>
            </w:r>
          </w:p>
        </w:tc>
        <w:tc>
          <w:tcPr>
            <w:tcW w:w="524" w:type="pct"/>
            <w:noWrap/>
            <w:hideMark/>
          </w:tcPr>
          <w:p w14:paraId="38A471B9"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438 (8.6%)</w:t>
            </w:r>
          </w:p>
        </w:tc>
        <w:tc>
          <w:tcPr>
            <w:tcW w:w="524" w:type="pct"/>
            <w:noWrap/>
            <w:hideMark/>
          </w:tcPr>
          <w:p w14:paraId="38A471BA"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343 (6.7%)</w:t>
            </w:r>
          </w:p>
        </w:tc>
        <w:tc>
          <w:tcPr>
            <w:tcW w:w="524" w:type="pct"/>
            <w:noWrap/>
            <w:hideMark/>
          </w:tcPr>
          <w:p w14:paraId="38A471BB"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365 (7.2%)</w:t>
            </w:r>
          </w:p>
        </w:tc>
        <w:tc>
          <w:tcPr>
            <w:tcW w:w="609" w:type="pct"/>
            <w:noWrap/>
            <w:hideMark/>
          </w:tcPr>
          <w:p w14:paraId="38A471BC"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722 (14.1%)</w:t>
            </w:r>
          </w:p>
        </w:tc>
        <w:tc>
          <w:tcPr>
            <w:tcW w:w="311" w:type="pct"/>
            <w:noWrap/>
            <w:hideMark/>
          </w:tcPr>
          <w:p w14:paraId="38A471BD"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71C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BF" w14:textId="77777777" w:rsidR="003F3393" w:rsidRPr="009D5847" w:rsidRDefault="003F3393" w:rsidP="00FB60E5">
            <w:pPr>
              <w:ind w:left="0"/>
              <w:rPr>
                <w:b w:val="0"/>
              </w:rPr>
            </w:pPr>
            <w:r w:rsidRPr="009D5847">
              <w:rPr>
                <w:b w:val="0"/>
              </w:rPr>
              <w:t>Inject (n=3632; 14.4%)</w:t>
            </w:r>
          </w:p>
        </w:tc>
        <w:tc>
          <w:tcPr>
            <w:tcW w:w="572" w:type="pct"/>
            <w:noWrap/>
            <w:hideMark/>
          </w:tcPr>
          <w:p w14:paraId="38A471C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2118 (58.3%)</w:t>
            </w:r>
          </w:p>
        </w:tc>
        <w:tc>
          <w:tcPr>
            <w:tcW w:w="524" w:type="pct"/>
            <w:noWrap/>
            <w:hideMark/>
          </w:tcPr>
          <w:p w14:paraId="38A471C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319 (8.8%)</w:t>
            </w:r>
          </w:p>
        </w:tc>
        <w:tc>
          <w:tcPr>
            <w:tcW w:w="524" w:type="pct"/>
            <w:noWrap/>
            <w:hideMark/>
          </w:tcPr>
          <w:p w14:paraId="38A471C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310 (8.5%)</w:t>
            </w:r>
          </w:p>
        </w:tc>
        <w:tc>
          <w:tcPr>
            <w:tcW w:w="524" w:type="pct"/>
            <w:noWrap/>
            <w:hideMark/>
          </w:tcPr>
          <w:p w14:paraId="38A471C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278 (7.7%)</w:t>
            </w:r>
          </w:p>
        </w:tc>
        <w:tc>
          <w:tcPr>
            <w:tcW w:w="609" w:type="pct"/>
            <w:noWrap/>
            <w:hideMark/>
          </w:tcPr>
          <w:p w14:paraId="38A471C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607 (16.7%)</w:t>
            </w:r>
          </w:p>
        </w:tc>
        <w:tc>
          <w:tcPr>
            <w:tcW w:w="311" w:type="pct"/>
            <w:noWrap/>
            <w:hideMark/>
          </w:tcPr>
          <w:p w14:paraId="38A471C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71C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C7" w14:textId="77777777" w:rsidR="003F3393" w:rsidRPr="009D5847" w:rsidRDefault="003F3393" w:rsidP="00FB60E5">
            <w:pPr>
              <w:ind w:left="0"/>
              <w:rPr>
                <w:b w:val="0"/>
              </w:rPr>
            </w:pPr>
            <w:r w:rsidRPr="009D5847">
              <w:rPr>
                <w:b w:val="0"/>
              </w:rPr>
              <w:t>Sniff/inhale (n=1340; 5.3%)</w:t>
            </w:r>
          </w:p>
        </w:tc>
        <w:tc>
          <w:tcPr>
            <w:tcW w:w="572" w:type="pct"/>
            <w:noWrap/>
            <w:hideMark/>
          </w:tcPr>
          <w:p w14:paraId="38A471C8"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837 (62.5%)</w:t>
            </w:r>
          </w:p>
        </w:tc>
        <w:tc>
          <w:tcPr>
            <w:tcW w:w="524" w:type="pct"/>
            <w:noWrap/>
            <w:hideMark/>
          </w:tcPr>
          <w:p w14:paraId="38A471C9"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131 (9.8%)</w:t>
            </w:r>
          </w:p>
        </w:tc>
        <w:tc>
          <w:tcPr>
            <w:tcW w:w="524" w:type="pct"/>
            <w:noWrap/>
            <w:hideMark/>
          </w:tcPr>
          <w:p w14:paraId="38A471CA"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102 (7.6%)</w:t>
            </w:r>
          </w:p>
        </w:tc>
        <w:tc>
          <w:tcPr>
            <w:tcW w:w="524" w:type="pct"/>
            <w:noWrap/>
            <w:hideMark/>
          </w:tcPr>
          <w:p w14:paraId="38A471CB"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99 (7.4%)</w:t>
            </w:r>
          </w:p>
        </w:tc>
        <w:tc>
          <w:tcPr>
            <w:tcW w:w="609" w:type="pct"/>
            <w:noWrap/>
            <w:hideMark/>
          </w:tcPr>
          <w:p w14:paraId="38A471CC"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171 (12.8%)</w:t>
            </w:r>
          </w:p>
        </w:tc>
        <w:tc>
          <w:tcPr>
            <w:tcW w:w="311" w:type="pct"/>
            <w:noWrap/>
            <w:hideMark/>
          </w:tcPr>
          <w:p w14:paraId="38A471CD"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71D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CF" w14:textId="77777777" w:rsidR="003F3393" w:rsidRPr="009D5847" w:rsidRDefault="003F3393" w:rsidP="00FB60E5">
            <w:pPr>
              <w:ind w:left="0"/>
              <w:rPr>
                <w:b w:val="0"/>
              </w:rPr>
            </w:pPr>
            <w:r w:rsidRPr="009D5847">
              <w:rPr>
                <w:b w:val="0"/>
              </w:rPr>
              <w:t>Other/unknown (n=2693; 10.7%)</w:t>
            </w:r>
          </w:p>
        </w:tc>
        <w:tc>
          <w:tcPr>
            <w:tcW w:w="572" w:type="pct"/>
            <w:noWrap/>
            <w:hideMark/>
          </w:tcPr>
          <w:p w14:paraId="38A471D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1622 (60.2%)</w:t>
            </w:r>
          </w:p>
        </w:tc>
        <w:tc>
          <w:tcPr>
            <w:tcW w:w="524" w:type="pct"/>
            <w:noWrap/>
            <w:hideMark/>
          </w:tcPr>
          <w:p w14:paraId="38A471D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234 (8.7%)</w:t>
            </w:r>
          </w:p>
        </w:tc>
        <w:tc>
          <w:tcPr>
            <w:tcW w:w="524" w:type="pct"/>
            <w:noWrap/>
            <w:hideMark/>
          </w:tcPr>
          <w:p w14:paraId="38A471D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205 (7.6%)</w:t>
            </w:r>
          </w:p>
        </w:tc>
        <w:tc>
          <w:tcPr>
            <w:tcW w:w="524" w:type="pct"/>
            <w:noWrap/>
            <w:hideMark/>
          </w:tcPr>
          <w:p w14:paraId="38A471D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202 (7.5%)</w:t>
            </w:r>
          </w:p>
        </w:tc>
        <w:tc>
          <w:tcPr>
            <w:tcW w:w="609" w:type="pct"/>
            <w:noWrap/>
            <w:hideMark/>
          </w:tcPr>
          <w:p w14:paraId="38A471D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430 (16.0%)</w:t>
            </w:r>
          </w:p>
        </w:tc>
        <w:tc>
          <w:tcPr>
            <w:tcW w:w="311" w:type="pct"/>
            <w:noWrap/>
            <w:hideMark/>
          </w:tcPr>
          <w:p w14:paraId="38A471D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&lt;0.001</w:t>
            </w:r>
          </w:p>
        </w:tc>
      </w:tr>
      <w:tr w:rsidR="00042CE9" w:rsidRPr="00FB60E5" w14:paraId="38A471D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1DD" w14:textId="3EDB1404" w:rsidR="00042CE9" w:rsidRPr="00FB60E5" w:rsidRDefault="00042CE9" w:rsidP="00FB60E5">
            <w:pPr>
              <w:ind w:left="0"/>
            </w:pPr>
            <w:proofErr w:type="spellStart"/>
            <w:r w:rsidRPr="00FB60E5">
              <w:t>Polydrug</w:t>
            </w:r>
            <w:proofErr w:type="spellEnd"/>
            <w:r w:rsidRPr="00FB60E5">
              <w:t xml:space="preserve"> use</w:t>
            </w:r>
          </w:p>
        </w:tc>
      </w:tr>
      <w:tr w:rsidR="003F3393" w:rsidRPr="00FB60E5" w14:paraId="38A471E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DF" w14:textId="77777777" w:rsidR="003F3393" w:rsidRPr="009D5847" w:rsidRDefault="003F3393" w:rsidP="00FB60E5">
            <w:pPr>
              <w:ind w:left="0"/>
              <w:rPr>
                <w:b w:val="0"/>
              </w:rPr>
            </w:pPr>
            <w:r w:rsidRPr="009D5847">
              <w:rPr>
                <w:b w:val="0"/>
              </w:rPr>
              <w:t>Yes (n=10899; 43.2%)</w:t>
            </w:r>
          </w:p>
        </w:tc>
        <w:tc>
          <w:tcPr>
            <w:tcW w:w="572" w:type="pct"/>
            <w:noWrap/>
            <w:hideMark/>
          </w:tcPr>
          <w:p w14:paraId="38A471E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6579 (60.4%)</w:t>
            </w:r>
          </w:p>
        </w:tc>
        <w:tc>
          <w:tcPr>
            <w:tcW w:w="524" w:type="pct"/>
            <w:noWrap/>
            <w:hideMark/>
          </w:tcPr>
          <w:p w14:paraId="38A471E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971 (8.9%)</w:t>
            </w:r>
          </w:p>
        </w:tc>
        <w:tc>
          <w:tcPr>
            <w:tcW w:w="524" w:type="pct"/>
            <w:noWrap/>
            <w:hideMark/>
          </w:tcPr>
          <w:p w14:paraId="38A471E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848 (7.8%)</w:t>
            </w:r>
          </w:p>
        </w:tc>
        <w:tc>
          <w:tcPr>
            <w:tcW w:w="524" w:type="pct"/>
            <w:noWrap/>
            <w:hideMark/>
          </w:tcPr>
          <w:p w14:paraId="38A471E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773 (7.1%)</w:t>
            </w:r>
          </w:p>
        </w:tc>
        <w:tc>
          <w:tcPr>
            <w:tcW w:w="609" w:type="pct"/>
            <w:noWrap/>
            <w:hideMark/>
          </w:tcPr>
          <w:p w14:paraId="38A471E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1728 (15.9%)</w:t>
            </w:r>
          </w:p>
        </w:tc>
        <w:tc>
          <w:tcPr>
            <w:tcW w:w="311" w:type="pct"/>
            <w:noWrap/>
            <w:hideMark/>
          </w:tcPr>
          <w:p w14:paraId="38A471E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71E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E7" w14:textId="77777777" w:rsidR="003F3393" w:rsidRPr="009D5847" w:rsidRDefault="003F3393" w:rsidP="00FB60E5">
            <w:pPr>
              <w:ind w:left="0"/>
              <w:rPr>
                <w:b w:val="0"/>
              </w:rPr>
            </w:pPr>
            <w:r w:rsidRPr="009D5847">
              <w:rPr>
                <w:b w:val="0"/>
              </w:rPr>
              <w:t>No (n=9939; 39.4%)</w:t>
            </w:r>
          </w:p>
        </w:tc>
        <w:tc>
          <w:tcPr>
            <w:tcW w:w="572" w:type="pct"/>
            <w:noWrap/>
            <w:hideMark/>
          </w:tcPr>
          <w:p w14:paraId="38A471E8"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5857 (58.9%)</w:t>
            </w:r>
          </w:p>
        </w:tc>
        <w:tc>
          <w:tcPr>
            <w:tcW w:w="524" w:type="pct"/>
            <w:noWrap/>
            <w:hideMark/>
          </w:tcPr>
          <w:p w14:paraId="38A471E9"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828 (8.3%)</w:t>
            </w:r>
          </w:p>
        </w:tc>
        <w:tc>
          <w:tcPr>
            <w:tcW w:w="524" w:type="pct"/>
            <w:noWrap/>
            <w:hideMark/>
          </w:tcPr>
          <w:p w14:paraId="38A471EA"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760 (7.6%)</w:t>
            </w:r>
          </w:p>
        </w:tc>
        <w:tc>
          <w:tcPr>
            <w:tcW w:w="524" w:type="pct"/>
            <w:noWrap/>
            <w:hideMark/>
          </w:tcPr>
          <w:p w14:paraId="38A471EB"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706 (7.1%)</w:t>
            </w:r>
          </w:p>
        </w:tc>
        <w:tc>
          <w:tcPr>
            <w:tcW w:w="609" w:type="pct"/>
            <w:noWrap/>
            <w:hideMark/>
          </w:tcPr>
          <w:p w14:paraId="38A471EC"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1788 (18.0%)</w:t>
            </w:r>
          </w:p>
        </w:tc>
        <w:tc>
          <w:tcPr>
            <w:tcW w:w="311" w:type="pct"/>
            <w:noWrap/>
            <w:hideMark/>
          </w:tcPr>
          <w:p w14:paraId="38A471ED"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71F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EF" w14:textId="77777777" w:rsidR="003F3393" w:rsidRPr="009D5847" w:rsidRDefault="003F3393" w:rsidP="00FB60E5">
            <w:pPr>
              <w:ind w:left="0"/>
              <w:rPr>
                <w:b w:val="0"/>
              </w:rPr>
            </w:pPr>
            <w:r w:rsidRPr="009D5847">
              <w:rPr>
                <w:b w:val="0"/>
              </w:rPr>
              <w:t>Unknown (n=4391; 17.4%)</w:t>
            </w:r>
          </w:p>
        </w:tc>
        <w:tc>
          <w:tcPr>
            <w:tcW w:w="572" w:type="pct"/>
            <w:noWrap/>
            <w:hideMark/>
          </w:tcPr>
          <w:p w14:paraId="38A471F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2683 (61.1%)</w:t>
            </w:r>
          </w:p>
        </w:tc>
        <w:tc>
          <w:tcPr>
            <w:tcW w:w="524" w:type="pct"/>
            <w:noWrap/>
            <w:hideMark/>
          </w:tcPr>
          <w:p w14:paraId="38A471F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368 (8.4%)</w:t>
            </w:r>
          </w:p>
        </w:tc>
        <w:tc>
          <w:tcPr>
            <w:tcW w:w="524" w:type="pct"/>
            <w:noWrap/>
            <w:hideMark/>
          </w:tcPr>
          <w:p w14:paraId="38A471F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321 (7.3%)</w:t>
            </w:r>
          </w:p>
        </w:tc>
        <w:tc>
          <w:tcPr>
            <w:tcW w:w="524" w:type="pct"/>
            <w:noWrap/>
            <w:hideMark/>
          </w:tcPr>
          <w:p w14:paraId="38A471F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322 (7.3%)</w:t>
            </w:r>
          </w:p>
        </w:tc>
        <w:tc>
          <w:tcPr>
            <w:tcW w:w="609" w:type="pct"/>
            <w:noWrap/>
            <w:hideMark/>
          </w:tcPr>
          <w:p w14:paraId="38A471F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697 (15.9%)</w:t>
            </w:r>
          </w:p>
        </w:tc>
        <w:tc>
          <w:tcPr>
            <w:tcW w:w="311" w:type="pct"/>
            <w:noWrap/>
            <w:hideMark/>
          </w:tcPr>
          <w:p w14:paraId="38A471F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0.004</w:t>
            </w:r>
          </w:p>
        </w:tc>
      </w:tr>
      <w:tr w:rsidR="00042CE9" w:rsidRPr="00FB60E5" w14:paraId="38A471F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38A471FD" w14:textId="5476FCB9" w:rsidR="00042CE9" w:rsidRPr="00042CE9" w:rsidRDefault="00042CE9" w:rsidP="00FB60E5">
            <w:pPr>
              <w:ind w:left="0"/>
              <w:rPr>
                <w:b w:val="0"/>
                <w:bCs w:val="0"/>
              </w:rPr>
            </w:pPr>
            <w:r w:rsidRPr="00FB60E5">
              <w:t>Injecting drug use history</w:t>
            </w:r>
          </w:p>
        </w:tc>
      </w:tr>
      <w:tr w:rsidR="003F3393" w:rsidRPr="00FB60E5" w14:paraId="38A4720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1FF" w14:textId="77777777" w:rsidR="003F3393" w:rsidRPr="009D5847" w:rsidRDefault="003F3393" w:rsidP="00FB60E5">
            <w:pPr>
              <w:ind w:left="0"/>
              <w:rPr>
                <w:b w:val="0"/>
              </w:rPr>
            </w:pPr>
            <w:r w:rsidRPr="009D5847">
              <w:rPr>
                <w:b w:val="0"/>
              </w:rPr>
              <w:t>Never injected (n=12767; 50.6%)</w:t>
            </w:r>
          </w:p>
        </w:tc>
        <w:tc>
          <w:tcPr>
            <w:tcW w:w="572" w:type="pct"/>
            <w:noWrap/>
            <w:hideMark/>
          </w:tcPr>
          <w:p w14:paraId="38A4720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7765 (60.8%)</w:t>
            </w:r>
          </w:p>
        </w:tc>
        <w:tc>
          <w:tcPr>
            <w:tcW w:w="524" w:type="pct"/>
            <w:noWrap/>
            <w:hideMark/>
          </w:tcPr>
          <w:p w14:paraId="38A4720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1094 (8.6%)</w:t>
            </w:r>
          </w:p>
        </w:tc>
        <w:tc>
          <w:tcPr>
            <w:tcW w:w="524" w:type="pct"/>
            <w:noWrap/>
            <w:hideMark/>
          </w:tcPr>
          <w:p w14:paraId="38A4720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948 (7.4%)</w:t>
            </w:r>
          </w:p>
        </w:tc>
        <w:tc>
          <w:tcPr>
            <w:tcW w:w="524" w:type="pct"/>
            <w:noWrap/>
            <w:hideMark/>
          </w:tcPr>
          <w:p w14:paraId="38A4720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898 (7.0%)</w:t>
            </w:r>
          </w:p>
        </w:tc>
        <w:tc>
          <w:tcPr>
            <w:tcW w:w="609" w:type="pct"/>
            <w:noWrap/>
            <w:hideMark/>
          </w:tcPr>
          <w:p w14:paraId="38A4720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2062 (16.2%)</w:t>
            </w:r>
          </w:p>
        </w:tc>
        <w:tc>
          <w:tcPr>
            <w:tcW w:w="311" w:type="pct"/>
            <w:noWrap/>
            <w:hideMark/>
          </w:tcPr>
          <w:p w14:paraId="38A4720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720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207" w14:textId="77777777" w:rsidR="003F3393" w:rsidRPr="009D5847" w:rsidRDefault="003F3393" w:rsidP="00FB60E5">
            <w:pPr>
              <w:ind w:left="0"/>
              <w:rPr>
                <w:b w:val="0"/>
              </w:rPr>
            </w:pPr>
            <w:r w:rsidRPr="009D5847">
              <w:rPr>
                <w:b w:val="0"/>
              </w:rPr>
              <w:t>Within past 12 months (n=5135; 20.4%)</w:t>
            </w:r>
          </w:p>
        </w:tc>
        <w:tc>
          <w:tcPr>
            <w:tcW w:w="572" w:type="pct"/>
            <w:noWrap/>
            <w:hideMark/>
          </w:tcPr>
          <w:p w14:paraId="38A47208"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2934 (57.1%)</w:t>
            </w:r>
          </w:p>
        </w:tc>
        <w:tc>
          <w:tcPr>
            <w:tcW w:w="524" w:type="pct"/>
            <w:noWrap/>
            <w:hideMark/>
          </w:tcPr>
          <w:p w14:paraId="38A47209"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472 (9.2%)</w:t>
            </w:r>
          </w:p>
        </w:tc>
        <w:tc>
          <w:tcPr>
            <w:tcW w:w="524" w:type="pct"/>
            <w:noWrap/>
            <w:hideMark/>
          </w:tcPr>
          <w:p w14:paraId="38A4720A"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437 (8.5%)</w:t>
            </w:r>
          </w:p>
        </w:tc>
        <w:tc>
          <w:tcPr>
            <w:tcW w:w="524" w:type="pct"/>
            <w:noWrap/>
            <w:hideMark/>
          </w:tcPr>
          <w:p w14:paraId="38A4720B"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368 (7.2%)</w:t>
            </w:r>
          </w:p>
        </w:tc>
        <w:tc>
          <w:tcPr>
            <w:tcW w:w="609" w:type="pct"/>
            <w:noWrap/>
            <w:hideMark/>
          </w:tcPr>
          <w:p w14:paraId="38A4720C"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924 (18.0%)</w:t>
            </w:r>
          </w:p>
        </w:tc>
        <w:tc>
          <w:tcPr>
            <w:tcW w:w="311" w:type="pct"/>
            <w:noWrap/>
            <w:hideMark/>
          </w:tcPr>
          <w:p w14:paraId="38A4720D"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p>
        </w:tc>
      </w:tr>
      <w:tr w:rsidR="003F3393" w:rsidRPr="00FB60E5" w14:paraId="38A4721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20F" w14:textId="77777777" w:rsidR="003F3393" w:rsidRPr="009D5847" w:rsidRDefault="003F3393" w:rsidP="00FB60E5">
            <w:pPr>
              <w:ind w:left="0"/>
              <w:rPr>
                <w:b w:val="0"/>
              </w:rPr>
            </w:pPr>
            <w:r w:rsidRPr="009D5847">
              <w:rPr>
                <w:b w:val="0"/>
              </w:rPr>
              <w:t>Over 12 months ago (n=2664; 10.6%)</w:t>
            </w:r>
          </w:p>
        </w:tc>
        <w:tc>
          <w:tcPr>
            <w:tcW w:w="572" w:type="pct"/>
            <w:noWrap/>
            <w:hideMark/>
          </w:tcPr>
          <w:p w14:paraId="38A47210"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1548 (58.1%)</w:t>
            </w:r>
          </w:p>
        </w:tc>
        <w:tc>
          <w:tcPr>
            <w:tcW w:w="524" w:type="pct"/>
            <w:noWrap/>
            <w:hideMark/>
          </w:tcPr>
          <w:p w14:paraId="38A47211"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251 (9.4%)</w:t>
            </w:r>
          </w:p>
        </w:tc>
        <w:tc>
          <w:tcPr>
            <w:tcW w:w="524" w:type="pct"/>
            <w:noWrap/>
            <w:hideMark/>
          </w:tcPr>
          <w:p w14:paraId="38A47212"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197 (7.4%)</w:t>
            </w:r>
          </w:p>
        </w:tc>
        <w:tc>
          <w:tcPr>
            <w:tcW w:w="524" w:type="pct"/>
            <w:noWrap/>
            <w:hideMark/>
          </w:tcPr>
          <w:p w14:paraId="38A47213"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212 (8.0%)</w:t>
            </w:r>
          </w:p>
        </w:tc>
        <w:tc>
          <w:tcPr>
            <w:tcW w:w="609" w:type="pct"/>
            <w:noWrap/>
            <w:hideMark/>
          </w:tcPr>
          <w:p w14:paraId="38A47214"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r w:rsidRPr="00FB60E5">
              <w:t>456 (17.1%)</w:t>
            </w:r>
          </w:p>
        </w:tc>
        <w:tc>
          <w:tcPr>
            <w:tcW w:w="311" w:type="pct"/>
            <w:noWrap/>
            <w:hideMark/>
          </w:tcPr>
          <w:p w14:paraId="38A47215" w14:textId="77777777" w:rsidR="003F3393" w:rsidRPr="00FB60E5" w:rsidRDefault="003F3393" w:rsidP="00FB60E5">
            <w:pPr>
              <w:ind w:left="0"/>
              <w:cnfStyle w:val="000000100000" w:firstRow="0" w:lastRow="0" w:firstColumn="0" w:lastColumn="0" w:oddVBand="0" w:evenVBand="0" w:oddHBand="1" w:evenHBand="0" w:firstRowFirstColumn="0" w:firstRowLastColumn="0" w:lastRowFirstColumn="0" w:lastRowLastColumn="0"/>
            </w:pPr>
          </w:p>
        </w:tc>
      </w:tr>
      <w:tr w:rsidR="003F3393" w:rsidRPr="00FB60E5" w14:paraId="38A4721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1936" w:type="pct"/>
            <w:noWrap/>
            <w:hideMark/>
          </w:tcPr>
          <w:p w14:paraId="38A47217" w14:textId="77777777" w:rsidR="003F3393" w:rsidRPr="009D5847" w:rsidRDefault="003F3393" w:rsidP="00FB60E5">
            <w:pPr>
              <w:ind w:left="0"/>
              <w:rPr>
                <w:b w:val="0"/>
              </w:rPr>
            </w:pPr>
            <w:r w:rsidRPr="009D5847">
              <w:rPr>
                <w:b w:val="0"/>
              </w:rPr>
              <w:t>Unknown (n=4663; 18.5%)</w:t>
            </w:r>
          </w:p>
        </w:tc>
        <w:tc>
          <w:tcPr>
            <w:tcW w:w="572" w:type="pct"/>
            <w:noWrap/>
            <w:hideMark/>
          </w:tcPr>
          <w:p w14:paraId="38A47218"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2872 (61.6%)</w:t>
            </w:r>
          </w:p>
        </w:tc>
        <w:tc>
          <w:tcPr>
            <w:tcW w:w="524" w:type="pct"/>
            <w:noWrap/>
            <w:hideMark/>
          </w:tcPr>
          <w:p w14:paraId="38A47219"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350 (7.5%)</w:t>
            </w:r>
          </w:p>
        </w:tc>
        <w:tc>
          <w:tcPr>
            <w:tcW w:w="524" w:type="pct"/>
            <w:noWrap/>
            <w:hideMark/>
          </w:tcPr>
          <w:p w14:paraId="38A4721A"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347 (7.4%)</w:t>
            </w:r>
          </w:p>
        </w:tc>
        <w:tc>
          <w:tcPr>
            <w:tcW w:w="524" w:type="pct"/>
            <w:noWrap/>
            <w:hideMark/>
          </w:tcPr>
          <w:p w14:paraId="38A4721B"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323 (6.9%)</w:t>
            </w:r>
          </w:p>
        </w:tc>
        <w:tc>
          <w:tcPr>
            <w:tcW w:w="609" w:type="pct"/>
            <w:noWrap/>
            <w:hideMark/>
          </w:tcPr>
          <w:p w14:paraId="38A4721C"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771 (16.5%)</w:t>
            </w:r>
          </w:p>
        </w:tc>
        <w:tc>
          <w:tcPr>
            <w:tcW w:w="311" w:type="pct"/>
            <w:noWrap/>
            <w:hideMark/>
          </w:tcPr>
          <w:p w14:paraId="38A4721D" w14:textId="77777777" w:rsidR="003F3393" w:rsidRPr="00FB60E5" w:rsidRDefault="003F3393" w:rsidP="00FB60E5">
            <w:pPr>
              <w:ind w:left="0"/>
              <w:cnfStyle w:val="000000000000" w:firstRow="0" w:lastRow="0" w:firstColumn="0" w:lastColumn="0" w:oddVBand="0" w:evenVBand="0" w:oddHBand="0" w:evenHBand="0" w:firstRowFirstColumn="0" w:firstRowLastColumn="0" w:lastRowFirstColumn="0" w:lastRowLastColumn="0"/>
            </w:pPr>
            <w:r w:rsidRPr="00FB60E5">
              <w:t>&lt;0.001</w:t>
            </w:r>
          </w:p>
        </w:tc>
      </w:tr>
    </w:tbl>
    <w:p w14:paraId="38A47220" w14:textId="77777777" w:rsidR="00CA7A60" w:rsidRPr="00FB60E5" w:rsidRDefault="00CA7A60" w:rsidP="00FB60E5">
      <w:pPr>
        <w:ind w:left="0"/>
        <w:sectPr w:rsidR="00CA7A60" w:rsidRPr="00FB60E5" w:rsidSect="00CA7A60">
          <w:pgSz w:w="16838" w:h="11906" w:orient="landscape"/>
          <w:pgMar w:top="1276" w:right="1440" w:bottom="1440" w:left="1440" w:header="708" w:footer="595" w:gutter="0"/>
          <w:cols w:space="708"/>
          <w:docGrid w:linePitch="360"/>
        </w:sectPr>
      </w:pPr>
    </w:p>
    <w:p w14:paraId="38A47221" w14:textId="685FE51E" w:rsidR="00CA7A60" w:rsidRPr="00FB60E5" w:rsidRDefault="00CA7A60" w:rsidP="00552239">
      <w:pPr>
        <w:pStyle w:val="Caption"/>
      </w:pPr>
      <w:bookmarkStart w:id="280" w:name="_Ref387152523"/>
      <w:bookmarkStart w:id="281" w:name="_Toc387244643"/>
      <w:bookmarkStart w:id="282" w:name="_Toc531625816"/>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19</w:t>
      </w:r>
      <w:r w:rsidR="00552239">
        <w:fldChar w:fldCharType="end"/>
      </w:r>
      <w:bookmarkEnd w:id="280"/>
      <w:r w:rsidR="002C27A8">
        <w:t xml:space="preserve"> </w:t>
      </w:r>
      <w:r w:rsidRPr="00FB60E5">
        <w:t xml:space="preserve">Drug </w:t>
      </w:r>
      <w:r w:rsidR="004B5CD4" w:rsidRPr="00FB60E5">
        <w:t xml:space="preserve">use </w:t>
      </w:r>
      <w:r w:rsidRPr="00FB60E5">
        <w:t>characteristics by hospital admission, 2009/10, 2010/11 and 2011/12</w:t>
      </w:r>
      <w:bookmarkEnd w:id="281"/>
      <w:bookmarkEnd w:id="282"/>
    </w:p>
    <w:tbl>
      <w:tblPr>
        <w:tblStyle w:val="LightList-Accent1"/>
        <w:tblW w:w="5000" w:type="pct"/>
        <w:tblLook w:val="04A0" w:firstRow="1" w:lastRow="0" w:firstColumn="1" w:lastColumn="0" w:noHBand="0" w:noVBand="1"/>
        <w:tblDescription w:val="Table 4.19 is a list of Drug use characteristics by hospital admission, 2009/10, 2010/11 and 2011/12"/>
      </w:tblPr>
      <w:tblGrid>
        <w:gridCol w:w="5015"/>
        <w:gridCol w:w="1409"/>
        <w:gridCol w:w="1409"/>
        <w:gridCol w:w="1409"/>
      </w:tblGrid>
      <w:tr w:rsidR="00CA7A60" w:rsidRPr="00FB60E5" w14:paraId="38A47224" w14:textId="77777777" w:rsidTr="00C3606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36" w:type="pct"/>
            <w:vMerge w:val="restart"/>
            <w:noWrap/>
            <w:hideMark/>
          </w:tcPr>
          <w:p w14:paraId="38A47222" w14:textId="77777777" w:rsidR="00CA7A60" w:rsidRPr="00FB60E5" w:rsidRDefault="00CA7A60" w:rsidP="00FB60E5">
            <w:pPr>
              <w:ind w:left="0"/>
            </w:pPr>
            <w:r w:rsidRPr="00FB60E5">
              <w:t> </w:t>
            </w:r>
          </w:p>
        </w:tc>
        <w:tc>
          <w:tcPr>
            <w:tcW w:w="2264" w:type="pct"/>
            <w:gridSpan w:val="3"/>
            <w:noWrap/>
            <w:hideMark/>
          </w:tcPr>
          <w:p w14:paraId="38A47223" w14:textId="04C0ACAF"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Number of AOD clients </w:t>
            </w:r>
          </w:p>
        </w:tc>
      </w:tr>
      <w:tr w:rsidR="00CA7A60" w:rsidRPr="00FB60E5" w14:paraId="38A47229" w14:textId="77777777" w:rsidTr="00C3606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36" w:type="pct"/>
            <w:vMerge/>
            <w:hideMark/>
          </w:tcPr>
          <w:p w14:paraId="38A47225" w14:textId="77777777" w:rsidR="00CA7A60" w:rsidRPr="00FB60E5" w:rsidRDefault="00CA7A60" w:rsidP="00FB60E5">
            <w:pPr>
              <w:ind w:left="0"/>
            </w:pPr>
          </w:p>
        </w:tc>
        <w:tc>
          <w:tcPr>
            <w:tcW w:w="755" w:type="pct"/>
            <w:hideMark/>
          </w:tcPr>
          <w:p w14:paraId="38A4722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755" w:type="pct"/>
            <w:hideMark/>
          </w:tcPr>
          <w:p w14:paraId="38A4722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755" w:type="pct"/>
            <w:hideMark/>
          </w:tcPr>
          <w:p w14:paraId="38A4722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22E"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2A" w14:textId="77777777" w:rsidR="00CA7A60" w:rsidRPr="00FB60E5" w:rsidRDefault="00CA7A60" w:rsidP="00FB60E5">
            <w:pPr>
              <w:ind w:left="0"/>
            </w:pPr>
            <w:r w:rsidRPr="00FB60E5">
              <w:t>Total (n=25229)</w:t>
            </w:r>
          </w:p>
        </w:tc>
        <w:tc>
          <w:tcPr>
            <w:tcW w:w="755" w:type="pct"/>
            <w:noWrap/>
            <w:hideMark/>
          </w:tcPr>
          <w:p w14:paraId="38A4722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5367 (21.3%)</w:t>
            </w:r>
          </w:p>
        </w:tc>
        <w:tc>
          <w:tcPr>
            <w:tcW w:w="755" w:type="pct"/>
            <w:noWrap/>
            <w:hideMark/>
          </w:tcPr>
          <w:p w14:paraId="38A4722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5301 (21.0%)</w:t>
            </w:r>
          </w:p>
        </w:tc>
        <w:tc>
          <w:tcPr>
            <w:tcW w:w="755" w:type="pct"/>
            <w:noWrap/>
            <w:hideMark/>
          </w:tcPr>
          <w:p w14:paraId="38A4722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4983 (19.8%)</w:t>
            </w:r>
          </w:p>
        </w:tc>
      </w:tr>
      <w:tr w:rsidR="00C36065" w:rsidRPr="00FB60E5" w14:paraId="38A47232"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231" w14:textId="55BA99FB" w:rsidR="00C36065" w:rsidRPr="00FB60E5" w:rsidRDefault="00C36065" w:rsidP="00FB60E5">
            <w:pPr>
              <w:ind w:left="0"/>
            </w:pPr>
            <w:r w:rsidRPr="00FB60E5">
              <w:t>Primary drug of concern</w:t>
            </w:r>
          </w:p>
        </w:tc>
      </w:tr>
      <w:tr w:rsidR="00CA7A60" w:rsidRPr="00FB60E5" w14:paraId="38A47237"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33" w14:textId="77777777" w:rsidR="00CA7A60" w:rsidRPr="00C36065" w:rsidRDefault="00CA7A60" w:rsidP="00FB60E5">
            <w:pPr>
              <w:ind w:left="0"/>
              <w:rPr>
                <w:b w:val="0"/>
              </w:rPr>
            </w:pPr>
            <w:r w:rsidRPr="00C36065">
              <w:rPr>
                <w:b w:val="0"/>
              </w:rPr>
              <w:t>Alcohol (n=11912; 47.2%)</w:t>
            </w:r>
          </w:p>
        </w:tc>
        <w:tc>
          <w:tcPr>
            <w:tcW w:w="755" w:type="pct"/>
            <w:noWrap/>
            <w:hideMark/>
          </w:tcPr>
          <w:p w14:paraId="38A4723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2678 (22.5%)</w:t>
            </w:r>
          </w:p>
        </w:tc>
        <w:tc>
          <w:tcPr>
            <w:tcW w:w="755" w:type="pct"/>
            <w:noWrap/>
            <w:hideMark/>
          </w:tcPr>
          <w:p w14:paraId="38A4723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2687 (22.6%)</w:t>
            </w:r>
          </w:p>
        </w:tc>
        <w:tc>
          <w:tcPr>
            <w:tcW w:w="755" w:type="pct"/>
            <w:noWrap/>
            <w:hideMark/>
          </w:tcPr>
          <w:p w14:paraId="38A4723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2480 (20.8%)</w:t>
            </w:r>
          </w:p>
        </w:tc>
      </w:tr>
      <w:tr w:rsidR="00CA7A60" w:rsidRPr="00FB60E5" w14:paraId="38A4723C"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38" w14:textId="77777777" w:rsidR="00CA7A60" w:rsidRPr="00C36065" w:rsidRDefault="00CA7A60" w:rsidP="00FB60E5">
            <w:pPr>
              <w:ind w:left="0"/>
              <w:rPr>
                <w:b w:val="0"/>
              </w:rPr>
            </w:pPr>
            <w:r w:rsidRPr="00C36065">
              <w:rPr>
                <w:b w:val="0"/>
              </w:rPr>
              <w:t>Cannabis (n=5663; 22.4%)</w:t>
            </w:r>
          </w:p>
        </w:tc>
        <w:tc>
          <w:tcPr>
            <w:tcW w:w="755" w:type="pct"/>
            <w:noWrap/>
            <w:hideMark/>
          </w:tcPr>
          <w:p w14:paraId="38A4723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1108 (19.6%)</w:t>
            </w:r>
          </w:p>
        </w:tc>
        <w:tc>
          <w:tcPr>
            <w:tcW w:w="755" w:type="pct"/>
            <w:noWrap/>
            <w:hideMark/>
          </w:tcPr>
          <w:p w14:paraId="38A4723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1029 (18.2%)</w:t>
            </w:r>
          </w:p>
        </w:tc>
        <w:tc>
          <w:tcPr>
            <w:tcW w:w="755" w:type="pct"/>
            <w:noWrap/>
            <w:hideMark/>
          </w:tcPr>
          <w:p w14:paraId="38A4723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1016 (17.9%)</w:t>
            </w:r>
          </w:p>
        </w:tc>
      </w:tr>
      <w:tr w:rsidR="00CA7A60" w:rsidRPr="00FB60E5" w14:paraId="38A47241"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3D" w14:textId="77777777" w:rsidR="00CA7A60" w:rsidRPr="00C36065" w:rsidRDefault="00CA7A60" w:rsidP="00FB60E5">
            <w:pPr>
              <w:ind w:left="0"/>
              <w:rPr>
                <w:b w:val="0"/>
              </w:rPr>
            </w:pPr>
            <w:r w:rsidRPr="00C36065">
              <w:rPr>
                <w:b w:val="0"/>
              </w:rPr>
              <w:t>Heroin &amp; other opioids (n=3863; 15.3%)</w:t>
            </w:r>
          </w:p>
        </w:tc>
        <w:tc>
          <w:tcPr>
            <w:tcW w:w="755" w:type="pct"/>
            <w:noWrap/>
            <w:hideMark/>
          </w:tcPr>
          <w:p w14:paraId="38A4723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849 (22.0%)</w:t>
            </w:r>
          </w:p>
        </w:tc>
        <w:tc>
          <w:tcPr>
            <w:tcW w:w="755" w:type="pct"/>
            <w:noWrap/>
            <w:hideMark/>
          </w:tcPr>
          <w:p w14:paraId="38A4723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827 (21.4%)</w:t>
            </w:r>
          </w:p>
        </w:tc>
        <w:tc>
          <w:tcPr>
            <w:tcW w:w="755" w:type="pct"/>
            <w:noWrap/>
            <w:hideMark/>
          </w:tcPr>
          <w:p w14:paraId="38A4724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796 (20.6%)</w:t>
            </w:r>
          </w:p>
        </w:tc>
      </w:tr>
      <w:tr w:rsidR="00CA7A60" w:rsidRPr="00FB60E5" w14:paraId="38A47246"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42" w14:textId="77777777" w:rsidR="00CA7A60" w:rsidRPr="00C36065" w:rsidRDefault="00CA7A60" w:rsidP="00FB60E5">
            <w:pPr>
              <w:ind w:left="0"/>
              <w:rPr>
                <w:b w:val="0"/>
              </w:rPr>
            </w:pPr>
            <w:r w:rsidRPr="00C36065">
              <w:rPr>
                <w:b w:val="0"/>
              </w:rPr>
              <w:t>Amphetamine &amp; other stimulants (n=2198; 8.7%)</w:t>
            </w:r>
          </w:p>
        </w:tc>
        <w:tc>
          <w:tcPr>
            <w:tcW w:w="755" w:type="pct"/>
            <w:noWrap/>
            <w:hideMark/>
          </w:tcPr>
          <w:p w14:paraId="38A4724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392 (17.8%)</w:t>
            </w:r>
          </w:p>
        </w:tc>
        <w:tc>
          <w:tcPr>
            <w:tcW w:w="755" w:type="pct"/>
            <w:noWrap/>
            <w:hideMark/>
          </w:tcPr>
          <w:p w14:paraId="38A4724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387 (17.6%)</w:t>
            </w:r>
          </w:p>
        </w:tc>
        <w:tc>
          <w:tcPr>
            <w:tcW w:w="755" w:type="pct"/>
            <w:noWrap/>
            <w:hideMark/>
          </w:tcPr>
          <w:p w14:paraId="38A4724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370 (16.8%)</w:t>
            </w:r>
          </w:p>
        </w:tc>
      </w:tr>
      <w:tr w:rsidR="00CA7A60" w:rsidRPr="00FB60E5" w14:paraId="38A4724B"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47" w14:textId="77777777" w:rsidR="00CA7A60" w:rsidRPr="00C36065" w:rsidRDefault="00CA7A60" w:rsidP="00FB60E5">
            <w:pPr>
              <w:ind w:left="0"/>
              <w:rPr>
                <w:b w:val="0"/>
              </w:rPr>
            </w:pPr>
            <w:r w:rsidRPr="00C36065">
              <w:rPr>
                <w:b w:val="0"/>
              </w:rPr>
              <w:t>Benzodiazepines &amp; other tranquillisers (n=522; 2.1%)</w:t>
            </w:r>
          </w:p>
        </w:tc>
        <w:tc>
          <w:tcPr>
            <w:tcW w:w="755" w:type="pct"/>
            <w:noWrap/>
            <w:hideMark/>
          </w:tcPr>
          <w:p w14:paraId="38A4724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123 (23.6%)</w:t>
            </w:r>
          </w:p>
        </w:tc>
        <w:tc>
          <w:tcPr>
            <w:tcW w:w="755" w:type="pct"/>
            <w:noWrap/>
            <w:hideMark/>
          </w:tcPr>
          <w:p w14:paraId="38A4724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135 (25.9%)</w:t>
            </w:r>
          </w:p>
        </w:tc>
        <w:tc>
          <w:tcPr>
            <w:tcW w:w="755" w:type="pct"/>
            <w:noWrap/>
            <w:hideMark/>
          </w:tcPr>
          <w:p w14:paraId="38A4724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120 (23.0%)</w:t>
            </w:r>
          </w:p>
        </w:tc>
      </w:tr>
      <w:tr w:rsidR="00CA7A60" w:rsidRPr="00FB60E5" w14:paraId="38A47250"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4C" w14:textId="77777777" w:rsidR="00CA7A60" w:rsidRPr="00C36065" w:rsidRDefault="00CA7A60" w:rsidP="00FB60E5">
            <w:pPr>
              <w:ind w:left="0"/>
              <w:rPr>
                <w:b w:val="0"/>
              </w:rPr>
            </w:pPr>
            <w:r w:rsidRPr="00C36065">
              <w:rPr>
                <w:b w:val="0"/>
              </w:rPr>
              <w:t>Other (n=730; 2.9%)</w:t>
            </w:r>
          </w:p>
        </w:tc>
        <w:tc>
          <w:tcPr>
            <w:tcW w:w="755" w:type="pct"/>
            <w:noWrap/>
            <w:hideMark/>
          </w:tcPr>
          <w:p w14:paraId="38A4724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144 (19.7%)</w:t>
            </w:r>
          </w:p>
        </w:tc>
        <w:tc>
          <w:tcPr>
            <w:tcW w:w="755" w:type="pct"/>
            <w:noWrap/>
            <w:hideMark/>
          </w:tcPr>
          <w:p w14:paraId="38A4724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165 (22.6%)</w:t>
            </w:r>
          </w:p>
        </w:tc>
        <w:tc>
          <w:tcPr>
            <w:tcW w:w="755" w:type="pct"/>
            <w:noWrap/>
            <w:hideMark/>
          </w:tcPr>
          <w:p w14:paraId="38A4724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134 (18.4%)</w:t>
            </w:r>
          </w:p>
        </w:tc>
      </w:tr>
      <w:tr w:rsidR="00CA7A60" w:rsidRPr="00FB60E5" w14:paraId="38A47255"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51" w14:textId="77777777" w:rsidR="00CA7A60" w:rsidRPr="00C36065" w:rsidRDefault="00CA7A60" w:rsidP="00FB60E5">
            <w:pPr>
              <w:ind w:left="0"/>
              <w:rPr>
                <w:b w:val="0"/>
              </w:rPr>
            </w:pPr>
            <w:r w:rsidRPr="00C36065">
              <w:rPr>
                <w:b w:val="0"/>
              </w:rPr>
              <w:t>Unknown (n=341; 1.4%)</w:t>
            </w:r>
          </w:p>
        </w:tc>
        <w:tc>
          <w:tcPr>
            <w:tcW w:w="755" w:type="pct"/>
            <w:noWrap/>
            <w:hideMark/>
          </w:tcPr>
          <w:p w14:paraId="38A472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73 (21.4%)</w:t>
            </w:r>
          </w:p>
        </w:tc>
        <w:tc>
          <w:tcPr>
            <w:tcW w:w="755" w:type="pct"/>
            <w:noWrap/>
            <w:hideMark/>
          </w:tcPr>
          <w:p w14:paraId="38A472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 (20.8%)</w:t>
            </w:r>
          </w:p>
        </w:tc>
        <w:tc>
          <w:tcPr>
            <w:tcW w:w="755" w:type="pct"/>
            <w:noWrap/>
            <w:hideMark/>
          </w:tcPr>
          <w:p w14:paraId="38A4725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67 (19.6%)</w:t>
            </w:r>
          </w:p>
        </w:tc>
      </w:tr>
      <w:tr w:rsidR="00C36065" w:rsidRPr="00FB60E5" w14:paraId="38A47259"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258" w14:textId="5682ED49" w:rsidR="00C36065" w:rsidRPr="00C36065" w:rsidRDefault="00C36065" w:rsidP="00FB60E5">
            <w:pPr>
              <w:ind w:left="0"/>
              <w:rPr>
                <w:b w:val="0"/>
                <w:bCs w:val="0"/>
              </w:rPr>
            </w:pPr>
            <w:r w:rsidRPr="00FB60E5">
              <w:t xml:space="preserve">Method of use </w:t>
            </w:r>
          </w:p>
        </w:tc>
      </w:tr>
      <w:tr w:rsidR="00CA7A60" w:rsidRPr="00FB60E5" w14:paraId="38A4725E"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5A" w14:textId="77777777" w:rsidR="00CA7A60" w:rsidRPr="00C36065" w:rsidRDefault="00CA7A60" w:rsidP="00FB60E5">
            <w:pPr>
              <w:ind w:left="0"/>
              <w:rPr>
                <w:b w:val="0"/>
              </w:rPr>
            </w:pPr>
            <w:r w:rsidRPr="00C36065">
              <w:rPr>
                <w:b w:val="0"/>
              </w:rPr>
              <w:t>Ingest (n=12461; 49.4%)</w:t>
            </w:r>
          </w:p>
        </w:tc>
        <w:tc>
          <w:tcPr>
            <w:tcW w:w="755" w:type="pct"/>
            <w:noWrap/>
            <w:hideMark/>
          </w:tcPr>
          <w:p w14:paraId="38A472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2802 (22.5%)</w:t>
            </w:r>
          </w:p>
        </w:tc>
        <w:tc>
          <w:tcPr>
            <w:tcW w:w="755" w:type="pct"/>
            <w:noWrap/>
            <w:hideMark/>
          </w:tcPr>
          <w:p w14:paraId="38A4725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2829 (22.7%)</w:t>
            </w:r>
          </w:p>
        </w:tc>
        <w:tc>
          <w:tcPr>
            <w:tcW w:w="755" w:type="pct"/>
            <w:noWrap/>
            <w:hideMark/>
          </w:tcPr>
          <w:p w14:paraId="38A4725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2601 (20.9%)</w:t>
            </w:r>
          </w:p>
        </w:tc>
      </w:tr>
      <w:tr w:rsidR="00CA7A60" w:rsidRPr="00FB60E5" w14:paraId="38A47263"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5F" w14:textId="77777777" w:rsidR="00CA7A60" w:rsidRPr="00C36065" w:rsidRDefault="00CA7A60" w:rsidP="00FB60E5">
            <w:pPr>
              <w:ind w:left="0"/>
              <w:rPr>
                <w:b w:val="0"/>
              </w:rPr>
            </w:pPr>
            <w:r w:rsidRPr="00C36065">
              <w:rPr>
                <w:b w:val="0"/>
              </w:rPr>
              <w:t>Smoke (n=5103; 20.2%)</w:t>
            </w:r>
          </w:p>
        </w:tc>
        <w:tc>
          <w:tcPr>
            <w:tcW w:w="755" w:type="pct"/>
            <w:noWrap/>
            <w:hideMark/>
          </w:tcPr>
          <w:p w14:paraId="38A4726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972 (19.0%)</w:t>
            </w:r>
          </w:p>
        </w:tc>
        <w:tc>
          <w:tcPr>
            <w:tcW w:w="755" w:type="pct"/>
            <w:noWrap/>
            <w:hideMark/>
          </w:tcPr>
          <w:p w14:paraId="38A4726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918 (18.0%)</w:t>
            </w:r>
          </w:p>
        </w:tc>
        <w:tc>
          <w:tcPr>
            <w:tcW w:w="755" w:type="pct"/>
            <w:noWrap/>
            <w:hideMark/>
          </w:tcPr>
          <w:p w14:paraId="38A4726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897 (17.6%)</w:t>
            </w:r>
          </w:p>
        </w:tc>
      </w:tr>
      <w:tr w:rsidR="00CA7A60" w:rsidRPr="00FB60E5" w14:paraId="38A47268"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64" w14:textId="77777777" w:rsidR="00CA7A60" w:rsidRPr="00C36065" w:rsidRDefault="00CA7A60" w:rsidP="00FB60E5">
            <w:pPr>
              <w:ind w:left="0"/>
              <w:rPr>
                <w:b w:val="0"/>
              </w:rPr>
            </w:pPr>
            <w:r w:rsidRPr="00C36065">
              <w:rPr>
                <w:b w:val="0"/>
              </w:rPr>
              <w:t>Inject (n=3632; 14.4%)</w:t>
            </w:r>
          </w:p>
        </w:tc>
        <w:tc>
          <w:tcPr>
            <w:tcW w:w="755" w:type="pct"/>
            <w:noWrap/>
            <w:hideMark/>
          </w:tcPr>
          <w:p w14:paraId="38A4726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780 (21.5%)</w:t>
            </w:r>
          </w:p>
        </w:tc>
        <w:tc>
          <w:tcPr>
            <w:tcW w:w="755" w:type="pct"/>
            <w:noWrap/>
            <w:hideMark/>
          </w:tcPr>
          <w:p w14:paraId="38A4726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778 (21.4%)</w:t>
            </w:r>
          </w:p>
        </w:tc>
        <w:tc>
          <w:tcPr>
            <w:tcW w:w="755" w:type="pct"/>
            <w:noWrap/>
            <w:hideMark/>
          </w:tcPr>
          <w:p w14:paraId="38A4726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730 (20.1%)</w:t>
            </w:r>
          </w:p>
        </w:tc>
      </w:tr>
      <w:tr w:rsidR="00CA7A60" w:rsidRPr="00FB60E5" w14:paraId="38A4726D"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69" w14:textId="77777777" w:rsidR="00CA7A60" w:rsidRPr="00C36065" w:rsidRDefault="00CA7A60" w:rsidP="00FB60E5">
            <w:pPr>
              <w:ind w:left="0"/>
              <w:rPr>
                <w:b w:val="0"/>
              </w:rPr>
            </w:pPr>
            <w:r w:rsidRPr="00C36065">
              <w:rPr>
                <w:b w:val="0"/>
              </w:rPr>
              <w:t>Sniff/inhale (n=1340; 5.3%)</w:t>
            </w:r>
          </w:p>
        </w:tc>
        <w:tc>
          <w:tcPr>
            <w:tcW w:w="755" w:type="pct"/>
            <w:noWrap/>
            <w:hideMark/>
          </w:tcPr>
          <w:p w14:paraId="38A472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258 (19.3%)</w:t>
            </w:r>
          </w:p>
        </w:tc>
        <w:tc>
          <w:tcPr>
            <w:tcW w:w="755" w:type="pct"/>
            <w:noWrap/>
            <w:hideMark/>
          </w:tcPr>
          <w:p w14:paraId="38A4726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234 (17.5%)</w:t>
            </w:r>
          </w:p>
        </w:tc>
        <w:tc>
          <w:tcPr>
            <w:tcW w:w="755" w:type="pct"/>
            <w:noWrap/>
            <w:hideMark/>
          </w:tcPr>
          <w:p w14:paraId="38A4726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226 (16.9%)</w:t>
            </w:r>
          </w:p>
        </w:tc>
      </w:tr>
      <w:tr w:rsidR="00CA7A60" w:rsidRPr="00FB60E5" w14:paraId="38A47272"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6E" w14:textId="77777777" w:rsidR="00CA7A60" w:rsidRPr="00C36065" w:rsidRDefault="00CA7A60" w:rsidP="00FB60E5">
            <w:pPr>
              <w:ind w:left="0"/>
              <w:rPr>
                <w:b w:val="0"/>
              </w:rPr>
            </w:pPr>
            <w:r w:rsidRPr="00C36065">
              <w:rPr>
                <w:b w:val="0"/>
              </w:rPr>
              <w:t>Other/unknown (n=2693; 10.7%)</w:t>
            </w:r>
          </w:p>
        </w:tc>
        <w:tc>
          <w:tcPr>
            <w:tcW w:w="755" w:type="pct"/>
            <w:noWrap/>
            <w:hideMark/>
          </w:tcPr>
          <w:p w14:paraId="38A472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555 (20.6%)</w:t>
            </w:r>
          </w:p>
        </w:tc>
        <w:tc>
          <w:tcPr>
            <w:tcW w:w="755" w:type="pct"/>
            <w:noWrap/>
            <w:hideMark/>
          </w:tcPr>
          <w:p w14:paraId="38A472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542 (20.1%)</w:t>
            </w:r>
          </w:p>
        </w:tc>
        <w:tc>
          <w:tcPr>
            <w:tcW w:w="755" w:type="pct"/>
            <w:noWrap/>
            <w:hideMark/>
          </w:tcPr>
          <w:p w14:paraId="38A472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529 (19.6%)</w:t>
            </w:r>
          </w:p>
        </w:tc>
      </w:tr>
      <w:tr w:rsidR="00C36065" w:rsidRPr="00FB60E5" w14:paraId="38A47276"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275" w14:textId="74306F79" w:rsidR="00C36065" w:rsidRPr="00FB60E5" w:rsidRDefault="00C36065" w:rsidP="00FB60E5">
            <w:pPr>
              <w:ind w:left="0"/>
            </w:pPr>
            <w:proofErr w:type="spellStart"/>
            <w:r w:rsidRPr="00FB60E5">
              <w:t>Polydrug</w:t>
            </w:r>
            <w:proofErr w:type="spellEnd"/>
            <w:r w:rsidRPr="00FB60E5">
              <w:t xml:space="preserve"> use</w:t>
            </w:r>
          </w:p>
        </w:tc>
      </w:tr>
      <w:tr w:rsidR="00CA7A60" w:rsidRPr="00FB60E5" w14:paraId="38A4727B"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77" w14:textId="77777777" w:rsidR="00CA7A60" w:rsidRPr="00C36065" w:rsidRDefault="00CA7A60" w:rsidP="00FB60E5">
            <w:pPr>
              <w:ind w:left="0"/>
              <w:rPr>
                <w:b w:val="0"/>
              </w:rPr>
            </w:pPr>
            <w:r w:rsidRPr="00C36065">
              <w:rPr>
                <w:b w:val="0"/>
              </w:rPr>
              <w:t>Yes (n=10899; 43.2%)</w:t>
            </w:r>
          </w:p>
        </w:tc>
        <w:tc>
          <w:tcPr>
            <w:tcW w:w="755" w:type="pct"/>
            <w:noWrap/>
            <w:hideMark/>
          </w:tcPr>
          <w:p w14:paraId="38A4727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2293 (21.0%)</w:t>
            </w:r>
          </w:p>
        </w:tc>
        <w:tc>
          <w:tcPr>
            <w:tcW w:w="755" w:type="pct"/>
            <w:noWrap/>
            <w:hideMark/>
          </w:tcPr>
          <w:p w14:paraId="38A4727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2192 (20.1%)</w:t>
            </w:r>
          </w:p>
        </w:tc>
        <w:tc>
          <w:tcPr>
            <w:tcW w:w="755" w:type="pct"/>
            <w:noWrap/>
            <w:hideMark/>
          </w:tcPr>
          <w:p w14:paraId="38A4727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2072 (19.0%)</w:t>
            </w:r>
          </w:p>
        </w:tc>
      </w:tr>
      <w:tr w:rsidR="00CA7A60" w:rsidRPr="00FB60E5" w14:paraId="38A47280"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7C" w14:textId="77777777" w:rsidR="00CA7A60" w:rsidRPr="00C36065" w:rsidRDefault="00CA7A60" w:rsidP="00FB60E5">
            <w:pPr>
              <w:ind w:left="0"/>
              <w:rPr>
                <w:b w:val="0"/>
              </w:rPr>
            </w:pPr>
            <w:r w:rsidRPr="00C36065">
              <w:rPr>
                <w:b w:val="0"/>
              </w:rPr>
              <w:t>No (n=9939; 39.4%)</w:t>
            </w:r>
          </w:p>
        </w:tc>
        <w:tc>
          <w:tcPr>
            <w:tcW w:w="755" w:type="pct"/>
            <w:noWrap/>
            <w:hideMark/>
          </w:tcPr>
          <w:p w14:paraId="38A4727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2209 (22.2%)</w:t>
            </w:r>
          </w:p>
        </w:tc>
        <w:tc>
          <w:tcPr>
            <w:tcW w:w="755" w:type="pct"/>
            <w:noWrap/>
            <w:hideMark/>
          </w:tcPr>
          <w:p w14:paraId="38A4727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2235 (22.5%)</w:t>
            </w:r>
          </w:p>
        </w:tc>
        <w:tc>
          <w:tcPr>
            <w:tcW w:w="755" w:type="pct"/>
            <w:noWrap/>
            <w:hideMark/>
          </w:tcPr>
          <w:p w14:paraId="38A4727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2052 (20.6%)</w:t>
            </w:r>
          </w:p>
        </w:tc>
      </w:tr>
      <w:tr w:rsidR="00CA7A60" w:rsidRPr="00FB60E5" w14:paraId="38A47285"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81" w14:textId="77777777" w:rsidR="00CA7A60" w:rsidRPr="00C36065" w:rsidRDefault="00CA7A60" w:rsidP="00FB60E5">
            <w:pPr>
              <w:ind w:left="0"/>
              <w:rPr>
                <w:b w:val="0"/>
              </w:rPr>
            </w:pPr>
            <w:r w:rsidRPr="00C36065">
              <w:rPr>
                <w:b w:val="0"/>
              </w:rPr>
              <w:t>Unknown (n=4391; 17.4%)</w:t>
            </w:r>
          </w:p>
        </w:tc>
        <w:tc>
          <w:tcPr>
            <w:tcW w:w="755" w:type="pct"/>
            <w:noWrap/>
            <w:hideMark/>
          </w:tcPr>
          <w:p w14:paraId="38A4728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865 (19.7%)</w:t>
            </w:r>
          </w:p>
        </w:tc>
        <w:tc>
          <w:tcPr>
            <w:tcW w:w="755" w:type="pct"/>
            <w:noWrap/>
            <w:hideMark/>
          </w:tcPr>
          <w:p w14:paraId="38A4728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874 (19.9%)</w:t>
            </w:r>
          </w:p>
        </w:tc>
        <w:tc>
          <w:tcPr>
            <w:tcW w:w="755" w:type="pct"/>
            <w:noWrap/>
            <w:hideMark/>
          </w:tcPr>
          <w:p w14:paraId="38A4728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859 (19.6%)</w:t>
            </w:r>
          </w:p>
        </w:tc>
      </w:tr>
      <w:tr w:rsidR="00C36065" w:rsidRPr="00FB60E5" w14:paraId="38A47289"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288" w14:textId="718ABCC0" w:rsidR="00C36065" w:rsidRPr="00C36065" w:rsidRDefault="00C36065" w:rsidP="00FB60E5">
            <w:pPr>
              <w:ind w:left="0"/>
              <w:rPr>
                <w:b w:val="0"/>
                <w:bCs w:val="0"/>
              </w:rPr>
            </w:pPr>
            <w:r w:rsidRPr="00FB60E5">
              <w:t>Injecting drug use history</w:t>
            </w:r>
          </w:p>
        </w:tc>
      </w:tr>
      <w:tr w:rsidR="00CA7A60" w:rsidRPr="00FB60E5" w14:paraId="38A4728E"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8A" w14:textId="77777777" w:rsidR="00CA7A60" w:rsidRPr="00C36065" w:rsidRDefault="00CA7A60" w:rsidP="00FB60E5">
            <w:pPr>
              <w:ind w:left="0"/>
              <w:rPr>
                <w:b w:val="0"/>
              </w:rPr>
            </w:pPr>
            <w:r w:rsidRPr="00C36065">
              <w:rPr>
                <w:b w:val="0"/>
              </w:rPr>
              <w:t>Never injected (n=12767; 50.6%)</w:t>
            </w:r>
          </w:p>
        </w:tc>
        <w:tc>
          <w:tcPr>
            <w:tcW w:w="755" w:type="pct"/>
            <w:noWrap/>
            <w:hideMark/>
          </w:tcPr>
          <w:p w14:paraId="38A4728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2659 (20.8%)</w:t>
            </w:r>
          </w:p>
        </w:tc>
        <w:tc>
          <w:tcPr>
            <w:tcW w:w="755" w:type="pct"/>
            <w:noWrap/>
            <w:hideMark/>
          </w:tcPr>
          <w:p w14:paraId="38A4728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2621 (20.5%)</w:t>
            </w:r>
          </w:p>
        </w:tc>
        <w:tc>
          <w:tcPr>
            <w:tcW w:w="755" w:type="pct"/>
            <w:noWrap/>
            <w:hideMark/>
          </w:tcPr>
          <w:p w14:paraId="38A4728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2437 (19.1%)</w:t>
            </w:r>
          </w:p>
        </w:tc>
      </w:tr>
      <w:tr w:rsidR="00CA7A60" w:rsidRPr="00FB60E5" w14:paraId="38A47293"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8F" w14:textId="77777777" w:rsidR="00CA7A60" w:rsidRPr="00C36065" w:rsidRDefault="00CA7A60" w:rsidP="00FB60E5">
            <w:pPr>
              <w:ind w:left="0"/>
              <w:rPr>
                <w:b w:val="0"/>
              </w:rPr>
            </w:pPr>
            <w:r w:rsidRPr="00C36065">
              <w:rPr>
                <w:b w:val="0"/>
              </w:rPr>
              <w:t>Within past 12 months (n=5135; 20.4%)</w:t>
            </w:r>
          </w:p>
        </w:tc>
        <w:tc>
          <w:tcPr>
            <w:tcW w:w="755" w:type="pct"/>
            <w:noWrap/>
            <w:hideMark/>
          </w:tcPr>
          <w:p w14:paraId="38A4729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1175 (22.9%)</w:t>
            </w:r>
          </w:p>
        </w:tc>
        <w:tc>
          <w:tcPr>
            <w:tcW w:w="755" w:type="pct"/>
            <w:noWrap/>
            <w:hideMark/>
          </w:tcPr>
          <w:p w14:paraId="38A4729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1153 (22.5%)</w:t>
            </w:r>
          </w:p>
        </w:tc>
        <w:tc>
          <w:tcPr>
            <w:tcW w:w="755" w:type="pct"/>
            <w:noWrap/>
            <w:hideMark/>
          </w:tcPr>
          <w:p w14:paraId="38A4729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1065 (20.7%)</w:t>
            </w:r>
          </w:p>
        </w:tc>
      </w:tr>
      <w:tr w:rsidR="00CA7A60" w:rsidRPr="00FB60E5" w14:paraId="38A47298" w14:textId="77777777" w:rsidTr="00C360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94" w14:textId="77777777" w:rsidR="00CA7A60" w:rsidRPr="00C36065" w:rsidRDefault="00CA7A60" w:rsidP="00FB60E5">
            <w:pPr>
              <w:ind w:left="0"/>
              <w:rPr>
                <w:b w:val="0"/>
              </w:rPr>
            </w:pPr>
            <w:r w:rsidRPr="00C36065">
              <w:rPr>
                <w:b w:val="0"/>
              </w:rPr>
              <w:t>Over 12 months ago (n=2664; 10.6%)</w:t>
            </w:r>
          </w:p>
        </w:tc>
        <w:tc>
          <w:tcPr>
            <w:tcW w:w="755" w:type="pct"/>
            <w:noWrap/>
            <w:hideMark/>
          </w:tcPr>
          <w:p w14:paraId="38A472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600 (22.5%)</w:t>
            </w:r>
          </w:p>
        </w:tc>
        <w:tc>
          <w:tcPr>
            <w:tcW w:w="755" w:type="pct"/>
            <w:noWrap/>
            <w:hideMark/>
          </w:tcPr>
          <w:p w14:paraId="38A4729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574 (21.5%)</w:t>
            </w:r>
          </w:p>
        </w:tc>
        <w:tc>
          <w:tcPr>
            <w:tcW w:w="755" w:type="pct"/>
            <w:noWrap/>
            <w:hideMark/>
          </w:tcPr>
          <w:p w14:paraId="38A4729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554 (20.8%)</w:t>
            </w:r>
          </w:p>
        </w:tc>
      </w:tr>
      <w:tr w:rsidR="00CA7A60" w:rsidRPr="00FB60E5" w14:paraId="38A4729D" w14:textId="77777777" w:rsidTr="00C36065">
        <w:trPr>
          <w:trHeight w:val="300"/>
        </w:trPr>
        <w:tc>
          <w:tcPr>
            <w:cnfStyle w:val="001000000000" w:firstRow="0" w:lastRow="0" w:firstColumn="1" w:lastColumn="0" w:oddVBand="0" w:evenVBand="0" w:oddHBand="0" w:evenHBand="0" w:firstRowFirstColumn="0" w:firstRowLastColumn="0" w:lastRowFirstColumn="0" w:lastRowLastColumn="0"/>
            <w:tcW w:w="2736" w:type="pct"/>
            <w:noWrap/>
            <w:hideMark/>
          </w:tcPr>
          <w:p w14:paraId="38A47299" w14:textId="77777777" w:rsidR="00CA7A60" w:rsidRPr="00C36065" w:rsidRDefault="00CA7A60" w:rsidP="00FB60E5">
            <w:pPr>
              <w:ind w:left="0"/>
              <w:rPr>
                <w:b w:val="0"/>
              </w:rPr>
            </w:pPr>
            <w:r w:rsidRPr="00C36065">
              <w:rPr>
                <w:b w:val="0"/>
              </w:rPr>
              <w:t>Unknown (n=4663; 18.5%)</w:t>
            </w:r>
          </w:p>
        </w:tc>
        <w:tc>
          <w:tcPr>
            <w:tcW w:w="755" w:type="pct"/>
            <w:noWrap/>
            <w:hideMark/>
          </w:tcPr>
          <w:p w14:paraId="38A472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933 (20.0%)</w:t>
            </w:r>
          </w:p>
        </w:tc>
        <w:tc>
          <w:tcPr>
            <w:tcW w:w="755" w:type="pct"/>
            <w:noWrap/>
            <w:hideMark/>
          </w:tcPr>
          <w:p w14:paraId="38A4729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953 (20.4%)</w:t>
            </w:r>
          </w:p>
        </w:tc>
        <w:tc>
          <w:tcPr>
            <w:tcW w:w="755" w:type="pct"/>
            <w:noWrap/>
            <w:hideMark/>
          </w:tcPr>
          <w:p w14:paraId="38A4729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927 (19.9%)</w:t>
            </w:r>
          </w:p>
        </w:tc>
      </w:tr>
    </w:tbl>
    <w:p w14:paraId="38A4729F" w14:textId="65642AA3" w:rsidR="00CA7A60" w:rsidRPr="00FB60E5" w:rsidRDefault="00CA7A60" w:rsidP="00FB60E5">
      <w:pPr>
        <w:ind w:left="0"/>
      </w:pPr>
      <w:r w:rsidRPr="00FB60E5">
        <w:t>The median number of admissions and median length of stay for AOD clients with treatment engagement in 2010/11 remained stable across each of the study years (</w:t>
      </w:r>
      <w:r w:rsidR="001B3CBD">
        <w:fldChar w:fldCharType="begin"/>
      </w:r>
      <w:r w:rsidR="001B3CBD">
        <w:instrText xml:space="preserve"> REF _Ref387152620 \h </w:instrText>
      </w:r>
      <w:r w:rsidR="001B3CBD">
        <w:fldChar w:fldCharType="separate"/>
      </w:r>
      <w:r w:rsidR="001B3CBD" w:rsidRPr="00FB60E5">
        <w:t xml:space="preserve">Table </w:t>
      </w:r>
      <w:r w:rsidR="001B3CBD">
        <w:rPr>
          <w:noProof/>
        </w:rPr>
        <w:t>4</w:t>
      </w:r>
      <w:r w:rsidR="001B3CBD">
        <w:t>.</w:t>
      </w:r>
      <w:r w:rsidR="001B3CBD">
        <w:rPr>
          <w:noProof/>
        </w:rPr>
        <w:t>20</w:t>
      </w:r>
      <w:r w:rsidR="001B3CBD">
        <w:fldChar w:fldCharType="end"/>
      </w:r>
      <w:r w:rsidRPr="00FB60E5">
        <w:t xml:space="preserve">). Refer to the Appendices </w:t>
      </w:r>
      <w:r w:rsidR="00574C59" w:rsidRPr="00FB60E5">
        <w:t>3.2</w:t>
      </w:r>
      <w:r w:rsidRPr="00FB60E5">
        <w:t xml:space="preserve"> for supplementary tables for breakdowns for client characteristics, service type and drug characteristics by hospital admissions.</w:t>
      </w:r>
    </w:p>
    <w:p w14:paraId="38A472A1" w14:textId="27F2AA7A" w:rsidR="00CA7A60" w:rsidRPr="00FB60E5" w:rsidRDefault="00CA7A60" w:rsidP="00C36065">
      <w:pPr>
        <w:pStyle w:val="Caption"/>
        <w:pageBreakBefore/>
      </w:pPr>
      <w:bookmarkStart w:id="283" w:name="_Ref387152620"/>
      <w:bookmarkStart w:id="284" w:name="_Toc387244644"/>
      <w:bookmarkStart w:id="285" w:name="_Toc531625817"/>
      <w:proofErr w:type="gramStart"/>
      <w:r w:rsidRPr="00FB60E5">
        <w:lastRenderedPageBreak/>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proofErr w:type="gramStart"/>
      <w:r w:rsidR="00552239">
        <w:rPr>
          <w:noProof/>
        </w:rPr>
        <w:t>20</w:t>
      </w:r>
      <w:r w:rsidR="00552239">
        <w:fldChar w:fldCharType="end"/>
      </w:r>
      <w:bookmarkEnd w:id="283"/>
      <w:r w:rsidR="002C27A8">
        <w:t xml:space="preserve"> </w:t>
      </w:r>
      <w:r w:rsidRPr="00FB60E5">
        <w:t>Median number</w:t>
      </w:r>
      <w:proofErr w:type="gramEnd"/>
      <w:r w:rsidRPr="00FB60E5">
        <w:t xml:space="preserve"> of hospital admissions and length of stay</w:t>
      </w:r>
      <w:bookmarkEnd w:id="284"/>
      <w:bookmarkEnd w:id="285"/>
    </w:p>
    <w:tbl>
      <w:tblPr>
        <w:tblStyle w:val="LightList-Accent1"/>
        <w:tblW w:w="5000" w:type="pct"/>
        <w:tblLook w:val="04A0" w:firstRow="1" w:lastRow="0" w:firstColumn="1" w:lastColumn="0" w:noHBand="0" w:noVBand="1"/>
        <w:tblDescription w:val="Table 4.20 is a list of median number of hospital admissions and length of stay"/>
      </w:tblPr>
      <w:tblGrid>
        <w:gridCol w:w="3236"/>
        <w:gridCol w:w="2002"/>
        <w:gridCol w:w="2002"/>
        <w:gridCol w:w="2002"/>
      </w:tblGrid>
      <w:tr w:rsidR="00CA7A60" w:rsidRPr="00FB60E5" w14:paraId="38A472A6" w14:textId="77777777" w:rsidTr="00042CE9">
        <w:trPr>
          <w:cnfStyle w:val="100000000000" w:firstRow="1" w:lastRow="0" w:firstColumn="0" w:lastColumn="0" w:oddVBand="0" w:evenVBand="0" w:oddHBand="0" w:evenHBand="0" w:firstRowFirstColumn="0" w:firstRowLastColumn="0" w:lastRowFirstColumn="0" w:lastRowLastColumn="0"/>
          <w:trHeight w:val="244"/>
          <w:tblHeader/>
        </w:trPr>
        <w:tc>
          <w:tcPr>
            <w:cnfStyle w:val="001000000000" w:firstRow="0" w:lastRow="0" w:firstColumn="1" w:lastColumn="0" w:oddVBand="0" w:evenVBand="0" w:oddHBand="0" w:evenHBand="0" w:firstRowFirstColumn="0" w:firstRowLastColumn="0" w:lastRowFirstColumn="0" w:lastRowLastColumn="0"/>
            <w:tcW w:w="1750" w:type="pct"/>
            <w:noWrap/>
            <w:hideMark/>
          </w:tcPr>
          <w:p w14:paraId="38A472A2" w14:textId="77777777" w:rsidR="00CA7A60" w:rsidRPr="00FB60E5" w:rsidRDefault="00CA7A60" w:rsidP="00FB60E5">
            <w:pPr>
              <w:ind w:left="0"/>
            </w:pPr>
            <w:r w:rsidRPr="00FB60E5">
              <w:t> </w:t>
            </w:r>
          </w:p>
        </w:tc>
        <w:tc>
          <w:tcPr>
            <w:tcW w:w="1083" w:type="pct"/>
            <w:hideMark/>
          </w:tcPr>
          <w:p w14:paraId="38A472A3"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(N=5367)</w:t>
            </w:r>
          </w:p>
        </w:tc>
        <w:tc>
          <w:tcPr>
            <w:tcW w:w="1083" w:type="pct"/>
            <w:hideMark/>
          </w:tcPr>
          <w:p w14:paraId="38A472A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(N=5301)</w:t>
            </w:r>
          </w:p>
        </w:tc>
        <w:tc>
          <w:tcPr>
            <w:tcW w:w="1083" w:type="pct"/>
            <w:hideMark/>
          </w:tcPr>
          <w:p w14:paraId="38A472A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(N=4983)</w:t>
            </w:r>
          </w:p>
        </w:tc>
      </w:tr>
      <w:tr w:rsidR="00CA7A60" w:rsidRPr="00FB60E5" w14:paraId="38A472AB" w14:textId="77777777" w:rsidTr="00042CE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750" w:type="pct"/>
            <w:hideMark/>
          </w:tcPr>
          <w:p w14:paraId="38A472A7" w14:textId="77777777" w:rsidR="00CA7A60" w:rsidRPr="00C36065" w:rsidRDefault="00CA7A60" w:rsidP="00FB60E5">
            <w:pPr>
              <w:ind w:left="0"/>
              <w:rPr>
                <w:b w:val="0"/>
              </w:rPr>
            </w:pPr>
            <w:r w:rsidRPr="00C36065">
              <w:rPr>
                <w:b w:val="0"/>
              </w:rPr>
              <w:t>Median number of admissions (interquartile range)</w:t>
            </w:r>
          </w:p>
        </w:tc>
        <w:tc>
          <w:tcPr>
            <w:tcW w:w="1083" w:type="pct"/>
            <w:noWrap/>
            <w:hideMark/>
          </w:tcPr>
          <w:p w14:paraId="38A472A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 (1,2)</w:t>
            </w:r>
          </w:p>
        </w:tc>
        <w:tc>
          <w:tcPr>
            <w:tcW w:w="1083" w:type="pct"/>
            <w:noWrap/>
            <w:hideMark/>
          </w:tcPr>
          <w:p w14:paraId="38A472A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 (1,2)</w:t>
            </w:r>
          </w:p>
        </w:tc>
        <w:tc>
          <w:tcPr>
            <w:tcW w:w="1083" w:type="pct"/>
            <w:noWrap/>
            <w:hideMark/>
          </w:tcPr>
          <w:p w14:paraId="38A472A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 (1,2)</w:t>
            </w:r>
          </w:p>
        </w:tc>
      </w:tr>
      <w:tr w:rsidR="00CA7A60" w:rsidRPr="00FB60E5" w14:paraId="38A472B0" w14:textId="77777777" w:rsidTr="00042CE9">
        <w:trPr>
          <w:trHeight w:val="244"/>
        </w:trPr>
        <w:tc>
          <w:tcPr>
            <w:cnfStyle w:val="001000000000" w:firstRow="0" w:lastRow="0" w:firstColumn="1" w:lastColumn="0" w:oddVBand="0" w:evenVBand="0" w:oddHBand="0" w:evenHBand="0" w:firstRowFirstColumn="0" w:firstRowLastColumn="0" w:lastRowFirstColumn="0" w:lastRowLastColumn="0"/>
            <w:tcW w:w="1750" w:type="pct"/>
            <w:hideMark/>
          </w:tcPr>
          <w:p w14:paraId="38A472AC" w14:textId="74C4111A" w:rsidR="00CA7A60" w:rsidRPr="00C36065" w:rsidRDefault="00CA7A60" w:rsidP="00FB60E5">
            <w:pPr>
              <w:ind w:left="0"/>
              <w:rPr>
                <w:b w:val="0"/>
              </w:rPr>
            </w:pPr>
            <w:r w:rsidRPr="00C36065">
              <w:rPr>
                <w:b w:val="0"/>
              </w:rPr>
              <w:t>Median days of stay</w:t>
            </w:r>
            <w:r w:rsidR="002C27A8" w:rsidRPr="00C36065">
              <w:rPr>
                <w:b w:val="0"/>
              </w:rPr>
              <w:t xml:space="preserve"> </w:t>
            </w:r>
            <w:r w:rsidRPr="00C36065">
              <w:rPr>
                <w:b w:val="0"/>
              </w:rPr>
              <w:t>(interquartile range)</w:t>
            </w:r>
          </w:p>
        </w:tc>
        <w:tc>
          <w:tcPr>
            <w:tcW w:w="1083" w:type="pct"/>
            <w:noWrap/>
            <w:hideMark/>
          </w:tcPr>
          <w:p w14:paraId="38A472A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(1.0, 2.5)</w:t>
            </w:r>
          </w:p>
        </w:tc>
        <w:tc>
          <w:tcPr>
            <w:tcW w:w="1083" w:type="pct"/>
            <w:noWrap/>
            <w:hideMark/>
          </w:tcPr>
          <w:p w14:paraId="38A472A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(1.0, 3.0)</w:t>
            </w:r>
          </w:p>
        </w:tc>
        <w:tc>
          <w:tcPr>
            <w:tcW w:w="1083" w:type="pct"/>
            <w:noWrap/>
            <w:hideMark/>
          </w:tcPr>
          <w:p w14:paraId="38A472A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(1.0, 3.0)</w:t>
            </w:r>
          </w:p>
        </w:tc>
      </w:tr>
    </w:tbl>
    <w:p w14:paraId="21B41E46" w14:textId="04C8AA7C" w:rsidR="002C27A8" w:rsidRDefault="001B3CBD" w:rsidP="00FB60E5">
      <w:pPr>
        <w:ind w:left="0"/>
      </w:pPr>
      <w:r>
        <w:fldChar w:fldCharType="begin"/>
      </w:r>
      <w:r>
        <w:instrText xml:space="preserve"> REF _Ref387143405 \h </w:instrText>
      </w:r>
      <w:r>
        <w:fldChar w:fldCharType="separate"/>
      </w:r>
      <w:r w:rsidRPr="00FB60E5">
        <w:t xml:space="preserve">Table </w:t>
      </w:r>
      <w:r>
        <w:rPr>
          <w:noProof/>
        </w:rPr>
        <w:t>4</w:t>
      </w:r>
      <w:r>
        <w:t>.</w:t>
      </w:r>
      <w:r>
        <w:rPr>
          <w:noProof/>
        </w:rPr>
        <w:t>21</w:t>
      </w:r>
      <w:r>
        <w:fldChar w:fldCharType="end"/>
      </w:r>
      <w:r w:rsidR="00CA7A60" w:rsidRPr="00FB60E5">
        <w:t xml:space="preserve"> shows the proportions of AOD clients diagnosed during a hospital admission with an alcohol-related acute condition by treatment characteristic and primary drug of concern. Overall, there was a decrease in the proportion of clients admitted to hospital with an alcohol-related acute condition between the year prior to AOD treatment and the year following AOD treatment. Comparing service types, the largest reductions in alcohol-related acute condition admissions were observed for residential rehabilitation and supported accommodation. While there were reductions in alcohol-related acute hospitalisations for clients who had both successfully and not successfully completed their AOD treatment episode at the time of treatment termination, the reduction was greater amongst clients who had completed treatment</w:t>
      </w:r>
      <w:r w:rsidR="002C27A8">
        <w:t>.</w:t>
      </w:r>
    </w:p>
    <w:p w14:paraId="38A472B2" w14:textId="68B8CABA" w:rsidR="00CA7A60" w:rsidRPr="00FB60E5" w:rsidRDefault="00CA7A60" w:rsidP="00552239">
      <w:pPr>
        <w:pStyle w:val="Caption"/>
      </w:pPr>
      <w:bookmarkStart w:id="286" w:name="_Ref387143405"/>
      <w:bookmarkStart w:id="287" w:name="_Toc387244645"/>
      <w:bookmarkStart w:id="288" w:name="_Toc531625818"/>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21</w:t>
      </w:r>
      <w:r w:rsidR="00552239">
        <w:fldChar w:fldCharType="end"/>
      </w:r>
      <w:bookmarkEnd w:id="286"/>
      <w:r w:rsidR="002C27A8">
        <w:t xml:space="preserve"> </w:t>
      </w:r>
      <w:r w:rsidRPr="00FB60E5">
        <w:t xml:space="preserve">Admissions for alcohol-related acute conditions by AOD </w:t>
      </w:r>
      <w:r w:rsidR="004B5CD4" w:rsidRPr="00FB60E5">
        <w:t>treatment</w:t>
      </w:r>
      <w:r w:rsidRPr="00FB60E5">
        <w:t xml:space="preserve"> type, primary drug of concern and treatment termination status, 2009/10, 2010/11 and 2011/12</w:t>
      </w:r>
      <w:bookmarkEnd w:id="287"/>
      <w:bookmarkEnd w:id="288"/>
    </w:p>
    <w:tbl>
      <w:tblPr>
        <w:tblStyle w:val="LightList-Accent1"/>
        <w:tblW w:w="5000" w:type="pct"/>
        <w:tblLook w:val="04A0" w:firstRow="1" w:lastRow="0" w:firstColumn="1" w:lastColumn="0" w:noHBand="0" w:noVBand="1"/>
        <w:tblDescription w:val="Table 4.21 is a list of Admissions for alcohol-related acute conditions by AOD treatment type, primary drug of concern and treatment termination status, 2009/10, 2010/11 and 2011/12"/>
      </w:tblPr>
      <w:tblGrid>
        <w:gridCol w:w="5109"/>
        <w:gridCol w:w="1377"/>
        <w:gridCol w:w="1379"/>
        <w:gridCol w:w="1377"/>
      </w:tblGrid>
      <w:tr w:rsidR="00CA7A60" w:rsidRPr="00FB60E5" w14:paraId="38A472B5"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val="restart"/>
            <w:noWrap/>
            <w:hideMark/>
          </w:tcPr>
          <w:p w14:paraId="38A472B3" w14:textId="77777777" w:rsidR="00CA7A60" w:rsidRPr="00FB60E5" w:rsidRDefault="00CA7A60" w:rsidP="00FB60E5">
            <w:pPr>
              <w:ind w:left="0"/>
            </w:pPr>
            <w:r w:rsidRPr="00FB60E5">
              <w:t> </w:t>
            </w:r>
          </w:p>
        </w:tc>
        <w:tc>
          <w:tcPr>
            <w:tcW w:w="2236" w:type="pct"/>
            <w:gridSpan w:val="3"/>
            <w:noWrap/>
            <w:hideMark/>
          </w:tcPr>
          <w:p w14:paraId="38A472B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Alcohol-related acute conditions</w:t>
            </w:r>
          </w:p>
        </w:tc>
      </w:tr>
      <w:tr w:rsidR="00CA7A60" w:rsidRPr="00FB60E5" w14:paraId="38A472BA"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64" w:type="pct"/>
            <w:vMerge/>
            <w:hideMark/>
          </w:tcPr>
          <w:p w14:paraId="38A472B6" w14:textId="77777777" w:rsidR="00CA7A60" w:rsidRPr="00FB60E5" w:rsidRDefault="00CA7A60" w:rsidP="00FB60E5">
            <w:pPr>
              <w:ind w:left="0"/>
            </w:pPr>
          </w:p>
        </w:tc>
        <w:tc>
          <w:tcPr>
            <w:tcW w:w="745" w:type="pct"/>
            <w:hideMark/>
          </w:tcPr>
          <w:p w14:paraId="38A472B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746" w:type="pct"/>
            <w:hideMark/>
          </w:tcPr>
          <w:p w14:paraId="38A472B8"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745" w:type="pct"/>
            <w:hideMark/>
          </w:tcPr>
          <w:p w14:paraId="38A472B9"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2BF"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72BB" w14:textId="77777777" w:rsidR="00CA7A60" w:rsidRPr="00FB60E5" w:rsidRDefault="00CA7A60" w:rsidP="00FB60E5">
            <w:pPr>
              <w:ind w:left="0"/>
            </w:pPr>
            <w:r w:rsidRPr="00FB60E5">
              <w:t>Total (n=25229)</w:t>
            </w:r>
          </w:p>
        </w:tc>
        <w:tc>
          <w:tcPr>
            <w:tcW w:w="745" w:type="pct"/>
            <w:hideMark/>
          </w:tcPr>
          <w:p w14:paraId="38A472B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425 (1.7%)</w:t>
            </w:r>
          </w:p>
        </w:tc>
        <w:tc>
          <w:tcPr>
            <w:tcW w:w="746" w:type="pct"/>
            <w:hideMark/>
          </w:tcPr>
          <w:p w14:paraId="38A472B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546 (2.2%)</w:t>
            </w:r>
          </w:p>
        </w:tc>
        <w:tc>
          <w:tcPr>
            <w:tcW w:w="745" w:type="pct"/>
            <w:hideMark/>
          </w:tcPr>
          <w:p w14:paraId="38A472B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404 (1.6%)</w:t>
            </w:r>
          </w:p>
        </w:tc>
      </w:tr>
      <w:tr w:rsidR="00042CE9" w:rsidRPr="00FB60E5" w14:paraId="38A472C4"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2C3" w14:textId="283001B7" w:rsidR="00042CE9" w:rsidRPr="00FB60E5" w:rsidRDefault="00042CE9" w:rsidP="00FB60E5">
            <w:pPr>
              <w:ind w:left="0"/>
            </w:pPr>
            <w:r w:rsidRPr="00FB60E5">
              <w:t>Treatment type</w:t>
            </w:r>
          </w:p>
        </w:tc>
      </w:tr>
      <w:tr w:rsidR="00CA7A60" w:rsidRPr="00FB60E5" w14:paraId="38A472C9"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C5" w14:textId="77777777" w:rsidR="00CA7A60" w:rsidRPr="00C36065" w:rsidRDefault="00CA7A60" w:rsidP="00FB60E5">
            <w:pPr>
              <w:ind w:left="0"/>
              <w:rPr>
                <w:b w:val="0"/>
              </w:rPr>
            </w:pPr>
            <w:r w:rsidRPr="00C36065">
              <w:rPr>
                <w:b w:val="0"/>
              </w:rPr>
              <w:t>Counselling (n=11919; 47.2%)</w:t>
            </w:r>
          </w:p>
        </w:tc>
        <w:tc>
          <w:tcPr>
            <w:tcW w:w="745" w:type="pct"/>
            <w:hideMark/>
          </w:tcPr>
          <w:p w14:paraId="38A472C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168 (1.4%)</w:t>
            </w:r>
          </w:p>
        </w:tc>
        <w:tc>
          <w:tcPr>
            <w:tcW w:w="746" w:type="pct"/>
            <w:hideMark/>
          </w:tcPr>
          <w:p w14:paraId="38A472C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221 (1.9%)</w:t>
            </w:r>
          </w:p>
        </w:tc>
        <w:tc>
          <w:tcPr>
            <w:tcW w:w="745" w:type="pct"/>
            <w:hideMark/>
          </w:tcPr>
          <w:p w14:paraId="38A472C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161 (1.4%)</w:t>
            </w:r>
          </w:p>
        </w:tc>
      </w:tr>
      <w:tr w:rsidR="00CA7A60" w:rsidRPr="00FB60E5" w14:paraId="38A472C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CA" w14:textId="77777777" w:rsidR="00CA7A60" w:rsidRPr="00C36065" w:rsidRDefault="00CA7A60" w:rsidP="00FB60E5">
            <w:pPr>
              <w:ind w:left="0"/>
              <w:rPr>
                <w:b w:val="0"/>
              </w:rPr>
            </w:pPr>
            <w:r w:rsidRPr="00C36065">
              <w:rPr>
                <w:b w:val="0"/>
              </w:rPr>
              <w:t>Residential withdrawal (n=1962; 7.8%)</w:t>
            </w:r>
          </w:p>
        </w:tc>
        <w:tc>
          <w:tcPr>
            <w:tcW w:w="745" w:type="pct"/>
            <w:hideMark/>
          </w:tcPr>
          <w:p w14:paraId="38A472C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91 (4.6%)</w:t>
            </w:r>
          </w:p>
        </w:tc>
        <w:tc>
          <w:tcPr>
            <w:tcW w:w="746" w:type="pct"/>
            <w:hideMark/>
          </w:tcPr>
          <w:p w14:paraId="38A472C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113 (5.8%)</w:t>
            </w:r>
          </w:p>
        </w:tc>
        <w:tc>
          <w:tcPr>
            <w:tcW w:w="745" w:type="pct"/>
            <w:hideMark/>
          </w:tcPr>
          <w:p w14:paraId="38A472C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82 (4.2%)</w:t>
            </w:r>
          </w:p>
        </w:tc>
      </w:tr>
      <w:tr w:rsidR="00CA7A60" w:rsidRPr="00FB60E5" w14:paraId="38A472D3"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CF" w14:textId="77777777" w:rsidR="00CA7A60" w:rsidRPr="00C36065" w:rsidRDefault="00CA7A60" w:rsidP="00FB60E5">
            <w:pPr>
              <w:ind w:left="0"/>
              <w:rPr>
                <w:b w:val="0"/>
              </w:rPr>
            </w:pPr>
            <w:r w:rsidRPr="00C36065">
              <w:rPr>
                <w:b w:val="0"/>
              </w:rPr>
              <w:t>Other withdrawal (n=2582; 10.2%)</w:t>
            </w:r>
          </w:p>
        </w:tc>
        <w:tc>
          <w:tcPr>
            <w:tcW w:w="745" w:type="pct"/>
            <w:hideMark/>
          </w:tcPr>
          <w:p w14:paraId="38A472D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 (2.3%)</w:t>
            </w:r>
          </w:p>
        </w:tc>
        <w:tc>
          <w:tcPr>
            <w:tcW w:w="746" w:type="pct"/>
            <w:hideMark/>
          </w:tcPr>
          <w:p w14:paraId="38A472D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110 (4.3%)</w:t>
            </w:r>
          </w:p>
        </w:tc>
        <w:tc>
          <w:tcPr>
            <w:tcW w:w="745" w:type="pct"/>
            <w:hideMark/>
          </w:tcPr>
          <w:p w14:paraId="38A472D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68 (2.6%)</w:t>
            </w:r>
          </w:p>
        </w:tc>
      </w:tr>
      <w:tr w:rsidR="00CA7A60" w:rsidRPr="00FB60E5" w14:paraId="38A472D8"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D4" w14:textId="77777777" w:rsidR="00CA7A60" w:rsidRPr="00C36065" w:rsidRDefault="00CA7A60" w:rsidP="00FB60E5">
            <w:pPr>
              <w:ind w:left="0"/>
              <w:rPr>
                <w:b w:val="0"/>
              </w:rPr>
            </w:pPr>
            <w:r w:rsidRPr="00C36065">
              <w:rPr>
                <w:b w:val="0"/>
              </w:rPr>
              <w:t>Outreach (n=2368; 9.4%)</w:t>
            </w:r>
          </w:p>
        </w:tc>
        <w:tc>
          <w:tcPr>
            <w:tcW w:w="745" w:type="pct"/>
            <w:hideMark/>
          </w:tcPr>
          <w:p w14:paraId="38A472D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(0.7%)</w:t>
            </w:r>
          </w:p>
        </w:tc>
        <w:tc>
          <w:tcPr>
            <w:tcW w:w="746" w:type="pct"/>
            <w:hideMark/>
          </w:tcPr>
          <w:p w14:paraId="38A472D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22 (0.9%)</w:t>
            </w:r>
          </w:p>
        </w:tc>
        <w:tc>
          <w:tcPr>
            <w:tcW w:w="745" w:type="pct"/>
            <w:hideMark/>
          </w:tcPr>
          <w:p w14:paraId="38A472D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25 (1.1%)</w:t>
            </w:r>
          </w:p>
        </w:tc>
      </w:tr>
      <w:tr w:rsidR="00CA7A60" w:rsidRPr="00FB60E5" w14:paraId="38A472DD"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D9" w14:textId="77777777" w:rsidR="00CA7A60" w:rsidRPr="00C36065" w:rsidRDefault="00CA7A60" w:rsidP="00FB60E5">
            <w:pPr>
              <w:ind w:left="0"/>
              <w:rPr>
                <w:b w:val="0"/>
              </w:rPr>
            </w:pPr>
            <w:r w:rsidRPr="00C36065">
              <w:rPr>
                <w:b w:val="0"/>
              </w:rPr>
              <w:t>Brokerage (n=3904; 15.5%)</w:t>
            </w:r>
          </w:p>
        </w:tc>
        <w:tc>
          <w:tcPr>
            <w:tcW w:w="745" w:type="pct"/>
            <w:hideMark/>
          </w:tcPr>
          <w:p w14:paraId="38A472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 (1.1%)</w:t>
            </w:r>
          </w:p>
        </w:tc>
        <w:tc>
          <w:tcPr>
            <w:tcW w:w="746" w:type="pct"/>
            <w:hideMark/>
          </w:tcPr>
          <w:p w14:paraId="38A472D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 (0.8%)</w:t>
            </w:r>
          </w:p>
        </w:tc>
        <w:tc>
          <w:tcPr>
            <w:tcW w:w="745" w:type="pct"/>
            <w:hideMark/>
          </w:tcPr>
          <w:p w14:paraId="38A472D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 (0.7%)</w:t>
            </w:r>
          </w:p>
        </w:tc>
      </w:tr>
      <w:tr w:rsidR="00CA7A60" w:rsidRPr="00FB60E5" w14:paraId="38A472E2"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DE" w14:textId="77777777" w:rsidR="00CA7A60" w:rsidRPr="00C36065" w:rsidRDefault="00CA7A60" w:rsidP="00FB60E5">
            <w:pPr>
              <w:ind w:left="0"/>
              <w:rPr>
                <w:b w:val="0"/>
              </w:rPr>
            </w:pPr>
            <w:r w:rsidRPr="00C36065">
              <w:rPr>
                <w:b w:val="0"/>
              </w:rPr>
              <w:t>Aboriginal services (n=733; 2.9%)</w:t>
            </w:r>
          </w:p>
        </w:tc>
        <w:tc>
          <w:tcPr>
            <w:tcW w:w="745" w:type="pct"/>
            <w:hideMark/>
          </w:tcPr>
          <w:p w14:paraId="38A472D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(0.8%)</w:t>
            </w:r>
          </w:p>
        </w:tc>
        <w:tc>
          <w:tcPr>
            <w:tcW w:w="746" w:type="pct"/>
            <w:hideMark/>
          </w:tcPr>
          <w:p w14:paraId="38A472E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 (1.5%)</w:t>
            </w:r>
          </w:p>
        </w:tc>
        <w:tc>
          <w:tcPr>
            <w:tcW w:w="745" w:type="pct"/>
            <w:hideMark/>
          </w:tcPr>
          <w:p w14:paraId="38A472E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(1.6%)</w:t>
            </w:r>
          </w:p>
        </w:tc>
      </w:tr>
      <w:tr w:rsidR="00CA7A60" w:rsidRPr="00FB60E5" w14:paraId="38A472E7"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E3" w14:textId="77777777" w:rsidR="00CA7A60" w:rsidRPr="00C36065" w:rsidRDefault="00CA7A60" w:rsidP="00FB60E5">
            <w:pPr>
              <w:ind w:left="0"/>
              <w:rPr>
                <w:b w:val="0"/>
              </w:rPr>
            </w:pPr>
            <w:r w:rsidRPr="00C36065">
              <w:rPr>
                <w:b w:val="0"/>
              </w:rPr>
              <w:t>Specialist pharmacotherapy (n=401; 1.6%)</w:t>
            </w:r>
          </w:p>
        </w:tc>
        <w:tc>
          <w:tcPr>
            <w:tcW w:w="745" w:type="pct"/>
            <w:hideMark/>
          </w:tcPr>
          <w:p w14:paraId="38A472E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6" w:type="pct"/>
            <w:hideMark/>
          </w:tcPr>
          <w:p w14:paraId="38A472E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5" w:type="pct"/>
            <w:hideMark/>
          </w:tcPr>
          <w:p w14:paraId="38A472E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72EC"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E8" w14:textId="77777777" w:rsidR="00CA7A60" w:rsidRPr="00C36065" w:rsidRDefault="00CA7A60" w:rsidP="00FB60E5">
            <w:pPr>
              <w:ind w:left="0"/>
              <w:rPr>
                <w:b w:val="0"/>
              </w:rPr>
            </w:pPr>
            <w:r w:rsidRPr="00C36065">
              <w:rPr>
                <w:b w:val="0"/>
              </w:rPr>
              <w:t>Residential rehabilitation (n=176; 0.7%)</w:t>
            </w:r>
          </w:p>
        </w:tc>
        <w:tc>
          <w:tcPr>
            <w:tcW w:w="745" w:type="pct"/>
            <w:hideMark/>
          </w:tcPr>
          <w:p w14:paraId="38A472E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 (6.3%)</w:t>
            </w:r>
          </w:p>
        </w:tc>
        <w:tc>
          <w:tcPr>
            <w:tcW w:w="746" w:type="pct"/>
            <w:hideMark/>
          </w:tcPr>
          <w:p w14:paraId="38A472E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 (4.0%)</w:t>
            </w:r>
          </w:p>
        </w:tc>
        <w:tc>
          <w:tcPr>
            <w:tcW w:w="745" w:type="pct"/>
            <w:hideMark/>
          </w:tcPr>
          <w:p w14:paraId="38A472E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(2.8%)</w:t>
            </w:r>
          </w:p>
        </w:tc>
      </w:tr>
      <w:tr w:rsidR="00CA7A60" w:rsidRPr="00FB60E5" w14:paraId="38A472F1"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ED" w14:textId="77777777" w:rsidR="00CA7A60" w:rsidRPr="00C36065" w:rsidRDefault="00CA7A60" w:rsidP="00FB60E5">
            <w:pPr>
              <w:ind w:left="0"/>
              <w:rPr>
                <w:b w:val="0"/>
              </w:rPr>
            </w:pPr>
            <w:r w:rsidRPr="00C36065">
              <w:rPr>
                <w:b w:val="0"/>
              </w:rPr>
              <w:t>Supported accommodation (n=269; 1.1%)</w:t>
            </w:r>
          </w:p>
        </w:tc>
        <w:tc>
          <w:tcPr>
            <w:tcW w:w="745" w:type="pct"/>
            <w:hideMark/>
          </w:tcPr>
          <w:p w14:paraId="38A472E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 (3.7%)</w:t>
            </w:r>
          </w:p>
        </w:tc>
        <w:tc>
          <w:tcPr>
            <w:tcW w:w="746" w:type="pct"/>
            <w:hideMark/>
          </w:tcPr>
          <w:p w14:paraId="38A472E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(1.9%)</w:t>
            </w:r>
          </w:p>
        </w:tc>
        <w:tc>
          <w:tcPr>
            <w:tcW w:w="745" w:type="pct"/>
            <w:hideMark/>
          </w:tcPr>
          <w:p w14:paraId="38A472F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72F6"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F2" w14:textId="77777777" w:rsidR="00CA7A60" w:rsidRPr="00C36065" w:rsidRDefault="00CA7A60" w:rsidP="00FB60E5">
            <w:pPr>
              <w:ind w:left="0"/>
              <w:rPr>
                <w:b w:val="0"/>
              </w:rPr>
            </w:pPr>
            <w:r w:rsidRPr="00C36065">
              <w:rPr>
                <w:b w:val="0"/>
              </w:rPr>
              <w:t>Post withdrawal linkage (n=256; 1.0%)</w:t>
            </w:r>
          </w:p>
        </w:tc>
        <w:tc>
          <w:tcPr>
            <w:tcW w:w="745" w:type="pct"/>
            <w:hideMark/>
          </w:tcPr>
          <w:p w14:paraId="38A472F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6" w:type="pct"/>
            <w:hideMark/>
          </w:tcPr>
          <w:p w14:paraId="38A472F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(3.9%)</w:t>
            </w:r>
          </w:p>
        </w:tc>
        <w:tc>
          <w:tcPr>
            <w:tcW w:w="745" w:type="pct"/>
            <w:hideMark/>
          </w:tcPr>
          <w:p w14:paraId="38A472F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(2.3%)</w:t>
            </w:r>
          </w:p>
        </w:tc>
      </w:tr>
      <w:tr w:rsidR="00CA7A60" w:rsidRPr="00FB60E5" w14:paraId="38A472FB"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F7" w14:textId="77777777" w:rsidR="00CA7A60" w:rsidRPr="00C36065" w:rsidRDefault="00CA7A60" w:rsidP="00FB60E5">
            <w:pPr>
              <w:ind w:left="0"/>
              <w:rPr>
                <w:b w:val="0"/>
              </w:rPr>
            </w:pPr>
            <w:r w:rsidRPr="00C36065">
              <w:rPr>
                <w:b w:val="0"/>
              </w:rPr>
              <w:t>Other/unknown (n=659; 2.6%)</w:t>
            </w:r>
          </w:p>
        </w:tc>
        <w:tc>
          <w:tcPr>
            <w:tcW w:w="745" w:type="pct"/>
            <w:hideMark/>
          </w:tcPr>
          <w:p w14:paraId="38A472F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 (2.4%)</w:t>
            </w:r>
          </w:p>
        </w:tc>
        <w:tc>
          <w:tcPr>
            <w:tcW w:w="746" w:type="pct"/>
            <w:hideMark/>
          </w:tcPr>
          <w:p w14:paraId="38A472F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(1.8%)</w:t>
            </w:r>
          </w:p>
        </w:tc>
        <w:tc>
          <w:tcPr>
            <w:tcW w:w="745" w:type="pct"/>
            <w:hideMark/>
          </w:tcPr>
          <w:p w14:paraId="38A472F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(1.2%)</w:t>
            </w:r>
          </w:p>
        </w:tc>
      </w:tr>
      <w:tr w:rsidR="00042CE9" w:rsidRPr="00FB60E5" w14:paraId="38A472F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2FD" w14:textId="437D463D" w:rsidR="00042CE9" w:rsidRPr="00042CE9" w:rsidRDefault="00042CE9" w:rsidP="00FB60E5">
            <w:pPr>
              <w:ind w:left="0"/>
              <w:rPr>
                <w:b w:val="0"/>
                <w:bCs w:val="0"/>
              </w:rPr>
            </w:pPr>
            <w:r w:rsidRPr="00FB60E5">
              <w:t>Treatment termination status</w:t>
            </w:r>
          </w:p>
        </w:tc>
      </w:tr>
      <w:tr w:rsidR="00CA7A60" w:rsidRPr="00FB60E5" w14:paraId="38A47303"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2FF" w14:textId="77777777" w:rsidR="00CA7A60" w:rsidRPr="00C36065" w:rsidRDefault="00CA7A60" w:rsidP="00FB60E5">
            <w:pPr>
              <w:ind w:left="0"/>
              <w:rPr>
                <w:b w:val="0"/>
              </w:rPr>
            </w:pPr>
            <w:r w:rsidRPr="00C36065">
              <w:rPr>
                <w:b w:val="0"/>
              </w:rPr>
              <w:t>Completed treatment (n=18690; 74.1%)</w:t>
            </w:r>
          </w:p>
        </w:tc>
        <w:tc>
          <w:tcPr>
            <w:tcW w:w="745" w:type="pct"/>
            <w:hideMark/>
          </w:tcPr>
          <w:p w14:paraId="38A4730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293 (1.6%)</w:t>
            </w:r>
          </w:p>
        </w:tc>
        <w:tc>
          <w:tcPr>
            <w:tcW w:w="746" w:type="pct"/>
            <w:hideMark/>
          </w:tcPr>
          <w:p w14:paraId="38A4730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391 (2.1%)</w:t>
            </w:r>
          </w:p>
        </w:tc>
        <w:tc>
          <w:tcPr>
            <w:tcW w:w="745" w:type="pct"/>
            <w:hideMark/>
          </w:tcPr>
          <w:p w14:paraId="38A4730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280 (1.5%)</w:t>
            </w:r>
          </w:p>
        </w:tc>
      </w:tr>
      <w:tr w:rsidR="00CA7A60" w:rsidRPr="00FB60E5" w14:paraId="38A47308"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304" w14:textId="77777777" w:rsidR="00CA7A60" w:rsidRPr="00C36065" w:rsidRDefault="00CA7A60" w:rsidP="00FB60E5">
            <w:pPr>
              <w:ind w:left="0"/>
              <w:rPr>
                <w:b w:val="0"/>
              </w:rPr>
            </w:pPr>
            <w:r w:rsidRPr="00C36065">
              <w:rPr>
                <w:b w:val="0"/>
              </w:rPr>
              <w:t>Not completed (n=6262; 24.8%)</w:t>
            </w:r>
          </w:p>
        </w:tc>
        <w:tc>
          <w:tcPr>
            <w:tcW w:w="745" w:type="pct"/>
            <w:hideMark/>
          </w:tcPr>
          <w:p w14:paraId="38A4730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128 (2.0%)</w:t>
            </w:r>
          </w:p>
        </w:tc>
        <w:tc>
          <w:tcPr>
            <w:tcW w:w="746" w:type="pct"/>
            <w:hideMark/>
          </w:tcPr>
          <w:p w14:paraId="38A4730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151 (2.4%)</w:t>
            </w:r>
          </w:p>
        </w:tc>
        <w:tc>
          <w:tcPr>
            <w:tcW w:w="745" w:type="pct"/>
            <w:hideMark/>
          </w:tcPr>
          <w:p w14:paraId="38A4730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120 (1.9%)</w:t>
            </w:r>
          </w:p>
        </w:tc>
      </w:tr>
      <w:tr w:rsidR="00CA7A60" w:rsidRPr="00FB60E5" w14:paraId="38A4730D"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309" w14:textId="77777777" w:rsidR="00CA7A60" w:rsidRPr="00C36065" w:rsidRDefault="00CA7A60" w:rsidP="00FB60E5">
            <w:pPr>
              <w:ind w:left="0"/>
              <w:rPr>
                <w:b w:val="0"/>
              </w:rPr>
            </w:pPr>
            <w:r w:rsidRPr="00C36065">
              <w:rPr>
                <w:b w:val="0"/>
              </w:rPr>
              <w:t>Unknown (n=277; 1.1%)</w:t>
            </w:r>
          </w:p>
        </w:tc>
        <w:tc>
          <w:tcPr>
            <w:tcW w:w="745" w:type="pct"/>
            <w:hideMark/>
          </w:tcPr>
          <w:p w14:paraId="38A4730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6" w:type="pct"/>
            <w:hideMark/>
          </w:tcPr>
          <w:p w14:paraId="38A4730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5" w:type="pct"/>
            <w:hideMark/>
          </w:tcPr>
          <w:p w14:paraId="38A4730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042CE9" w:rsidRPr="00FB60E5" w14:paraId="38A47312"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311" w14:textId="40069681" w:rsidR="00042CE9" w:rsidRPr="00FB60E5" w:rsidRDefault="00042CE9" w:rsidP="00FB60E5">
            <w:pPr>
              <w:ind w:left="0"/>
            </w:pPr>
            <w:r w:rsidRPr="00FB60E5">
              <w:t>Primary drug of concern</w:t>
            </w:r>
          </w:p>
        </w:tc>
      </w:tr>
      <w:tr w:rsidR="00CA7A60" w:rsidRPr="00FB60E5" w14:paraId="38A47317"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7313" w14:textId="77777777" w:rsidR="00CA7A60" w:rsidRPr="00C36065" w:rsidRDefault="00CA7A60" w:rsidP="00FB60E5">
            <w:pPr>
              <w:ind w:left="0"/>
              <w:rPr>
                <w:b w:val="0"/>
              </w:rPr>
            </w:pPr>
            <w:r w:rsidRPr="00C36065">
              <w:rPr>
                <w:b w:val="0"/>
              </w:rPr>
              <w:t>Alcohol (n=11912; 47.2%)</w:t>
            </w:r>
          </w:p>
        </w:tc>
        <w:tc>
          <w:tcPr>
            <w:tcW w:w="745" w:type="pct"/>
            <w:hideMark/>
          </w:tcPr>
          <w:p w14:paraId="38A4731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357 (3.0%)</w:t>
            </w:r>
          </w:p>
        </w:tc>
        <w:tc>
          <w:tcPr>
            <w:tcW w:w="746" w:type="pct"/>
            <w:hideMark/>
          </w:tcPr>
          <w:p w14:paraId="38A4731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475 (4.0%)</w:t>
            </w:r>
          </w:p>
        </w:tc>
        <w:tc>
          <w:tcPr>
            <w:tcW w:w="745" w:type="pct"/>
            <w:hideMark/>
          </w:tcPr>
          <w:p w14:paraId="38A4731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343 (2.9%)</w:t>
            </w:r>
          </w:p>
        </w:tc>
      </w:tr>
      <w:tr w:rsidR="00CA7A60" w:rsidRPr="00FB60E5" w14:paraId="38A4731C"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7318" w14:textId="77777777" w:rsidR="00CA7A60" w:rsidRPr="00C36065" w:rsidRDefault="00CA7A60" w:rsidP="00FB60E5">
            <w:pPr>
              <w:ind w:left="0"/>
              <w:rPr>
                <w:b w:val="0"/>
              </w:rPr>
            </w:pPr>
            <w:r w:rsidRPr="00C36065">
              <w:rPr>
                <w:b w:val="0"/>
              </w:rPr>
              <w:t>Cannabis (n=5663; 22.4%)</w:t>
            </w:r>
          </w:p>
        </w:tc>
        <w:tc>
          <w:tcPr>
            <w:tcW w:w="745" w:type="pct"/>
            <w:hideMark/>
          </w:tcPr>
          <w:p w14:paraId="38A4731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 (0.5%)</w:t>
            </w:r>
          </w:p>
        </w:tc>
        <w:tc>
          <w:tcPr>
            <w:tcW w:w="746" w:type="pct"/>
            <w:hideMark/>
          </w:tcPr>
          <w:p w14:paraId="38A4731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34 (0.6%)</w:t>
            </w:r>
          </w:p>
        </w:tc>
        <w:tc>
          <w:tcPr>
            <w:tcW w:w="745" w:type="pct"/>
            <w:hideMark/>
          </w:tcPr>
          <w:p w14:paraId="38A4731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 (0.5%)</w:t>
            </w:r>
          </w:p>
        </w:tc>
      </w:tr>
      <w:tr w:rsidR="00CA7A60" w:rsidRPr="00FB60E5" w14:paraId="38A47321"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731D" w14:textId="77777777" w:rsidR="00CA7A60" w:rsidRPr="00C36065" w:rsidRDefault="00CA7A60" w:rsidP="00FB60E5">
            <w:pPr>
              <w:ind w:left="0"/>
              <w:rPr>
                <w:b w:val="0"/>
              </w:rPr>
            </w:pPr>
            <w:r w:rsidRPr="00C36065">
              <w:rPr>
                <w:b w:val="0"/>
              </w:rPr>
              <w:t>Heroin &amp; other opioids (n=3863; 15.3%)</w:t>
            </w:r>
          </w:p>
        </w:tc>
        <w:tc>
          <w:tcPr>
            <w:tcW w:w="745" w:type="pct"/>
            <w:hideMark/>
          </w:tcPr>
          <w:p w14:paraId="38A4731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 (0.5%)</w:t>
            </w:r>
          </w:p>
        </w:tc>
        <w:tc>
          <w:tcPr>
            <w:tcW w:w="746" w:type="pct"/>
            <w:hideMark/>
          </w:tcPr>
          <w:p w14:paraId="38A4731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(0.3%)</w:t>
            </w:r>
          </w:p>
        </w:tc>
        <w:tc>
          <w:tcPr>
            <w:tcW w:w="745" w:type="pct"/>
            <w:hideMark/>
          </w:tcPr>
          <w:p w14:paraId="38A4732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 (0.4%)</w:t>
            </w:r>
          </w:p>
        </w:tc>
      </w:tr>
      <w:tr w:rsidR="00CA7A60" w:rsidRPr="00FB60E5" w14:paraId="38A47326"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noWrap/>
            <w:hideMark/>
          </w:tcPr>
          <w:p w14:paraId="38A47322" w14:textId="77777777" w:rsidR="00CA7A60" w:rsidRPr="00C36065" w:rsidRDefault="00CA7A60" w:rsidP="00FB60E5">
            <w:pPr>
              <w:ind w:left="0"/>
              <w:rPr>
                <w:b w:val="0"/>
              </w:rPr>
            </w:pPr>
            <w:r w:rsidRPr="00C36065">
              <w:rPr>
                <w:b w:val="0"/>
              </w:rPr>
              <w:t>Amphetamine &amp; other stimulants (n=2198; 8.7%)</w:t>
            </w:r>
          </w:p>
        </w:tc>
        <w:tc>
          <w:tcPr>
            <w:tcW w:w="745" w:type="pct"/>
            <w:hideMark/>
          </w:tcPr>
          <w:p w14:paraId="38A4732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(0.4%)</w:t>
            </w:r>
          </w:p>
        </w:tc>
        <w:tc>
          <w:tcPr>
            <w:tcW w:w="746" w:type="pct"/>
            <w:hideMark/>
          </w:tcPr>
          <w:p w14:paraId="38A4732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(0.5%)</w:t>
            </w:r>
          </w:p>
        </w:tc>
        <w:tc>
          <w:tcPr>
            <w:tcW w:w="745" w:type="pct"/>
            <w:hideMark/>
          </w:tcPr>
          <w:p w14:paraId="38A4732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(0.5%)</w:t>
            </w:r>
          </w:p>
        </w:tc>
      </w:tr>
      <w:tr w:rsidR="00CA7A60" w:rsidRPr="00FB60E5" w14:paraId="38A4732B"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327" w14:textId="77777777" w:rsidR="00CA7A60" w:rsidRPr="00C36065" w:rsidRDefault="00CA7A60" w:rsidP="00FB60E5">
            <w:pPr>
              <w:ind w:left="0"/>
              <w:rPr>
                <w:b w:val="0"/>
              </w:rPr>
            </w:pPr>
            <w:r w:rsidRPr="00C36065">
              <w:rPr>
                <w:b w:val="0"/>
              </w:rPr>
              <w:lastRenderedPageBreak/>
              <w:t>Benzodiazepines &amp; other tranquillisers (n=522; 2.1%)</w:t>
            </w:r>
          </w:p>
        </w:tc>
        <w:tc>
          <w:tcPr>
            <w:tcW w:w="745" w:type="pct"/>
            <w:hideMark/>
          </w:tcPr>
          <w:p w14:paraId="38A4732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(1.0%)</w:t>
            </w:r>
          </w:p>
        </w:tc>
        <w:tc>
          <w:tcPr>
            <w:tcW w:w="746" w:type="pct"/>
            <w:hideMark/>
          </w:tcPr>
          <w:p w14:paraId="38A4732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(1.1%)</w:t>
            </w:r>
          </w:p>
        </w:tc>
        <w:tc>
          <w:tcPr>
            <w:tcW w:w="745" w:type="pct"/>
            <w:hideMark/>
          </w:tcPr>
          <w:p w14:paraId="38A4732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(1.1%)</w:t>
            </w:r>
          </w:p>
        </w:tc>
      </w:tr>
      <w:tr w:rsidR="00CA7A60" w:rsidRPr="00FB60E5" w14:paraId="38A47330"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32C" w14:textId="77777777" w:rsidR="00CA7A60" w:rsidRPr="00C36065" w:rsidRDefault="00CA7A60" w:rsidP="00FB60E5">
            <w:pPr>
              <w:ind w:left="0"/>
              <w:rPr>
                <w:b w:val="0"/>
              </w:rPr>
            </w:pPr>
            <w:r w:rsidRPr="00C36065">
              <w:rPr>
                <w:b w:val="0"/>
              </w:rPr>
              <w:t>Other (n=730; 2.9%)</w:t>
            </w:r>
          </w:p>
        </w:tc>
        <w:tc>
          <w:tcPr>
            <w:tcW w:w="745" w:type="pct"/>
            <w:hideMark/>
          </w:tcPr>
          <w:p w14:paraId="38A4732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6" w:type="pct"/>
            <w:hideMark/>
          </w:tcPr>
          <w:p w14:paraId="38A4732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745" w:type="pct"/>
            <w:hideMark/>
          </w:tcPr>
          <w:p w14:paraId="38A4732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7335"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4" w:type="pct"/>
            <w:hideMark/>
          </w:tcPr>
          <w:p w14:paraId="38A47331" w14:textId="77777777" w:rsidR="00CA7A60" w:rsidRPr="00C36065" w:rsidRDefault="00CA7A60" w:rsidP="00FB60E5">
            <w:pPr>
              <w:ind w:left="0"/>
              <w:rPr>
                <w:b w:val="0"/>
              </w:rPr>
            </w:pPr>
            <w:r w:rsidRPr="00C36065">
              <w:rPr>
                <w:b w:val="0"/>
              </w:rPr>
              <w:t>Unknown (n=341; 1.4%)</w:t>
            </w:r>
          </w:p>
        </w:tc>
        <w:tc>
          <w:tcPr>
            <w:tcW w:w="745" w:type="pct"/>
            <w:hideMark/>
          </w:tcPr>
          <w:p w14:paraId="38A4733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746" w:type="pct"/>
            <w:hideMark/>
          </w:tcPr>
          <w:p w14:paraId="38A4733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(1.5%)</w:t>
            </w:r>
          </w:p>
        </w:tc>
        <w:tc>
          <w:tcPr>
            <w:tcW w:w="745" w:type="pct"/>
            <w:hideMark/>
          </w:tcPr>
          <w:p w14:paraId="38A4733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bl>
    <w:p w14:paraId="38A47338" w14:textId="65438FCD" w:rsidR="00CA7A60" w:rsidRPr="00FB60E5" w:rsidRDefault="00CA7A60" w:rsidP="00FB60E5">
      <w:pPr>
        <w:ind w:left="0"/>
      </w:pPr>
      <w:r w:rsidRPr="00FB60E5">
        <w:t>Overall, there was a decrease in the proportion of other drug-related acute admissions for AOD clients in the year following treatment engagement when compared with admissions in the year preceding treatment engagement (</w:t>
      </w:r>
      <w:r w:rsidR="00BE3D19" w:rsidRPr="00FB60E5">
        <w:fldChar w:fldCharType="begin"/>
      </w:r>
      <w:r w:rsidRPr="00FB60E5">
        <w:instrText xml:space="preserve"> REF _Ref387146001 \h </w:instrText>
      </w:r>
      <w:r w:rsidR="00FB60E5" w:rsidRPr="00FB60E5">
        <w:instrText xml:space="preserve"> \* MERGEFORMAT </w:instrText>
      </w:r>
      <w:r w:rsidR="00BE3D19" w:rsidRPr="00FB60E5">
        <w:fldChar w:fldCharType="separate"/>
      </w:r>
      <w:r w:rsidR="00E150CA" w:rsidRPr="00FB60E5">
        <w:t>Table 4.22</w:t>
      </w:r>
      <w:r w:rsidR="00BE3D19" w:rsidRPr="00FB60E5">
        <w:fldChar w:fldCharType="end"/>
      </w:r>
      <w:r w:rsidRPr="00FB60E5">
        <w:t xml:space="preserve">). Decreases in proportions of other drug-related acute admissions were evident for all treatment types, except outreach and other withdrawal services, and for all primary drugs of concern, except cannabis and </w:t>
      </w:r>
      <w:r w:rsidR="00B473EE" w:rsidRPr="00FB60E5">
        <w:t>amphetamines</w:t>
      </w:r>
      <w:r w:rsidRPr="00FB60E5">
        <w:t xml:space="preserve"> and other stimulants.</w:t>
      </w:r>
    </w:p>
    <w:p w14:paraId="38A47339" w14:textId="7EE0578B" w:rsidR="00CA7A60" w:rsidRPr="00FB60E5" w:rsidRDefault="00CA7A60" w:rsidP="00552239">
      <w:pPr>
        <w:pStyle w:val="Caption"/>
      </w:pPr>
      <w:bookmarkStart w:id="289" w:name="_Ref387146001"/>
      <w:bookmarkStart w:id="290" w:name="_Toc387244646"/>
      <w:bookmarkStart w:id="291" w:name="_Toc531625819"/>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22</w:t>
      </w:r>
      <w:r w:rsidR="00552239">
        <w:fldChar w:fldCharType="end"/>
      </w:r>
      <w:bookmarkEnd w:id="289"/>
      <w:r w:rsidR="002C27A8">
        <w:t xml:space="preserve"> </w:t>
      </w:r>
      <w:r w:rsidRPr="00FB60E5">
        <w:t xml:space="preserve">Admissions for other drug-related acute conditions by AOD </w:t>
      </w:r>
      <w:r w:rsidR="004B5CD4" w:rsidRPr="00FB60E5">
        <w:t>treatment</w:t>
      </w:r>
      <w:r w:rsidRPr="00FB60E5">
        <w:t xml:space="preserve"> type, primary drug of concern and treatment termination status, 2009/10, 2010/11 and 2011/12</w:t>
      </w:r>
      <w:bookmarkEnd w:id="290"/>
      <w:bookmarkEnd w:id="291"/>
    </w:p>
    <w:tbl>
      <w:tblPr>
        <w:tblStyle w:val="LightList-Accent1"/>
        <w:tblW w:w="5000" w:type="pct"/>
        <w:tblLook w:val="04A0" w:firstRow="1" w:lastRow="0" w:firstColumn="1" w:lastColumn="0" w:noHBand="0" w:noVBand="1"/>
        <w:tblDescription w:val="Table 4.22 is a list of Admissions for other drug-related acute conditions by AOD treatment type, primary drug of concern and treatment termination status, 2009/10, 2010/11 and 2011/12"/>
      </w:tblPr>
      <w:tblGrid>
        <w:gridCol w:w="5440"/>
        <w:gridCol w:w="1267"/>
        <w:gridCol w:w="1268"/>
        <w:gridCol w:w="1267"/>
      </w:tblGrid>
      <w:tr w:rsidR="00CA7A60" w:rsidRPr="00FB60E5" w14:paraId="38A4733C"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53" w:type="pct"/>
            <w:vMerge w:val="restart"/>
            <w:noWrap/>
            <w:hideMark/>
          </w:tcPr>
          <w:p w14:paraId="38A4733A" w14:textId="77777777" w:rsidR="00CA7A60" w:rsidRPr="00FB60E5" w:rsidRDefault="00CA7A60" w:rsidP="00FB60E5">
            <w:pPr>
              <w:ind w:left="0"/>
            </w:pPr>
            <w:r w:rsidRPr="00FB60E5">
              <w:t> </w:t>
            </w:r>
          </w:p>
        </w:tc>
        <w:tc>
          <w:tcPr>
            <w:tcW w:w="2047" w:type="pct"/>
            <w:gridSpan w:val="3"/>
            <w:noWrap/>
            <w:hideMark/>
          </w:tcPr>
          <w:p w14:paraId="38A4733B"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Other drug-related acute conditions</w:t>
            </w:r>
          </w:p>
        </w:tc>
      </w:tr>
      <w:tr w:rsidR="00CA7A60" w:rsidRPr="00FB60E5" w14:paraId="38A47341"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53" w:type="pct"/>
            <w:vMerge/>
            <w:hideMark/>
          </w:tcPr>
          <w:p w14:paraId="38A4733D" w14:textId="77777777" w:rsidR="00CA7A60" w:rsidRPr="00FB60E5" w:rsidRDefault="00CA7A60" w:rsidP="00FB60E5">
            <w:pPr>
              <w:ind w:left="0"/>
            </w:pPr>
          </w:p>
        </w:tc>
        <w:tc>
          <w:tcPr>
            <w:tcW w:w="682" w:type="pct"/>
            <w:hideMark/>
          </w:tcPr>
          <w:p w14:paraId="38A4733E"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683" w:type="pct"/>
            <w:hideMark/>
          </w:tcPr>
          <w:p w14:paraId="38A4733F"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682" w:type="pct"/>
            <w:hideMark/>
          </w:tcPr>
          <w:p w14:paraId="38A47340"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346"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42" w14:textId="77777777" w:rsidR="00CA7A60" w:rsidRPr="00FB60E5" w:rsidRDefault="00CA7A60" w:rsidP="00FB60E5">
            <w:pPr>
              <w:ind w:left="0"/>
            </w:pPr>
            <w:r w:rsidRPr="00FB60E5">
              <w:t>Total (n=25229)</w:t>
            </w:r>
          </w:p>
        </w:tc>
        <w:tc>
          <w:tcPr>
            <w:tcW w:w="682" w:type="pct"/>
            <w:hideMark/>
          </w:tcPr>
          <w:p w14:paraId="38A4734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446 (1.8%)</w:t>
            </w:r>
          </w:p>
        </w:tc>
        <w:tc>
          <w:tcPr>
            <w:tcW w:w="683" w:type="pct"/>
            <w:hideMark/>
          </w:tcPr>
          <w:p w14:paraId="38A4734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601 (2.4%)</w:t>
            </w:r>
          </w:p>
        </w:tc>
        <w:tc>
          <w:tcPr>
            <w:tcW w:w="682" w:type="pct"/>
            <w:hideMark/>
          </w:tcPr>
          <w:p w14:paraId="38A4734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408 (1.6%)</w:t>
            </w:r>
          </w:p>
        </w:tc>
      </w:tr>
      <w:tr w:rsidR="00042CE9" w:rsidRPr="00FB60E5" w14:paraId="38A4734B"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34A" w14:textId="239984DB" w:rsidR="00042CE9" w:rsidRPr="00FB60E5" w:rsidRDefault="00042CE9" w:rsidP="00FB60E5">
            <w:pPr>
              <w:ind w:left="0"/>
            </w:pPr>
            <w:r w:rsidRPr="00FB60E5">
              <w:t>Treatment type</w:t>
            </w:r>
          </w:p>
        </w:tc>
      </w:tr>
      <w:tr w:rsidR="00CA7A60" w:rsidRPr="00FB60E5" w14:paraId="38A47350"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4C" w14:textId="77777777" w:rsidR="00CA7A60" w:rsidRPr="00C36065" w:rsidRDefault="00CA7A60" w:rsidP="00FB60E5">
            <w:pPr>
              <w:ind w:left="0"/>
              <w:rPr>
                <w:b w:val="0"/>
              </w:rPr>
            </w:pPr>
            <w:r w:rsidRPr="00C36065">
              <w:rPr>
                <w:b w:val="0"/>
              </w:rPr>
              <w:t>Counselling (n=11919; 47.2%)</w:t>
            </w:r>
          </w:p>
        </w:tc>
        <w:tc>
          <w:tcPr>
            <w:tcW w:w="682" w:type="pct"/>
            <w:hideMark/>
          </w:tcPr>
          <w:p w14:paraId="38A4734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197 (1.7%)</w:t>
            </w:r>
          </w:p>
        </w:tc>
        <w:tc>
          <w:tcPr>
            <w:tcW w:w="683" w:type="pct"/>
            <w:hideMark/>
          </w:tcPr>
          <w:p w14:paraId="38A4734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280 (2.3%)</w:t>
            </w:r>
          </w:p>
        </w:tc>
        <w:tc>
          <w:tcPr>
            <w:tcW w:w="682" w:type="pct"/>
            <w:hideMark/>
          </w:tcPr>
          <w:p w14:paraId="38A473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191 (1.6%)</w:t>
            </w:r>
          </w:p>
        </w:tc>
      </w:tr>
      <w:tr w:rsidR="00CA7A60" w:rsidRPr="00FB60E5" w14:paraId="38A47355"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51" w14:textId="77777777" w:rsidR="00CA7A60" w:rsidRPr="00C36065" w:rsidRDefault="00CA7A60" w:rsidP="00FB60E5">
            <w:pPr>
              <w:ind w:left="0"/>
              <w:rPr>
                <w:b w:val="0"/>
              </w:rPr>
            </w:pPr>
            <w:r w:rsidRPr="00C36065">
              <w:rPr>
                <w:b w:val="0"/>
              </w:rPr>
              <w:t>Residential withdrawal (n=1962; 7.8%)</w:t>
            </w:r>
          </w:p>
        </w:tc>
        <w:tc>
          <w:tcPr>
            <w:tcW w:w="682" w:type="pct"/>
            <w:hideMark/>
          </w:tcPr>
          <w:p w14:paraId="38A4735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56 (2.9%)</w:t>
            </w:r>
          </w:p>
        </w:tc>
        <w:tc>
          <w:tcPr>
            <w:tcW w:w="683" w:type="pct"/>
            <w:hideMark/>
          </w:tcPr>
          <w:p w14:paraId="38A4735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75 (3.8%)</w:t>
            </w:r>
          </w:p>
        </w:tc>
        <w:tc>
          <w:tcPr>
            <w:tcW w:w="682" w:type="pct"/>
            <w:hideMark/>
          </w:tcPr>
          <w:p w14:paraId="38A4735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46 (2.3%)</w:t>
            </w:r>
          </w:p>
        </w:tc>
      </w:tr>
      <w:tr w:rsidR="00CA7A60" w:rsidRPr="00FB60E5" w14:paraId="38A4735A"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56" w14:textId="77777777" w:rsidR="00CA7A60" w:rsidRPr="00C36065" w:rsidRDefault="00CA7A60" w:rsidP="00FB60E5">
            <w:pPr>
              <w:ind w:left="0"/>
              <w:rPr>
                <w:b w:val="0"/>
              </w:rPr>
            </w:pPr>
            <w:r w:rsidRPr="00C36065">
              <w:rPr>
                <w:b w:val="0"/>
              </w:rPr>
              <w:t>Other withdrawal (n=2582; 10.2%)</w:t>
            </w:r>
          </w:p>
        </w:tc>
        <w:tc>
          <w:tcPr>
            <w:tcW w:w="682" w:type="pct"/>
            <w:hideMark/>
          </w:tcPr>
          <w:p w14:paraId="38A4735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34 (1.3%)</w:t>
            </w:r>
          </w:p>
        </w:tc>
        <w:tc>
          <w:tcPr>
            <w:tcW w:w="683" w:type="pct"/>
            <w:hideMark/>
          </w:tcPr>
          <w:p w14:paraId="38A4735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78 (3.0%)</w:t>
            </w:r>
          </w:p>
        </w:tc>
        <w:tc>
          <w:tcPr>
            <w:tcW w:w="682" w:type="pct"/>
            <w:hideMark/>
          </w:tcPr>
          <w:p w14:paraId="38A4735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 (1.6%)</w:t>
            </w:r>
          </w:p>
        </w:tc>
      </w:tr>
      <w:tr w:rsidR="00CA7A60" w:rsidRPr="00FB60E5" w14:paraId="38A4735F"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5B" w14:textId="77777777" w:rsidR="00CA7A60" w:rsidRPr="00C36065" w:rsidRDefault="00CA7A60" w:rsidP="00FB60E5">
            <w:pPr>
              <w:ind w:left="0"/>
              <w:rPr>
                <w:b w:val="0"/>
              </w:rPr>
            </w:pPr>
            <w:r w:rsidRPr="00C36065">
              <w:rPr>
                <w:b w:val="0"/>
              </w:rPr>
              <w:t>Outreach (n=2368; 9.4%)</w:t>
            </w:r>
          </w:p>
        </w:tc>
        <w:tc>
          <w:tcPr>
            <w:tcW w:w="682" w:type="pct"/>
            <w:hideMark/>
          </w:tcPr>
          <w:p w14:paraId="38A4735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36 (1.5%)</w:t>
            </w:r>
          </w:p>
        </w:tc>
        <w:tc>
          <w:tcPr>
            <w:tcW w:w="683" w:type="pct"/>
            <w:hideMark/>
          </w:tcPr>
          <w:p w14:paraId="38A4735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51 (2.2%)</w:t>
            </w:r>
          </w:p>
        </w:tc>
        <w:tc>
          <w:tcPr>
            <w:tcW w:w="682" w:type="pct"/>
            <w:hideMark/>
          </w:tcPr>
          <w:p w14:paraId="38A4735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 (1.9%)</w:t>
            </w:r>
          </w:p>
        </w:tc>
      </w:tr>
      <w:tr w:rsidR="00CA7A60" w:rsidRPr="00FB60E5" w14:paraId="38A47364"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60" w14:textId="77777777" w:rsidR="00CA7A60" w:rsidRPr="00C36065" w:rsidRDefault="00CA7A60" w:rsidP="00FB60E5">
            <w:pPr>
              <w:ind w:left="0"/>
              <w:rPr>
                <w:b w:val="0"/>
              </w:rPr>
            </w:pPr>
            <w:r w:rsidRPr="00C36065">
              <w:rPr>
                <w:b w:val="0"/>
              </w:rPr>
              <w:t>Brokerage (n=3904; 15.5%)</w:t>
            </w:r>
          </w:p>
        </w:tc>
        <w:tc>
          <w:tcPr>
            <w:tcW w:w="682" w:type="pct"/>
            <w:hideMark/>
          </w:tcPr>
          <w:p w14:paraId="38A4736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71 (1.8%)</w:t>
            </w:r>
          </w:p>
        </w:tc>
        <w:tc>
          <w:tcPr>
            <w:tcW w:w="683" w:type="pct"/>
            <w:hideMark/>
          </w:tcPr>
          <w:p w14:paraId="38A4736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64 (1.6%)</w:t>
            </w:r>
          </w:p>
        </w:tc>
        <w:tc>
          <w:tcPr>
            <w:tcW w:w="682" w:type="pct"/>
            <w:hideMark/>
          </w:tcPr>
          <w:p w14:paraId="38A4736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 (1.3%)</w:t>
            </w:r>
          </w:p>
        </w:tc>
      </w:tr>
      <w:tr w:rsidR="00CA7A60" w:rsidRPr="00FB60E5" w14:paraId="38A47369"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65" w14:textId="77777777" w:rsidR="00CA7A60" w:rsidRPr="00C36065" w:rsidRDefault="00CA7A60" w:rsidP="00FB60E5">
            <w:pPr>
              <w:ind w:left="0"/>
              <w:rPr>
                <w:b w:val="0"/>
              </w:rPr>
            </w:pPr>
            <w:r w:rsidRPr="00C36065">
              <w:rPr>
                <w:b w:val="0"/>
              </w:rPr>
              <w:t>Aboriginal services (n=733; 2.9%)</w:t>
            </w:r>
          </w:p>
        </w:tc>
        <w:tc>
          <w:tcPr>
            <w:tcW w:w="682" w:type="pct"/>
            <w:hideMark/>
          </w:tcPr>
          <w:p w14:paraId="38A4736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(0.8%)</w:t>
            </w:r>
          </w:p>
        </w:tc>
        <w:tc>
          <w:tcPr>
            <w:tcW w:w="683" w:type="pct"/>
            <w:hideMark/>
          </w:tcPr>
          <w:p w14:paraId="38A4736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(1.6%)</w:t>
            </w:r>
          </w:p>
        </w:tc>
        <w:tc>
          <w:tcPr>
            <w:tcW w:w="682" w:type="pct"/>
            <w:hideMark/>
          </w:tcPr>
          <w:p w14:paraId="38A4736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(0.7%)</w:t>
            </w:r>
          </w:p>
        </w:tc>
      </w:tr>
      <w:tr w:rsidR="00CA7A60" w:rsidRPr="00FB60E5" w14:paraId="38A4736E"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6A" w14:textId="77777777" w:rsidR="00CA7A60" w:rsidRPr="00C36065" w:rsidRDefault="00CA7A60" w:rsidP="00FB60E5">
            <w:pPr>
              <w:ind w:left="0"/>
              <w:rPr>
                <w:b w:val="0"/>
              </w:rPr>
            </w:pPr>
            <w:r w:rsidRPr="00C36065">
              <w:rPr>
                <w:b w:val="0"/>
              </w:rPr>
              <w:t>Specialist pharmacotherapy (n=401; 1.6%)</w:t>
            </w:r>
          </w:p>
        </w:tc>
        <w:tc>
          <w:tcPr>
            <w:tcW w:w="682" w:type="pct"/>
            <w:hideMark/>
          </w:tcPr>
          <w:p w14:paraId="38A4736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 (4.0%)</w:t>
            </w:r>
          </w:p>
        </w:tc>
        <w:tc>
          <w:tcPr>
            <w:tcW w:w="683" w:type="pct"/>
            <w:hideMark/>
          </w:tcPr>
          <w:p w14:paraId="38A4736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 (2.5%)</w:t>
            </w:r>
          </w:p>
        </w:tc>
        <w:tc>
          <w:tcPr>
            <w:tcW w:w="682" w:type="pct"/>
            <w:hideMark/>
          </w:tcPr>
          <w:p w14:paraId="38A4736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 (2.5%)</w:t>
            </w:r>
          </w:p>
        </w:tc>
      </w:tr>
      <w:tr w:rsidR="00CA7A60" w:rsidRPr="00FB60E5" w14:paraId="38A47373"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6F" w14:textId="77777777" w:rsidR="00CA7A60" w:rsidRPr="00C36065" w:rsidRDefault="00CA7A60" w:rsidP="00FB60E5">
            <w:pPr>
              <w:ind w:left="0"/>
              <w:rPr>
                <w:b w:val="0"/>
              </w:rPr>
            </w:pPr>
            <w:r w:rsidRPr="00C36065">
              <w:rPr>
                <w:b w:val="0"/>
              </w:rPr>
              <w:t>Residential rehabilitation (n=176; 0.7%)</w:t>
            </w:r>
          </w:p>
        </w:tc>
        <w:tc>
          <w:tcPr>
            <w:tcW w:w="682" w:type="pct"/>
            <w:hideMark/>
          </w:tcPr>
          <w:p w14:paraId="38A4737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(3.4%)</w:t>
            </w:r>
          </w:p>
        </w:tc>
        <w:tc>
          <w:tcPr>
            <w:tcW w:w="683" w:type="pct"/>
            <w:hideMark/>
          </w:tcPr>
          <w:p w14:paraId="38A4737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682" w:type="pct"/>
            <w:hideMark/>
          </w:tcPr>
          <w:p w14:paraId="38A4737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7378"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74" w14:textId="77777777" w:rsidR="00CA7A60" w:rsidRPr="00C36065" w:rsidRDefault="00CA7A60" w:rsidP="00FB60E5">
            <w:pPr>
              <w:ind w:left="0"/>
              <w:rPr>
                <w:b w:val="0"/>
              </w:rPr>
            </w:pPr>
            <w:r w:rsidRPr="00C36065">
              <w:rPr>
                <w:b w:val="0"/>
              </w:rPr>
              <w:t>Supported accommodation (n=269; 1.1%)</w:t>
            </w:r>
          </w:p>
        </w:tc>
        <w:tc>
          <w:tcPr>
            <w:tcW w:w="682" w:type="pct"/>
            <w:hideMark/>
          </w:tcPr>
          <w:p w14:paraId="38A4737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(3.3%)</w:t>
            </w:r>
          </w:p>
        </w:tc>
        <w:tc>
          <w:tcPr>
            <w:tcW w:w="683" w:type="pct"/>
            <w:hideMark/>
          </w:tcPr>
          <w:p w14:paraId="38A4737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82" w:type="pct"/>
            <w:hideMark/>
          </w:tcPr>
          <w:p w14:paraId="38A4737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737D"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79" w14:textId="77777777" w:rsidR="00CA7A60" w:rsidRPr="00C36065" w:rsidRDefault="00CA7A60" w:rsidP="00FB60E5">
            <w:pPr>
              <w:ind w:left="0"/>
              <w:rPr>
                <w:b w:val="0"/>
              </w:rPr>
            </w:pPr>
            <w:r w:rsidRPr="00C36065">
              <w:rPr>
                <w:b w:val="0"/>
              </w:rPr>
              <w:t>Post withdrawal linkage (n=256; 1.0%)</w:t>
            </w:r>
          </w:p>
        </w:tc>
        <w:tc>
          <w:tcPr>
            <w:tcW w:w="682" w:type="pct"/>
            <w:hideMark/>
          </w:tcPr>
          <w:p w14:paraId="38A4737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683" w:type="pct"/>
            <w:hideMark/>
          </w:tcPr>
          <w:p w14:paraId="38A4737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 (4.3%)</w:t>
            </w:r>
          </w:p>
        </w:tc>
        <w:tc>
          <w:tcPr>
            <w:tcW w:w="682" w:type="pct"/>
            <w:hideMark/>
          </w:tcPr>
          <w:p w14:paraId="38A4737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(3.5%)</w:t>
            </w:r>
          </w:p>
        </w:tc>
      </w:tr>
      <w:tr w:rsidR="00CA7A60" w:rsidRPr="00FB60E5" w14:paraId="38A47382"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7E" w14:textId="77777777" w:rsidR="00CA7A60" w:rsidRPr="00C36065" w:rsidRDefault="00CA7A60" w:rsidP="00FB60E5">
            <w:pPr>
              <w:ind w:left="0"/>
              <w:rPr>
                <w:b w:val="0"/>
              </w:rPr>
            </w:pPr>
            <w:r w:rsidRPr="00C36065">
              <w:rPr>
                <w:b w:val="0"/>
              </w:rPr>
              <w:t>Other/unknown (n=659; 2.6%)</w:t>
            </w:r>
          </w:p>
        </w:tc>
        <w:tc>
          <w:tcPr>
            <w:tcW w:w="682" w:type="pct"/>
            <w:hideMark/>
          </w:tcPr>
          <w:p w14:paraId="38A4737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 (1.7%)</w:t>
            </w:r>
          </w:p>
        </w:tc>
        <w:tc>
          <w:tcPr>
            <w:tcW w:w="683" w:type="pct"/>
            <w:hideMark/>
          </w:tcPr>
          <w:p w14:paraId="38A4738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(1.8%)</w:t>
            </w:r>
          </w:p>
        </w:tc>
        <w:tc>
          <w:tcPr>
            <w:tcW w:w="682" w:type="pct"/>
            <w:hideMark/>
          </w:tcPr>
          <w:p w14:paraId="38A4738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(0.8%)</w:t>
            </w:r>
          </w:p>
        </w:tc>
      </w:tr>
      <w:tr w:rsidR="00042CE9" w:rsidRPr="00FB60E5" w14:paraId="38A47385"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384" w14:textId="7DECDE87" w:rsidR="00042CE9" w:rsidRPr="00C36065" w:rsidRDefault="00042CE9" w:rsidP="00FB60E5">
            <w:pPr>
              <w:ind w:left="0"/>
              <w:rPr>
                <w:b w:val="0"/>
                <w:bCs w:val="0"/>
              </w:rPr>
            </w:pPr>
            <w:r w:rsidRPr="00FB60E5">
              <w:t>Treatment termination status</w:t>
            </w:r>
          </w:p>
        </w:tc>
      </w:tr>
      <w:tr w:rsidR="00CA7A60" w:rsidRPr="00FB60E5" w14:paraId="38A4738A"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86" w14:textId="77777777" w:rsidR="00CA7A60" w:rsidRPr="00C36065" w:rsidRDefault="00CA7A60" w:rsidP="00FB60E5">
            <w:pPr>
              <w:ind w:left="0"/>
              <w:rPr>
                <w:b w:val="0"/>
              </w:rPr>
            </w:pPr>
            <w:r w:rsidRPr="00C36065">
              <w:rPr>
                <w:b w:val="0"/>
              </w:rPr>
              <w:t>Completed treatment (n=18690; 74.1%)</w:t>
            </w:r>
          </w:p>
        </w:tc>
        <w:tc>
          <w:tcPr>
            <w:tcW w:w="682" w:type="pct"/>
            <w:hideMark/>
          </w:tcPr>
          <w:p w14:paraId="38A4738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304 (1.6%)</w:t>
            </w:r>
          </w:p>
        </w:tc>
        <w:tc>
          <w:tcPr>
            <w:tcW w:w="683" w:type="pct"/>
            <w:hideMark/>
          </w:tcPr>
          <w:p w14:paraId="38A4738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395 (2.1%)</w:t>
            </w:r>
          </w:p>
        </w:tc>
        <w:tc>
          <w:tcPr>
            <w:tcW w:w="682" w:type="pct"/>
            <w:hideMark/>
          </w:tcPr>
          <w:p w14:paraId="38A4738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280 (1.5%)</w:t>
            </w:r>
          </w:p>
        </w:tc>
      </w:tr>
      <w:tr w:rsidR="00CA7A60" w:rsidRPr="00FB60E5" w14:paraId="38A4738F"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8B" w14:textId="77777777" w:rsidR="00CA7A60" w:rsidRPr="00C36065" w:rsidRDefault="00CA7A60" w:rsidP="00FB60E5">
            <w:pPr>
              <w:ind w:left="0"/>
              <w:rPr>
                <w:b w:val="0"/>
              </w:rPr>
            </w:pPr>
            <w:r w:rsidRPr="00C36065">
              <w:rPr>
                <w:b w:val="0"/>
              </w:rPr>
              <w:t>Not completed (n=6262; 24.8%)</w:t>
            </w:r>
          </w:p>
        </w:tc>
        <w:tc>
          <w:tcPr>
            <w:tcW w:w="682" w:type="pct"/>
            <w:hideMark/>
          </w:tcPr>
          <w:p w14:paraId="38A4738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138 (2.2%)</w:t>
            </w:r>
          </w:p>
        </w:tc>
        <w:tc>
          <w:tcPr>
            <w:tcW w:w="683" w:type="pct"/>
            <w:hideMark/>
          </w:tcPr>
          <w:p w14:paraId="38A4738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200 (3.2%)</w:t>
            </w:r>
          </w:p>
        </w:tc>
        <w:tc>
          <w:tcPr>
            <w:tcW w:w="682" w:type="pct"/>
            <w:hideMark/>
          </w:tcPr>
          <w:p w14:paraId="38A4738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126 (2.0%)</w:t>
            </w:r>
          </w:p>
        </w:tc>
      </w:tr>
      <w:tr w:rsidR="00CA7A60" w:rsidRPr="00FB60E5" w14:paraId="38A47394"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90" w14:textId="77777777" w:rsidR="00CA7A60" w:rsidRPr="00C36065" w:rsidRDefault="00CA7A60" w:rsidP="00FB60E5">
            <w:pPr>
              <w:ind w:left="0"/>
              <w:rPr>
                <w:b w:val="0"/>
              </w:rPr>
            </w:pPr>
            <w:r w:rsidRPr="00C36065">
              <w:rPr>
                <w:b w:val="0"/>
              </w:rPr>
              <w:t>Unknown (n=277; 1.1%)</w:t>
            </w:r>
          </w:p>
        </w:tc>
        <w:tc>
          <w:tcPr>
            <w:tcW w:w="682" w:type="pct"/>
            <w:hideMark/>
          </w:tcPr>
          <w:p w14:paraId="38A4739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83" w:type="pct"/>
            <w:hideMark/>
          </w:tcPr>
          <w:p w14:paraId="38A4739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(2.2%)</w:t>
            </w:r>
          </w:p>
        </w:tc>
        <w:tc>
          <w:tcPr>
            <w:tcW w:w="682" w:type="pct"/>
            <w:hideMark/>
          </w:tcPr>
          <w:p w14:paraId="38A4739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042CE9" w:rsidRPr="00C36065" w14:paraId="38A47399"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398" w14:textId="6EC53A90" w:rsidR="00042CE9" w:rsidRPr="00C36065" w:rsidRDefault="00042CE9" w:rsidP="00FB60E5">
            <w:pPr>
              <w:ind w:left="0"/>
            </w:pPr>
            <w:r w:rsidRPr="00C36065">
              <w:t>Primary drug of concern</w:t>
            </w:r>
          </w:p>
        </w:tc>
      </w:tr>
      <w:tr w:rsidR="00CA7A60" w:rsidRPr="00FB60E5" w14:paraId="38A4739E"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9A" w14:textId="77777777" w:rsidR="00CA7A60" w:rsidRPr="00C36065" w:rsidRDefault="00CA7A60" w:rsidP="00FB60E5">
            <w:pPr>
              <w:ind w:left="0"/>
              <w:rPr>
                <w:b w:val="0"/>
              </w:rPr>
            </w:pPr>
            <w:r w:rsidRPr="00C36065">
              <w:rPr>
                <w:b w:val="0"/>
              </w:rPr>
              <w:t>Alcohol (n=11912; 47.2%)</w:t>
            </w:r>
          </w:p>
        </w:tc>
        <w:tc>
          <w:tcPr>
            <w:tcW w:w="682" w:type="pct"/>
            <w:hideMark/>
          </w:tcPr>
          <w:p w14:paraId="38A4739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169 (1.4%)</w:t>
            </w:r>
          </w:p>
        </w:tc>
        <w:tc>
          <w:tcPr>
            <w:tcW w:w="683" w:type="pct"/>
            <w:hideMark/>
          </w:tcPr>
          <w:p w14:paraId="38A4739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214 (1.8%)</w:t>
            </w:r>
          </w:p>
        </w:tc>
        <w:tc>
          <w:tcPr>
            <w:tcW w:w="682" w:type="pct"/>
            <w:hideMark/>
          </w:tcPr>
          <w:p w14:paraId="38A4739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157 (1.3%)</w:t>
            </w:r>
          </w:p>
        </w:tc>
      </w:tr>
      <w:tr w:rsidR="00CA7A60" w:rsidRPr="00FB60E5" w14:paraId="38A473A3"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9F" w14:textId="77777777" w:rsidR="00CA7A60" w:rsidRPr="00C36065" w:rsidRDefault="00CA7A60" w:rsidP="00FB60E5">
            <w:pPr>
              <w:ind w:left="0"/>
              <w:rPr>
                <w:b w:val="0"/>
              </w:rPr>
            </w:pPr>
            <w:r w:rsidRPr="00C36065">
              <w:rPr>
                <w:b w:val="0"/>
              </w:rPr>
              <w:t>Cannabis (n=5663; 22.4%)</w:t>
            </w:r>
          </w:p>
        </w:tc>
        <w:tc>
          <w:tcPr>
            <w:tcW w:w="682" w:type="pct"/>
            <w:hideMark/>
          </w:tcPr>
          <w:p w14:paraId="38A473A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71 (1.3%)</w:t>
            </w:r>
          </w:p>
        </w:tc>
        <w:tc>
          <w:tcPr>
            <w:tcW w:w="683" w:type="pct"/>
            <w:hideMark/>
          </w:tcPr>
          <w:p w14:paraId="38A473A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124 (2.2%)</w:t>
            </w:r>
          </w:p>
        </w:tc>
        <w:tc>
          <w:tcPr>
            <w:tcW w:w="682" w:type="pct"/>
            <w:hideMark/>
          </w:tcPr>
          <w:p w14:paraId="38A473A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81 (1.4%)</w:t>
            </w:r>
          </w:p>
        </w:tc>
      </w:tr>
      <w:tr w:rsidR="00CA7A60" w:rsidRPr="00FB60E5" w14:paraId="38A473A8"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A4" w14:textId="77777777" w:rsidR="00CA7A60" w:rsidRPr="00C36065" w:rsidRDefault="00CA7A60" w:rsidP="00FB60E5">
            <w:pPr>
              <w:ind w:left="0"/>
              <w:rPr>
                <w:b w:val="0"/>
              </w:rPr>
            </w:pPr>
            <w:r w:rsidRPr="00C36065">
              <w:rPr>
                <w:b w:val="0"/>
              </w:rPr>
              <w:t>Heroin &amp; other opioids (n=3863; 15.3%)</w:t>
            </w:r>
          </w:p>
        </w:tc>
        <w:tc>
          <w:tcPr>
            <w:tcW w:w="682" w:type="pct"/>
            <w:hideMark/>
          </w:tcPr>
          <w:p w14:paraId="38A473A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125 (3.2%)</w:t>
            </w:r>
          </w:p>
        </w:tc>
        <w:tc>
          <w:tcPr>
            <w:tcW w:w="683" w:type="pct"/>
            <w:hideMark/>
          </w:tcPr>
          <w:p w14:paraId="38A473A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131 (3.4%)</w:t>
            </w:r>
          </w:p>
        </w:tc>
        <w:tc>
          <w:tcPr>
            <w:tcW w:w="682" w:type="pct"/>
            <w:hideMark/>
          </w:tcPr>
          <w:p w14:paraId="38A473A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96 (2.5%)</w:t>
            </w:r>
          </w:p>
        </w:tc>
      </w:tr>
      <w:tr w:rsidR="00CA7A60" w:rsidRPr="00FB60E5" w14:paraId="38A473AD"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A9" w14:textId="77777777" w:rsidR="00CA7A60" w:rsidRPr="00C36065" w:rsidRDefault="00CA7A60" w:rsidP="00FB60E5">
            <w:pPr>
              <w:ind w:left="0"/>
              <w:rPr>
                <w:b w:val="0"/>
              </w:rPr>
            </w:pPr>
            <w:r w:rsidRPr="00C36065">
              <w:rPr>
                <w:b w:val="0"/>
              </w:rPr>
              <w:t>Amphetamine &amp; other stimulants (n=2198; 8.7%)</w:t>
            </w:r>
          </w:p>
        </w:tc>
        <w:tc>
          <w:tcPr>
            <w:tcW w:w="682" w:type="pct"/>
            <w:hideMark/>
          </w:tcPr>
          <w:p w14:paraId="38A473A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 (1.7%)</w:t>
            </w:r>
          </w:p>
        </w:tc>
        <w:tc>
          <w:tcPr>
            <w:tcW w:w="683" w:type="pct"/>
            <w:hideMark/>
          </w:tcPr>
          <w:p w14:paraId="38A473A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60 (2.7%)</w:t>
            </w:r>
          </w:p>
        </w:tc>
        <w:tc>
          <w:tcPr>
            <w:tcW w:w="682" w:type="pct"/>
            <w:hideMark/>
          </w:tcPr>
          <w:p w14:paraId="38A473A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 (1.9%)</w:t>
            </w:r>
          </w:p>
        </w:tc>
      </w:tr>
      <w:tr w:rsidR="00CA7A60" w:rsidRPr="00FB60E5" w14:paraId="38A473B2"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AE" w14:textId="77777777" w:rsidR="00CA7A60" w:rsidRPr="00C36065" w:rsidRDefault="00CA7A60" w:rsidP="00FB60E5">
            <w:pPr>
              <w:ind w:left="0"/>
              <w:rPr>
                <w:b w:val="0"/>
              </w:rPr>
            </w:pPr>
            <w:r w:rsidRPr="00C36065">
              <w:rPr>
                <w:b w:val="0"/>
              </w:rPr>
              <w:t>Benzodiazepines &amp; other tranquillisers (n=522; 2.1%)</w:t>
            </w:r>
          </w:p>
        </w:tc>
        <w:tc>
          <w:tcPr>
            <w:tcW w:w="682" w:type="pct"/>
            <w:hideMark/>
          </w:tcPr>
          <w:p w14:paraId="38A473A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 (3.8%)</w:t>
            </w:r>
          </w:p>
        </w:tc>
        <w:tc>
          <w:tcPr>
            <w:tcW w:w="683" w:type="pct"/>
            <w:hideMark/>
          </w:tcPr>
          <w:p w14:paraId="38A473B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 (7.9%)</w:t>
            </w:r>
          </w:p>
        </w:tc>
        <w:tc>
          <w:tcPr>
            <w:tcW w:w="682" w:type="pct"/>
            <w:hideMark/>
          </w:tcPr>
          <w:p w14:paraId="38A473B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 (3.4%)</w:t>
            </w:r>
          </w:p>
        </w:tc>
      </w:tr>
      <w:tr w:rsidR="00CA7A60" w:rsidRPr="00FB60E5" w14:paraId="38A473B7"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B3" w14:textId="77777777" w:rsidR="00CA7A60" w:rsidRPr="00C36065" w:rsidRDefault="00CA7A60" w:rsidP="00FB60E5">
            <w:pPr>
              <w:ind w:left="0"/>
              <w:rPr>
                <w:b w:val="0"/>
              </w:rPr>
            </w:pPr>
            <w:r w:rsidRPr="00C36065">
              <w:rPr>
                <w:b w:val="0"/>
              </w:rPr>
              <w:t>Other (n=730; 2.9%)</w:t>
            </w:r>
          </w:p>
        </w:tc>
        <w:tc>
          <w:tcPr>
            <w:tcW w:w="682" w:type="pct"/>
            <w:hideMark/>
          </w:tcPr>
          <w:p w14:paraId="38A473B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 (2.1%)</w:t>
            </w:r>
          </w:p>
        </w:tc>
        <w:tc>
          <w:tcPr>
            <w:tcW w:w="683" w:type="pct"/>
            <w:hideMark/>
          </w:tcPr>
          <w:p w14:paraId="38A473B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 (3.3%)</w:t>
            </w:r>
          </w:p>
        </w:tc>
        <w:tc>
          <w:tcPr>
            <w:tcW w:w="682" w:type="pct"/>
            <w:hideMark/>
          </w:tcPr>
          <w:p w14:paraId="38A473B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(1.4%)</w:t>
            </w:r>
          </w:p>
        </w:tc>
      </w:tr>
      <w:tr w:rsidR="00CA7A60" w:rsidRPr="00FB60E5" w14:paraId="38A473BC"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53" w:type="pct"/>
            <w:noWrap/>
            <w:hideMark/>
          </w:tcPr>
          <w:p w14:paraId="38A473B8" w14:textId="77777777" w:rsidR="00CA7A60" w:rsidRPr="00C36065" w:rsidRDefault="00CA7A60" w:rsidP="00FB60E5">
            <w:pPr>
              <w:ind w:left="0"/>
              <w:rPr>
                <w:b w:val="0"/>
              </w:rPr>
            </w:pPr>
            <w:r w:rsidRPr="00C36065">
              <w:rPr>
                <w:b w:val="0"/>
              </w:rPr>
              <w:t>Unknown (n=341; 1.4%)</w:t>
            </w:r>
          </w:p>
        </w:tc>
        <w:tc>
          <w:tcPr>
            <w:tcW w:w="682" w:type="pct"/>
            <w:hideMark/>
          </w:tcPr>
          <w:p w14:paraId="38A473B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(2.3%)</w:t>
            </w:r>
          </w:p>
        </w:tc>
        <w:tc>
          <w:tcPr>
            <w:tcW w:w="683" w:type="pct"/>
            <w:hideMark/>
          </w:tcPr>
          <w:p w14:paraId="38A473B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(2.1%)</w:t>
            </w:r>
          </w:p>
        </w:tc>
        <w:tc>
          <w:tcPr>
            <w:tcW w:w="682" w:type="pct"/>
            <w:hideMark/>
          </w:tcPr>
          <w:p w14:paraId="38A473B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bl>
    <w:p w14:paraId="2998316F" w14:textId="17A4A504" w:rsidR="002C27A8" w:rsidRDefault="001B3CBD" w:rsidP="00FB60E5">
      <w:pPr>
        <w:ind w:left="0"/>
      </w:pPr>
      <w:r>
        <w:lastRenderedPageBreak/>
        <w:fldChar w:fldCharType="begin"/>
      </w:r>
      <w:r>
        <w:instrText xml:space="preserve"> REF _Ref387143271 \h </w:instrText>
      </w:r>
      <w:r>
        <w:fldChar w:fldCharType="separate"/>
      </w:r>
      <w:r w:rsidRPr="00FB60E5">
        <w:t xml:space="preserve">Table </w:t>
      </w:r>
      <w:r>
        <w:rPr>
          <w:noProof/>
        </w:rPr>
        <w:t>4</w:t>
      </w:r>
      <w:r>
        <w:t>.</w:t>
      </w:r>
      <w:r>
        <w:rPr>
          <w:noProof/>
        </w:rPr>
        <w:t>23</w:t>
      </w:r>
      <w:r>
        <w:fldChar w:fldCharType="end"/>
      </w:r>
      <w:r w:rsidR="00CA7A60" w:rsidRPr="00FB60E5">
        <w:t xml:space="preserve"> shows the proportion of AOD clients diagnosed in hospital with an alcohol-related chronic condition across the three years by AOD treatment characteristics and primary drug of concern on entry into AOD treatment. Overall, there was stability in proportions of clients admitted with alcohol-related chronic conditions over the three years presented. This is likely a reflection of patterns of morbidity associated with alcohol-related chronic conditions, with need for treatment of recurring symptoms even after reduction or cessation of alcohol consumption</w:t>
      </w:r>
      <w:r w:rsidR="002C27A8">
        <w:t>.</w:t>
      </w:r>
    </w:p>
    <w:p w14:paraId="38A473C0" w14:textId="18F2B831" w:rsidR="00CA7A60" w:rsidRPr="00FB60E5" w:rsidRDefault="00CA7A60" w:rsidP="00552239">
      <w:pPr>
        <w:pStyle w:val="Caption"/>
      </w:pPr>
      <w:bookmarkStart w:id="292" w:name="_Ref387143271"/>
      <w:bookmarkStart w:id="293" w:name="_Toc387244647"/>
      <w:bookmarkStart w:id="294" w:name="_Toc531625820"/>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23</w:t>
      </w:r>
      <w:r w:rsidR="00552239">
        <w:fldChar w:fldCharType="end"/>
      </w:r>
      <w:bookmarkEnd w:id="292"/>
      <w:r w:rsidR="002C27A8">
        <w:t xml:space="preserve"> </w:t>
      </w:r>
      <w:r w:rsidRPr="00FB60E5">
        <w:t xml:space="preserve">Admissions for alcohol-related chronic conditions by AOD </w:t>
      </w:r>
      <w:r w:rsidR="004B5CD4" w:rsidRPr="00FB60E5">
        <w:t>treatment</w:t>
      </w:r>
      <w:r w:rsidRPr="00FB60E5">
        <w:t xml:space="preserve"> type, primary drug of concern and treatment termination status, 2009/10, 2010/11 and 2011/12</w:t>
      </w:r>
      <w:bookmarkEnd w:id="293"/>
      <w:bookmarkEnd w:id="294"/>
    </w:p>
    <w:tbl>
      <w:tblPr>
        <w:tblStyle w:val="LightList-Accent1"/>
        <w:tblW w:w="5000" w:type="pct"/>
        <w:tblLook w:val="04A0" w:firstRow="1" w:lastRow="0" w:firstColumn="1" w:lastColumn="0" w:noHBand="0" w:noVBand="1"/>
        <w:tblDescription w:val="Table 4.23 is a list of Admissions for alcohol-related chronic conditions by AOD treatment type, primary drug of concern and treatment termination status, 2009/10, 2010/11 and 2011/12"/>
      </w:tblPr>
      <w:tblGrid>
        <w:gridCol w:w="5483"/>
        <w:gridCol w:w="1253"/>
        <w:gridCol w:w="1253"/>
        <w:gridCol w:w="1253"/>
      </w:tblGrid>
      <w:tr w:rsidR="00CA7A60" w:rsidRPr="00FB60E5" w14:paraId="38A473C3"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66" w:type="pct"/>
            <w:vMerge w:val="restart"/>
            <w:noWrap/>
            <w:hideMark/>
          </w:tcPr>
          <w:p w14:paraId="38A473C1" w14:textId="77777777" w:rsidR="00CA7A60" w:rsidRPr="00FB60E5" w:rsidRDefault="00CA7A60" w:rsidP="00FB60E5">
            <w:pPr>
              <w:ind w:left="0"/>
            </w:pPr>
            <w:r w:rsidRPr="00FB60E5">
              <w:t> </w:t>
            </w:r>
          </w:p>
        </w:tc>
        <w:tc>
          <w:tcPr>
            <w:tcW w:w="2034" w:type="pct"/>
            <w:gridSpan w:val="3"/>
            <w:noWrap/>
            <w:hideMark/>
          </w:tcPr>
          <w:p w14:paraId="38A473C2"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Alcohol related chronic conditions</w:t>
            </w:r>
          </w:p>
        </w:tc>
      </w:tr>
      <w:tr w:rsidR="00CA7A60" w:rsidRPr="00FB60E5" w14:paraId="38A473C8" w14:textId="77777777" w:rsidTr="00042CE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66" w:type="pct"/>
            <w:vMerge/>
            <w:hideMark/>
          </w:tcPr>
          <w:p w14:paraId="38A473C4" w14:textId="77777777" w:rsidR="00CA7A60" w:rsidRPr="00FB60E5" w:rsidRDefault="00CA7A60" w:rsidP="00FB60E5">
            <w:pPr>
              <w:ind w:left="0"/>
            </w:pPr>
          </w:p>
        </w:tc>
        <w:tc>
          <w:tcPr>
            <w:tcW w:w="678" w:type="pct"/>
            <w:hideMark/>
          </w:tcPr>
          <w:p w14:paraId="38A473C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678" w:type="pct"/>
            <w:hideMark/>
          </w:tcPr>
          <w:p w14:paraId="38A473C6"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678" w:type="pct"/>
            <w:hideMark/>
          </w:tcPr>
          <w:p w14:paraId="38A473C7"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3CD"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C9" w14:textId="77777777" w:rsidR="00CA7A60" w:rsidRPr="00FB60E5" w:rsidRDefault="00CA7A60" w:rsidP="00FB60E5">
            <w:pPr>
              <w:ind w:left="0"/>
            </w:pPr>
            <w:r w:rsidRPr="00FB60E5">
              <w:t>Total (n=25229)</w:t>
            </w:r>
          </w:p>
        </w:tc>
        <w:tc>
          <w:tcPr>
            <w:tcW w:w="678" w:type="pct"/>
            <w:hideMark/>
          </w:tcPr>
          <w:p w14:paraId="38A473C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334 (1.3%)</w:t>
            </w:r>
          </w:p>
        </w:tc>
        <w:tc>
          <w:tcPr>
            <w:tcW w:w="678" w:type="pct"/>
            <w:hideMark/>
          </w:tcPr>
          <w:p w14:paraId="38A473C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359 (1.4%)</w:t>
            </w:r>
          </w:p>
        </w:tc>
        <w:tc>
          <w:tcPr>
            <w:tcW w:w="678" w:type="pct"/>
            <w:hideMark/>
          </w:tcPr>
          <w:p w14:paraId="38A473C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329 (1.3%)</w:t>
            </w:r>
          </w:p>
        </w:tc>
      </w:tr>
      <w:tr w:rsidR="00042CE9" w:rsidRPr="00FB60E5" w14:paraId="38A473D2"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3D1" w14:textId="494BE410" w:rsidR="00042CE9" w:rsidRPr="00FB60E5" w:rsidRDefault="00042CE9" w:rsidP="00FB60E5">
            <w:pPr>
              <w:ind w:left="0"/>
            </w:pPr>
            <w:r w:rsidRPr="00FB60E5">
              <w:t>Treatment type</w:t>
            </w:r>
          </w:p>
        </w:tc>
      </w:tr>
      <w:tr w:rsidR="00CA7A60" w:rsidRPr="00FB60E5" w14:paraId="38A473D7"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D3" w14:textId="77777777" w:rsidR="00CA7A60" w:rsidRPr="00C36065" w:rsidRDefault="00CA7A60" w:rsidP="00FB60E5">
            <w:pPr>
              <w:ind w:left="0"/>
              <w:rPr>
                <w:b w:val="0"/>
              </w:rPr>
            </w:pPr>
            <w:r w:rsidRPr="00C36065">
              <w:rPr>
                <w:b w:val="0"/>
              </w:rPr>
              <w:t>Counselling (n=11919; 47.2%)</w:t>
            </w:r>
          </w:p>
        </w:tc>
        <w:tc>
          <w:tcPr>
            <w:tcW w:w="678" w:type="pct"/>
            <w:hideMark/>
          </w:tcPr>
          <w:p w14:paraId="38A473D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139 (1.2%)</w:t>
            </w:r>
          </w:p>
        </w:tc>
        <w:tc>
          <w:tcPr>
            <w:tcW w:w="678" w:type="pct"/>
            <w:hideMark/>
          </w:tcPr>
          <w:p w14:paraId="38A473D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165 (1.4%)</w:t>
            </w:r>
          </w:p>
        </w:tc>
        <w:tc>
          <w:tcPr>
            <w:tcW w:w="678" w:type="pct"/>
            <w:hideMark/>
          </w:tcPr>
          <w:p w14:paraId="38A473D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148 (1.2%)</w:t>
            </w:r>
          </w:p>
        </w:tc>
      </w:tr>
      <w:tr w:rsidR="00CA7A60" w:rsidRPr="00FB60E5" w14:paraId="38A473DC"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D8" w14:textId="77777777" w:rsidR="00CA7A60" w:rsidRPr="00C36065" w:rsidRDefault="00CA7A60" w:rsidP="00FB60E5">
            <w:pPr>
              <w:ind w:left="0"/>
              <w:rPr>
                <w:b w:val="0"/>
              </w:rPr>
            </w:pPr>
            <w:r w:rsidRPr="00C36065">
              <w:rPr>
                <w:b w:val="0"/>
              </w:rPr>
              <w:t>Residential withdrawal (n=1962; 7.8%)</w:t>
            </w:r>
          </w:p>
        </w:tc>
        <w:tc>
          <w:tcPr>
            <w:tcW w:w="678" w:type="pct"/>
            <w:hideMark/>
          </w:tcPr>
          <w:p w14:paraId="38A473D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46 (2.3%)</w:t>
            </w:r>
          </w:p>
        </w:tc>
        <w:tc>
          <w:tcPr>
            <w:tcW w:w="678" w:type="pct"/>
            <w:hideMark/>
          </w:tcPr>
          <w:p w14:paraId="38A473D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52 (2.7%)</w:t>
            </w:r>
          </w:p>
        </w:tc>
        <w:tc>
          <w:tcPr>
            <w:tcW w:w="678" w:type="pct"/>
            <w:hideMark/>
          </w:tcPr>
          <w:p w14:paraId="38A473D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45 (2.3%)</w:t>
            </w:r>
          </w:p>
        </w:tc>
      </w:tr>
      <w:tr w:rsidR="00CA7A60" w:rsidRPr="00FB60E5" w14:paraId="38A473E1"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DD" w14:textId="77777777" w:rsidR="00CA7A60" w:rsidRPr="00C36065" w:rsidRDefault="00CA7A60" w:rsidP="00FB60E5">
            <w:pPr>
              <w:ind w:left="0"/>
              <w:rPr>
                <w:b w:val="0"/>
              </w:rPr>
            </w:pPr>
            <w:r w:rsidRPr="00C36065">
              <w:rPr>
                <w:b w:val="0"/>
              </w:rPr>
              <w:t>Other withdrawal (n=2582; 10.2%)</w:t>
            </w:r>
          </w:p>
        </w:tc>
        <w:tc>
          <w:tcPr>
            <w:tcW w:w="678" w:type="pct"/>
            <w:hideMark/>
          </w:tcPr>
          <w:p w14:paraId="38A473D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55 (2.1%)</w:t>
            </w:r>
          </w:p>
        </w:tc>
        <w:tc>
          <w:tcPr>
            <w:tcW w:w="678" w:type="pct"/>
            <w:hideMark/>
          </w:tcPr>
          <w:p w14:paraId="38A473D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59 (2.3%)</w:t>
            </w:r>
          </w:p>
        </w:tc>
        <w:tc>
          <w:tcPr>
            <w:tcW w:w="678" w:type="pct"/>
            <w:hideMark/>
          </w:tcPr>
          <w:p w14:paraId="38A473E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 (1.8%)</w:t>
            </w:r>
          </w:p>
        </w:tc>
      </w:tr>
      <w:tr w:rsidR="00CA7A60" w:rsidRPr="00FB60E5" w14:paraId="38A473E6"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E2" w14:textId="77777777" w:rsidR="00CA7A60" w:rsidRPr="00C36065" w:rsidRDefault="00CA7A60" w:rsidP="00FB60E5">
            <w:pPr>
              <w:ind w:left="0"/>
              <w:rPr>
                <w:b w:val="0"/>
              </w:rPr>
            </w:pPr>
            <w:r w:rsidRPr="00C36065">
              <w:rPr>
                <w:b w:val="0"/>
              </w:rPr>
              <w:t>Outreach (n=2368; 9.4%)</w:t>
            </w:r>
          </w:p>
        </w:tc>
        <w:tc>
          <w:tcPr>
            <w:tcW w:w="678" w:type="pct"/>
            <w:hideMark/>
          </w:tcPr>
          <w:p w14:paraId="38A473E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 (0.5%)</w:t>
            </w:r>
          </w:p>
        </w:tc>
        <w:tc>
          <w:tcPr>
            <w:tcW w:w="678" w:type="pct"/>
            <w:hideMark/>
          </w:tcPr>
          <w:p w14:paraId="38A473E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(0.5%)</w:t>
            </w:r>
          </w:p>
        </w:tc>
        <w:tc>
          <w:tcPr>
            <w:tcW w:w="678" w:type="pct"/>
            <w:hideMark/>
          </w:tcPr>
          <w:p w14:paraId="38A473E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 (0.6%)</w:t>
            </w:r>
          </w:p>
        </w:tc>
      </w:tr>
      <w:tr w:rsidR="00CA7A60" w:rsidRPr="00FB60E5" w14:paraId="38A473EB"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E7" w14:textId="77777777" w:rsidR="00CA7A60" w:rsidRPr="00C36065" w:rsidRDefault="00CA7A60" w:rsidP="00FB60E5">
            <w:pPr>
              <w:ind w:left="0"/>
              <w:rPr>
                <w:b w:val="0"/>
              </w:rPr>
            </w:pPr>
            <w:r w:rsidRPr="00C36065">
              <w:rPr>
                <w:b w:val="0"/>
              </w:rPr>
              <w:t>Brokerage (n=3904; 15.5%)</w:t>
            </w:r>
          </w:p>
        </w:tc>
        <w:tc>
          <w:tcPr>
            <w:tcW w:w="678" w:type="pct"/>
            <w:hideMark/>
          </w:tcPr>
          <w:p w14:paraId="38A473E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37 (0.9%)</w:t>
            </w:r>
          </w:p>
        </w:tc>
        <w:tc>
          <w:tcPr>
            <w:tcW w:w="678" w:type="pct"/>
            <w:hideMark/>
          </w:tcPr>
          <w:p w14:paraId="38A473E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 (0.8%)</w:t>
            </w:r>
          </w:p>
        </w:tc>
        <w:tc>
          <w:tcPr>
            <w:tcW w:w="678" w:type="pct"/>
            <w:hideMark/>
          </w:tcPr>
          <w:p w14:paraId="38A473E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 (1.1%)</w:t>
            </w:r>
          </w:p>
        </w:tc>
      </w:tr>
      <w:tr w:rsidR="00CA7A60" w:rsidRPr="00FB60E5" w14:paraId="38A473F0"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EC" w14:textId="77777777" w:rsidR="00CA7A60" w:rsidRPr="00C36065" w:rsidRDefault="00CA7A60" w:rsidP="00FB60E5">
            <w:pPr>
              <w:ind w:left="0"/>
              <w:rPr>
                <w:b w:val="0"/>
              </w:rPr>
            </w:pPr>
            <w:r w:rsidRPr="00C36065">
              <w:rPr>
                <w:b w:val="0"/>
              </w:rPr>
              <w:t>Aboriginal services (n=733; 2.9%)</w:t>
            </w:r>
          </w:p>
        </w:tc>
        <w:tc>
          <w:tcPr>
            <w:tcW w:w="678" w:type="pct"/>
            <w:hideMark/>
          </w:tcPr>
          <w:p w14:paraId="38A473E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18 (2.5%)</w:t>
            </w:r>
          </w:p>
        </w:tc>
        <w:tc>
          <w:tcPr>
            <w:tcW w:w="678" w:type="pct"/>
            <w:hideMark/>
          </w:tcPr>
          <w:p w14:paraId="38A473E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(2.2%)</w:t>
            </w:r>
          </w:p>
        </w:tc>
        <w:tc>
          <w:tcPr>
            <w:tcW w:w="678" w:type="pct"/>
            <w:hideMark/>
          </w:tcPr>
          <w:p w14:paraId="38A473E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(1.4%)</w:t>
            </w:r>
          </w:p>
        </w:tc>
      </w:tr>
      <w:tr w:rsidR="00CA7A60" w:rsidRPr="00FB60E5" w14:paraId="38A473F5"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F1" w14:textId="77777777" w:rsidR="00CA7A60" w:rsidRPr="00C36065" w:rsidRDefault="00CA7A60" w:rsidP="00FB60E5">
            <w:pPr>
              <w:ind w:left="0"/>
              <w:rPr>
                <w:b w:val="0"/>
              </w:rPr>
            </w:pPr>
            <w:r w:rsidRPr="00C36065">
              <w:rPr>
                <w:b w:val="0"/>
              </w:rPr>
              <w:t>Specialist pharmacotherapy (n=401; 1.6%)</w:t>
            </w:r>
          </w:p>
        </w:tc>
        <w:tc>
          <w:tcPr>
            <w:tcW w:w="678" w:type="pct"/>
            <w:hideMark/>
          </w:tcPr>
          <w:p w14:paraId="38A473F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(2.0%)</w:t>
            </w:r>
          </w:p>
        </w:tc>
        <w:tc>
          <w:tcPr>
            <w:tcW w:w="678" w:type="pct"/>
            <w:hideMark/>
          </w:tcPr>
          <w:p w14:paraId="38A473F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 (2.7%)</w:t>
            </w:r>
          </w:p>
        </w:tc>
        <w:tc>
          <w:tcPr>
            <w:tcW w:w="678" w:type="pct"/>
            <w:hideMark/>
          </w:tcPr>
          <w:p w14:paraId="38A473F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(1.7%)</w:t>
            </w:r>
          </w:p>
        </w:tc>
      </w:tr>
      <w:tr w:rsidR="00CA7A60" w:rsidRPr="00FB60E5" w14:paraId="38A473FA"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F6" w14:textId="77777777" w:rsidR="00CA7A60" w:rsidRPr="00C36065" w:rsidRDefault="00CA7A60" w:rsidP="00FB60E5">
            <w:pPr>
              <w:ind w:left="0"/>
              <w:rPr>
                <w:b w:val="0"/>
              </w:rPr>
            </w:pPr>
            <w:r w:rsidRPr="00C36065">
              <w:rPr>
                <w:b w:val="0"/>
              </w:rPr>
              <w:t>Residential rehabilitation (n=176; 0.7%)</w:t>
            </w:r>
          </w:p>
        </w:tc>
        <w:tc>
          <w:tcPr>
            <w:tcW w:w="678" w:type="pct"/>
            <w:hideMark/>
          </w:tcPr>
          <w:p w14:paraId="38A473F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678" w:type="pct"/>
            <w:hideMark/>
          </w:tcPr>
          <w:p w14:paraId="38A473F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c>
          <w:tcPr>
            <w:tcW w:w="678" w:type="pct"/>
            <w:hideMark/>
          </w:tcPr>
          <w:p w14:paraId="38A473F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N&lt;5</w:t>
            </w:r>
          </w:p>
        </w:tc>
      </w:tr>
      <w:tr w:rsidR="00CA7A60" w:rsidRPr="00FB60E5" w14:paraId="38A473FF"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3FB" w14:textId="77777777" w:rsidR="00CA7A60" w:rsidRPr="00C36065" w:rsidRDefault="00CA7A60" w:rsidP="00FB60E5">
            <w:pPr>
              <w:ind w:left="0"/>
              <w:rPr>
                <w:b w:val="0"/>
              </w:rPr>
            </w:pPr>
            <w:r w:rsidRPr="00C36065">
              <w:rPr>
                <w:b w:val="0"/>
              </w:rPr>
              <w:t>Supported accommodation (n=269; 1.1%)</w:t>
            </w:r>
          </w:p>
        </w:tc>
        <w:tc>
          <w:tcPr>
            <w:tcW w:w="678" w:type="pct"/>
            <w:hideMark/>
          </w:tcPr>
          <w:p w14:paraId="38A473F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 (2.2%)</w:t>
            </w:r>
          </w:p>
        </w:tc>
        <w:tc>
          <w:tcPr>
            <w:tcW w:w="678" w:type="pct"/>
            <w:hideMark/>
          </w:tcPr>
          <w:p w14:paraId="38A473F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3F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7404"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00" w14:textId="77777777" w:rsidR="00CA7A60" w:rsidRPr="00C36065" w:rsidRDefault="00CA7A60" w:rsidP="00FB60E5">
            <w:pPr>
              <w:ind w:left="0"/>
              <w:rPr>
                <w:b w:val="0"/>
              </w:rPr>
            </w:pPr>
            <w:r w:rsidRPr="00C36065">
              <w:rPr>
                <w:b w:val="0"/>
              </w:rPr>
              <w:t>Post withdrawal linkage (n=256; 1.0%)</w:t>
            </w:r>
          </w:p>
        </w:tc>
        <w:tc>
          <w:tcPr>
            <w:tcW w:w="678" w:type="pct"/>
            <w:hideMark/>
          </w:tcPr>
          <w:p w14:paraId="38A4740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6 (2.3%)</w:t>
            </w:r>
          </w:p>
        </w:tc>
        <w:tc>
          <w:tcPr>
            <w:tcW w:w="678" w:type="pct"/>
            <w:hideMark/>
          </w:tcPr>
          <w:p w14:paraId="38A4740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(2.0%)</w:t>
            </w:r>
          </w:p>
        </w:tc>
        <w:tc>
          <w:tcPr>
            <w:tcW w:w="678" w:type="pct"/>
            <w:hideMark/>
          </w:tcPr>
          <w:p w14:paraId="38A4740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(2.0%)</w:t>
            </w:r>
          </w:p>
        </w:tc>
      </w:tr>
      <w:tr w:rsidR="00CA7A60" w:rsidRPr="00FB60E5" w14:paraId="38A47409"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05" w14:textId="77777777" w:rsidR="00CA7A60" w:rsidRPr="00C36065" w:rsidRDefault="00CA7A60" w:rsidP="00FB60E5">
            <w:pPr>
              <w:ind w:left="0"/>
              <w:rPr>
                <w:b w:val="0"/>
              </w:rPr>
            </w:pPr>
            <w:r w:rsidRPr="00C36065">
              <w:rPr>
                <w:b w:val="0"/>
              </w:rPr>
              <w:t>Other/unknown (n=659; 2.6%)</w:t>
            </w:r>
          </w:p>
        </w:tc>
        <w:tc>
          <w:tcPr>
            <w:tcW w:w="678" w:type="pct"/>
            <w:hideMark/>
          </w:tcPr>
          <w:p w14:paraId="38A4740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 (0.8%)</w:t>
            </w:r>
          </w:p>
        </w:tc>
        <w:tc>
          <w:tcPr>
            <w:tcW w:w="678" w:type="pct"/>
            <w:hideMark/>
          </w:tcPr>
          <w:p w14:paraId="38A4740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40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7 (1.1%)</w:t>
            </w:r>
          </w:p>
        </w:tc>
      </w:tr>
      <w:tr w:rsidR="00CA7A60" w:rsidRPr="00FB60E5" w14:paraId="38A4740C"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4322" w:type="pct"/>
            <w:gridSpan w:val="3"/>
            <w:noWrap/>
            <w:hideMark/>
          </w:tcPr>
          <w:p w14:paraId="38A4740A" w14:textId="77777777" w:rsidR="00CA7A60" w:rsidRPr="00FB60E5" w:rsidRDefault="00CA7A60" w:rsidP="00FB60E5">
            <w:pPr>
              <w:ind w:left="0"/>
            </w:pPr>
            <w:r w:rsidRPr="00FB60E5">
              <w:t>Treatment termination status</w:t>
            </w:r>
          </w:p>
        </w:tc>
        <w:tc>
          <w:tcPr>
            <w:tcW w:w="678" w:type="pct"/>
            <w:hideMark/>
          </w:tcPr>
          <w:p w14:paraId="38A4740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 </w:t>
            </w:r>
          </w:p>
        </w:tc>
      </w:tr>
      <w:tr w:rsidR="00CA7A60" w:rsidRPr="00FB60E5" w14:paraId="38A47411"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0D" w14:textId="77777777" w:rsidR="00CA7A60" w:rsidRPr="00C36065" w:rsidRDefault="00CA7A60" w:rsidP="00FB60E5">
            <w:pPr>
              <w:ind w:left="0"/>
              <w:rPr>
                <w:b w:val="0"/>
              </w:rPr>
            </w:pPr>
            <w:r w:rsidRPr="00C36065">
              <w:rPr>
                <w:b w:val="0"/>
              </w:rPr>
              <w:t>Completed treatment (n=18690; 74.1%)</w:t>
            </w:r>
          </w:p>
        </w:tc>
        <w:tc>
          <w:tcPr>
            <w:tcW w:w="678" w:type="pct"/>
            <w:hideMark/>
          </w:tcPr>
          <w:p w14:paraId="38A4740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232 (1.2%)</w:t>
            </w:r>
          </w:p>
        </w:tc>
        <w:tc>
          <w:tcPr>
            <w:tcW w:w="678" w:type="pct"/>
            <w:hideMark/>
          </w:tcPr>
          <w:p w14:paraId="38A4740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261 (1.4%)</w:t>
            </w:r>
          </w:p>
        </w:tc>
        <w:tc>
          <w:tcPr>
            <w:tcW w:w="678" w:type="pct"/>
            <w:hideMark/>
          </w:tcPr>
          <w:p w14:paraId="38A4741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234 (1.3%)</w:t>
            </w:r>
          </w:p>
        </w:tc>
      </w:tr>
      <w:tr w:rsidR="00CA7A60" w:rsidRPr="00FB60E5" w14:paraId="38A47416"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12" w14:textId="77777777" w:rsidR="00CA7A60" w:rsidRPr="00C36065" w:rsidRDefault="00CA7A60" w:rsidP="00FB60E5">
            <w:pPr>
              <w:ind w:left="0"/>
              <w:rPr>
                <w:b w:val="0"/>
              </w:rPr>
            </w:pPr>
            <w:r w:rsidRPr="00C36065">
              <w:rPr>
                <w:b w:val="0"/>
              </w:rPr>
              <w:t>Not completed (n=6262; 24.8%)</w:t>
            </w:r>
          </w:p>
        </w:tc>
        <w:tc>
          <w:tcPr>
            <w:tcW w:w="678" w:type="pct"/>
            <w:hideMark/>
          </w:tcPr>
          <w:p w14:paraId="38A4741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99 (1.6%)</w:t>
            </w:r>
          </w:p>
        </w:tc>
        <w:tc>
          <w:tcPr>
            <w:tcW w:w="678" w:type="pct"/>
            <w:hideMark/>
          </w:tcPr>
          <w:p w14:paraId="38A4741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95 (1.5%)</w:t>
            </w:r>
          </w:p>
        </w:tc>
        <w:tc>
          <w:tcPr>
            <w:tcW w:w="678" w:type="pct"/>
            <w:hideMark/>
          </w:tcPr>
          <w:p w14:paraId="38A4741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91 (1.5%)</w:t>
            </w:r>
          </w:p>
        </w:tc>
      </w:tr>
      <w:tr w:rsidR="00CA7A60" w:rsidRPr="00FB60E5" w14:paraId="38A4741B"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17" w14:textId="77777777" w:rsidR="00CA7A60" w:rsidRPr="00C36065" w:rsidRDefault="00CA7A60" w:rsidP="00FB60E5">
            <w:pPr>
              <w:ind w:left="0"/>
              <w:rPr>
                <w:b w:val="0"/>
              </w:rPr>
            </w:pPr>
            <w:r w:rsidRPr="00C36065">
              <w:rPr>
                <w:b w:val="0"/>
              </w:rPr>
              <w:t>Unknown (n=277; 1.1%)</w:t>
            </w:r>
          </w:p>
        </w:tc>
        <w:tc>
          <w:tcPr>
            <w:tcW w:w="678" w:type="pct"/>
            <w:hideMark/>
          </w:tcPr>
          <w:p w14:paraId="38A4741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41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41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7420"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1C" w14:textId="77777777" w:rsidR="00CA7A60" w:rsidRPr="00C36065" w:rsidRDefault="00CA7A60" w:rsidP="00FB60E5">
            <w:pPr>
              <w:ind w:left="0"/>
              <w:rPr>
                <w:b w:val="0"/>
              </w:rPr>
            </w:pPr>
            <w:r w:rsidRPr="00C36065">
              <w:rPr>
                <w:b w:val="0"/>
              </w:rPr>
              <w:t>Primary drug of concern</w:t>
            </w:r>
          </w:p>
        </w:tc>
        <w:tc>
          <w:tcPr>
            <w:tcW w:w="678" w:type="pct"/>
            <w:hideMark/>
          </w:tcPr>
          <w:p w14:paraId="38A4741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c>
          <w:tcPr>
            <w:tcW w:w="678" w:type="pct"/>
            <w:hideMark/>
          </w:tcPr>
          <w:p w14:paraId="38A4741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c>
          <w:tcPr>
            <w:tcW w:w="678" w:type="pct"/>
            <w:hideMark/>
          </w:tcPr>
          <w:p w14:paraId="38A4741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425"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21" w14:textId="77777777" w:rsidR="00CA7A60" w:rsidRPr="00C36065" w:rsidRDefault="00CA7A60" w:rsidP="00FB60E5">
            <w:pPr>
              <w:ind w:left="0"/>
              <w:rPr>
                <w:b w:val="0"/>
              </w:rPr>
            </w:pPr>
            <w:r w:rsidRPr="00C36065">
              <w:rPr>
                <w:b w:val="0"/>
              </w:rPr>
              <w:t>Alcohol (n=11912; 47.2%)</w:t>
            </w:r>
          </w:p>
        </w:tc>
        <w:tc>
          <w:tcPr>
            <w:tcW w:w="678" w:type="pct"/>
            <w:hideMark/>
          </w:tcPr>
          <w:p w14:paraId="38A4742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219 (1.8%)</w:t>
            </w:r>
          </w:p>
        </w:tc>
        <w:tc>
          <w:tcPr>
            <w:tcW w:w="678" w:type="pct"/>
            <w:hideMark/>
          </w:tcPr>
          <w:p w14:paraId="38A4742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236 (2.0%)</w:t>
            </w:r>
          </w:p>
        </w:tc>
        <w:tc>
          <w:tcPr>
            <w:tcW w:w="678" w:type="pct"/>
            <w:hideMark/>
          </w:tcPr>
          <w:p w14:paraId="38A4742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223 (1.9%)</w:t>
            </w:r>
          </w:p>
        </w:tc>
      </w:tr>
      <w:tr w:rsidR="00CA7A60" w:rsidRPr="00FB60E5" w14:paraId="38A4742A"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26" w14:textId="77777777" w:rsidR="00CA7A60" w:rsidRPr="00C36065" w:rsidRDefault="00CA7A60" w:rsidP="00FB60E5">
            <w:pPr>
              <w:ind w:left="0"/>
              <w:rPr>
                <w:b w:val="0"/>
              </w:rPr>
            </w:pPr>
            <w:r w:rsidRPr="00C36065">
              <w:rPr>
                <w:b w:val="0"/>
              </w:rPr>
              <w:t>Cannabis (n=5663; 22.4%)</w:t>
            </w:r>
          </w:p>
        </w:tc>
        <w:tc>
          <w:tcPr>
            <w:tcW w:w="678" w:type="pct"/>
            <w:hideMark/>
          </w:tcPr>
          <w:p w14:paraId="38A4742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47 (0.8%)</w:t>
            </w:r>
          </w:p>
        </w:tc>
        <w:tc>
          <w:tcPr>
            <w:tcW w:w="678" w:type="pct"/>
            <w:hideMark/>
          </w:tcPr>
          <w:p w14:paraId="38A4742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38 (0.7%)</w:t>
            </w:r>
          </w:p>
        </w:tc>
        <w:tc>
          <w:tcPr>
            <w:tcW w:w="678" w:type="pct"/>
            <w:hideMark/>
          </w:tcPr>
          <w:p w14:paraId="38A4742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46 (0.8%)</w:t>
            </w:r>
          </w:p>
        </w:tc>
      </w:tr>
      <w:tr w:rsidR="00CA7A60" w:rsidRPr="00FB60E5" w14:paraId="38A4742F"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2B" w14:textId="77777777" w:rsidR="00CA7A60" w:rsidRPr="00C36065" w:rsidRDefault="00CA7A60" w:rsidP="00FB60E5">
            <w:pPr>
              <w:ind w:left="0"/>
              <w:rPr>
                <w:b w:val="0"/>
              </w:rPr>
            </w:pPr>
            <w:r w:rsidRPr="00C36065">
              <w:rPr>
                <w:b w:val="0"/>
              </w:rPr>
              <w:t>Heroin &amp; other opioids (n=3863; 15.3%)</w:t>
            </w:r>
          </w:p>
        </w:tc>
        <w:tc>
          <w:tcPr>
            <w:tcW w:w="678" w:type="pct"/>
            <w:hideMark/>
          </w:tcPr>
          <w:p w14:paraId="38A4742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38 (1.0%)</w:t>
            </w:r>
          </w:p>
        </w:tc>
        <w:tc>
          <w:tcPr>
            <w:tcW w:w="678" w:type="pct"/>
            <w:hideMark/>
          </w:tcPr>
          <w:p w14:paraId="38A4742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44 (1.1%)</w:t>
            </w:r>
          </w:p>
        </w:tc>
        <w:tc>
          <w:tcPr>
            <w:tcW w:w="678" w:type="pct"/>
            <w:hideMark/>
          </w:tcPr>
          <w:p w14:paraId="38A4742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36 (0.9%)</w:t>
            </w:r>
          </w:p>
        </w:tc>
      </w:tr>
      <w:tr w:rsidR="00CA7A60" w:rsidRPr="00FB60E5" w14:paraId="38A47434"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30" w14:textId="77777777" w:rsidR="00CA7A60" w:rsidRPr="00C36065" w:rsidRDefault="00CA7A60" w:rsidP="00FB60E5">
            <w:pPr>
              <w:ind w:left="0"/>
              <w:rPr>
                <w:b w:val="0"/>
              </w:rPr>
            </w:pPr>
            <w:r w:rsidRPr="00C36065">
              <w:rPr>
                <w:b w:val="0"/>
              </w:rPr>
              <w:t>Amphetamine &amp; other stimulants (n=2198; 8.7%)</w:t>
            </w:r>
          </w:p>
        </w:tc>
        <w:tc>
          <w:tcPr>
            <w:tcW w:w="678" w:type="pct"/>
            <w:hideMark/>
          </w:tcPr>
          <w:p w14:paraId="38A4743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(0.5%)</w:t>
            </w:r>
          </w:p>
        </w:tc>
        <w:tc>
          <w:tcPr>
            <w:tcW w:w="678" w:type="pct"/>
            <w:hideMark/>
          </w:tcPr>
          <w:p w14:paraId="38A4743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(0.7%)</w:t>
            </w:r>
          </w:p>
        </w:tc>
        <w:tc>
          <w:tcPr>
            <w:tcW w:w="678" w:type="pct"/>
            <w:hideMark/>
          </w:tcPr>
          <w:p w14:paraId="38A4743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 (0.4%)</w:t>
            </w:r>
          </w:p>
        </w:tc>
      </w:tr>
      <w:tr w:rsidR="00CA7A60" w:rsidRPr="00FB60E5" w14:paraId="38A47439"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35" w14:textId="77777777" w:rsidR="00CA7A60" w:rsidRPr="00C36065" w:rsidRDefault="00CA7A60" w:rsidP="00FB60E5">
            <w:pPr>
              <w:ind w:left="0"/>
              <w:rPr>
                <w:b w:val="0"/>
              </w:rPr>
            </w:pPr>
            <w:r w:rsidRPr="00C36065">
              <w:rPr>
                <w:b w:val="0"/>
              </w:rPr>
              <w:t>Benzodiazepines &amp; other tranquillisers (n=522; 2.1%)</w:t>
            </w:r>
          </w:p>
        </w:tc>
        <w:tc>
          <w:tcPr>
            <w:tcW w:w="678" w:type="pct"/>
            <w:hideMark/>
          </w:tcPr>
          <w:p w14:paraId="38A4743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43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(1.7%)</w:t>
            </w:r>
          </w:p>
        </w:tc>
        <w:tc>
          <w:tcPr>
            <w:tcW w:w="678" w:type="pct"/>
            <w:hideMark/>
          </w:tcPr>
          <w:p w14:paraId="38A4743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r w:rsidR="00CA7A60" w:rsidRPr="00FB60E5" w14:paraId="38A4743E" w14:textId="77777777" w:rsidTr="00042CE9">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3A" w14:textId="77777777" w:rsidR="00CA7A60" w:rsidRPr="00C36065" w:rsidRDefault="00CA7A60" w:rsidP="00FB60E5">
            <w:pPr>
              <w:ind w:left="0"/>
              <w:rPr>
                <w:b w:val="0"/>
              </w:rPr>
            </w:pPr>
            <w:r w:rsidRPr="00C36065">
              <w:rPr>
                <w:b w:val="0"/>
              </w:rPr>
              <w:t>Other (n=730; 2.9%)</w:t>
            </w:r>
          </w:p>
        </w:tc>
        <w:tc>
          <w:tcPr>
            <w:tcW w:w="678" w:type="pct"/>
            <w:hideMark/>
          </w:tcPr>
          <w:p w14:paraId="38A4743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 (1.9%)</w:t>
            </w:r>
          </w:p>
        </w:tc>
        <w:tc>
          <w:tcPr>
            <w:tcW w:w="678" w:type="pct"/>
            <w:hideMark/>
          </w:tcPr>
          <w:p w14:paraId="38A4743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 (2.1%)</w:t>
            </w:r>
          </w:p>
        </w:tc>
        <w:tc>
          <w:tcPr>
            <w:tcW w:w="678" w:type="pct"/>
            <w:hideMark/>
          </w:tcPr>
          <w:p w14:paraId="38A4743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(1.4%)</w:t>
            </w:r>
          </w:p>
        </w:tc>
      </w:tr>
      <w:tr w:rsidR="00CA7A60" w:rsidRPr="00FB60E5" w14:paraId="38A47443" w14:textId="77777777" w:rsidTr="00042C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3F" w14:textId="77777777" w:rsidR="00CA7A60" w:rsidRPr="00C36065" w:rsidRDefault="00CA7A60" w:rsidP="00FB60E5">
            <w:pPr>
              <w:ind w:left="0"/>
              <w:rPr>
                <w:b w:val="0"/>
              </w:rPr>
            </w:pPr>
            <w:r w:rsidRPr="00C36065">
              <w:rPr>
                <w:b w:val="0"/>
              </w:rPr>
              <w:t>Unknown (n=341; 1.4%)</w:t>
            </w:r>
          </w:p>
        </w:tc>
        <w:tc>
          <w:tcPr>
            <w:tcW w:w="678" w:type="pct"/>
            <w:hideMark/>
          </w:tcPr>
          <w:p w14:paraId="38A4744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44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c>
          <w:tcPr>
            <w:tcW w:w="678" w:type="pct"/>
            <w:hideMark/>
          </w:tcPr>
          <w:p w14:paraId="38A4744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N&lt;5</w:t>
            </w:r>
          </w:p>
        </w:tc>
      </w:tr>
    </w:tbl>
    <w:p w14:paraId="1F038BFC" w14:textId="1F06348C" w:rsidR="002C27A8" w:rsidRDefault="00CA7A60" w:rsidP="00FB60E5">
      <w:pPr>
        <w:ind w:left="0"/>
      </w:pPr>
      <w:r w:rsidRPr="00FB60E5">
        <w:t>Following AOD treatment, there was a decrease in the proportion of clients admitted to hospital with an injury (</w:t>
      </w:r>
      <w:r w:rsidR="001B3CBD">
        <w:fldChar w:fldCharType="begin"/>
      </w:r>
      <w:r w:rsidR="001B3CBD">
        <w:instrText xml:space="preserve"> REF _Ref387144109 \h </w:instrText>
      </w:r>
      <w:r w:rsidR="001B3CBD">
        <w:fldChar w:fldCharType="separate"/>
      </w:r>
      <w:r w:rsidR="001B3CBD" w:rsidRPr="00FB60E5">
        <w:t xml:space="preserve">Table </w:t>
      </w:r>
      <w:r w:rsidR="001B3CBD">
        <w:rPr>
          <w:noProof/>
        </w:rPr>
        <w:t>4</w:t>
      </w:r>
      <w:r w:rsidR="001B3CBD">
        <w:t>.</w:t>
      </w:r>
      <w:r w:rsidR="001B3CBD">
        <w:rPr>
          <w:noProof/>
        </w:rPr>
        <w:t>24</w:t>
      </w:r>
      <w:r w:rsidR="001B3CBD">
        <w:fldChar w:fldCharType="end"/>
      </w:r>
      <w:r w:rsidRPr="00FB60E5">
        <w:t xml:space="preserve">). There were reductions in proportions of AOD clients diagnosed in hospital with injuries between the year preceding and the year following AOD </w:t>
      </w:r>
      <w:r w:rsidRPr="00FB60E5">
        <w:lastRenderedPageBreak/>
        <w:t>treatment engagement across all treatment types (residential withdrawal, other withdrawal and Aboriginal services) and primary drugs of concern (except amphetamine and other stimulants and benzodiazepines and other tranquilisers)</w:t>
      </w:r>
      <w:r w:rsidR="002C27A8">
        <w:t>.</w:t>
      </w:r>
    </w:p>
    <w:p w14:paraId="38A47447" w14:textId="04FE2108" w:rsidR="00CA7A60" w:rsidRPr="00FB60E5" w:rsidRDefault="00CA7A60" w:rsidP="00552239">
      <w:pPr>
        <w:pStyle w:val="Caption"/>
      </w:pPr>
      <w:bookmarkStart w:id="295" w:name="_Ref387144109"/>
      <w:bookmarkStart w:id="296" w:name="_Toc387244648"/>
      <w:bookmarkStart w:id="297" w:name="_Toc531625821"/>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24</w:t>
      </w:r>
      <w:r w:rsidR="00552239">
        <w:fldChar w:fldCharType="end"/>
      </w:r>
      <w:bookmarkEnd w:id="295"/>
      <w:r w:rsidR="002C27A8">
        <w:t xml:space="preserve"> </w:t>
      </w:r>
      <w:r w:rsidRPr="00FB60E5">
        <w:t xml:space="preserve">Admissions for injuries by AOD </w:t>
      </w:r>
      <w:r w:rsidR="007431B4" w:rsidRPr="00FB60E5">
        <w:t>treatment</w:t>
      </w:r>
      <w:r w:rsidRPr="00FB60E5">
        <w:t xml:space="preserve"> type, primary drug of concern and treatment termination status, 2009/10, 2010/11 and 2011/12</w:t>
      </w:r>
      <w:bookmarkEnd w:id="296"/>
      <w:bookmarkEnd w:id="297"/>
    </w:p>
    <w:tbl>
      <w:tblPr>
        <w:tblStyle w:val="LightList-Accent1"/>
        <w:tblW w:w="5000" w:type="pct"/>
        <w:tblLook w:val="04A0" w:firstRow="1" w:lastRow="0" w:firstColumn="1" w:lastColumn="0" w:noHBand="0" w:noVBand="1"/>
        <w:tblDescription w:val="Table 4.24 is a list of  Admissions for injuries by AOD treatment type, primary drug of concern and treatment termination status, 2009/10, 2010/11 and 2011/12"/>
      </w:tblPr>
      <w:tblGrid>
        <w:gridCol w:w="5483"/>
        <w:gridCol w:w="1253"/>
        <w:gridCol w:w="1253"/>
        <w:gridCol w:w="1253"/>
      </w:tblGrid>
      <w:tr w:rsidR="00CA7A60" w:rsidRPr="00FB60E5" w14:paraId="38A4744A" w14:textId="77777777" w:rsidTr="005664E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66" w:type="pct"/>
            <w:vMerge w:val="restart"/>
            <w:noWrap/>
            <w:hideMark/>
          </w:tcPr>
          <w:p w14:paraId="38A47448" w14:textId="77777777" w:rsidR="00CA7A60" w:rsidRPr="00FB60E5" w:rsidRDefault="00CA7A60" w:rsidP="00FB60E5">
            <w:pPr>
              <w:ind w:left="0"/>
            </w:pPr>
            <w:r w:rsidRPr="00FB60E5">
              <w:t> </w:t>
            </w:r>
          </w:p>
        </w:tc>
        <w:tc>
          <w:tcPr>
            <w:tcW w:w="2034" w:type="pct"/>
            <w:gridSpan w:val="3"/>
            <w:noWrap/>
            <w:hideMark/>
          </w:tcPr>
          <w:p w14:paraId="38A47449"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Injuries</w:t>
            </w:r>
          </w:p>
        </w:tc>
      </w:tr>
      <w:tr w:rsidR="00CA7A60" w:rsidRPr="00FB60E5" w14:paraId="38A4744F" w14:textId="77777777" w:rsidTr="005664E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66" w:type="pct"/>
            <w:vMerge/>
            <w:hideMark/>
          </w:tcPr>
          <w:p w14:paraId="38A4744B" w14:textId="77777777" w:rsidR="00CA7A60" w:rsidRPr="00FB60E5" w:rsidRDefault="00CA7A60" w:rsidP="00FB60E5">
            <w:pPr>
              <w:ind w:left="0"/>
            </w:pPr>
          </w:p>
        </w:tc>
        <w:tc>
          <w:tcPr>
            <w:tcW w:w="678" w:type="pct"/>
            <w:hideMark/>
          </w:tcPr>
          <w:p w14:paraId="38A4744C"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678" w:type="pct"/>
            <w:hideMark/>
          </w:tcPr>
          <w:p w14:paraId="38A4744D"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678" w:type="pct"/>
            <w:hideMark/>
          </w:tcPr>
          <w:p w14:paraId="38A4744E"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454"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50" w14:textId="77777777" w:rsidR="00CA7A60" w:rsidRPr="005664EF" w:rsidRDefault="00CA7A60" w:rsidP="00FB60E5">
            <w:pPr>
              <w:ind w:left="0"/>
              <w:rPr>
                <w:b w:val="0"/>
              </w:rPr>
            </w:pPr>
            <w:r w:rsidRPr="005664EF">
              <w:rPr>
                <w:b w:val="0"/>
              </w:rPr>
              <w:t>Total (n=25229)</w:t>
            </w:r>
          </w:p>
        </w:tc>
        <w:tc>
          <w:tcPr>
            <w:tcW w:w="678" w:type="pct"/>
            <w:hideMark/>
          </w:tcPr>
          <w:p w14:paraId="38A4745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1297 (5.1%)</w:t>
            </w:r>
          </w:p>
        </w:tc>
        <w:tc>
          <w:tcPr>
            <w:tcW w:w="678" w:type="pct"/>
            <w:hideMark/>
          </w:tcPr>
          <w:p w14:paraId="38A4745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1300 (5.2%)</w:t>
            </w:r>
          </w:p>
        </w:tc>
        <w:tc>
          <w:tcPr>
            <w:tcW w:w="678" w:type="pct"/>
            <w:hideMark/>
          </w:tcPr>
          <w:p w14:paraId="38A4745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1238 (4.9%)</w:t>
            </w:r>
          </w:p>
        </w:tc>
      </w:tr>
      <w:tr w:rsidR="00CA7A60" w:rsidRPr="00FB60E5" w14:paraId="38A47459"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55" w14:textId="77777777" w:rsidR="00CA7A60" w:rsidRPr="00FB60E5" w:rsidRDefault="007431B4" w:rsidP="00FB60E5">
            <w:pPr>
              <w:ind w:left="0"/>
            </w:pPr>
            <w:r w:rsidRPr="00FB60E5">
              <w:t>Treatment</w:t>
            </w:r>
            <w:r w:rsidR="00CA7A60" w:rsidRPr="00FB60E5">
              <w:t xml:space="preserve"> type</w:t>
            </w:r>
          </w:p>
        </w:tc>
        <w:tc>
          <w:tcPr>
            <w:tcW w:w="678" w:type="pct"/>
            <w:noWrap/>
            <w:hideMark/>
          </w:tcPr>
          <w:p w14:paraId="38A4745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c>
          <w:tcPr>
            <w:tcW w:w="678" w:type="pct"/>
            <w:noWrap/>
            <w:hideMark/>
          </w:tcPr>
          <w:p w14:paraId="38A4745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c>
          <w:tcPr>
            <w:tcW w:w="678" w:type="pct"/>
            <w:noWrap/>
            <w:hideMark/>
          </w:tcPr>
          <w:p w14:paraId="38A4745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45E"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5A" w14:textId="77777777" w:rsidR="00CA7A60" w:rsidRPr="005664EF" w:rsidRDefault="00CA7A60" w:rsidP="00FB60E5">
            <w:pPr>
              <w:ind w:left="0"/>
              <w:rPr>
                <w:b w:val="0"/>
              </w:rPr>
            </w:pPr>
            <w:r w:rsidRPr="005664EF">
              <w:rPr>
                <w:b w:val="0"/>
              </w:rPr>
              <w:t>Counselling (n=11919; 47.2%)</w:t>
            </w:r>
          </w:p>
        </w:tc>
        <w:tc>
          <w:tcPr>
            <w:tcW w:w="678" w:type="pct"/>
            <w:hideMark/>
          </w:tcPr>
          <w:p w14:paraId="38A4745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560 (4.7%)</w:t>
            </w:r>
          </w:p>
        </w:tc>
        <w:tc>
          <w:tcPr>
            <w:tcW w:w="678" w:type="pct"/>
            <w:hideMark/>
          </w:tcPr>
          <w:p w14:paraId="38A4745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595 (5.0%)</w:t>
            </w:r>
          </w:p>
        </w:tc>
        <w:tc>
          <w:tcPr>
            <w:tcW w:w="678" w:type="pct"/>
            <w:hideMark/>
          </w:tcPr>
          <w:p w14:paraId="38A4745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533 (4.5%)</w:t>
            </w:r>
          </w:p>
        </w:tc>
      </w:tr>
      <w:tr w:rsidR="00CA7A60" w:rsidRPr="00FB60E5" w14:paraId="38A47463"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5F" w14:textId="77777777" w:rsidR="00CA7A60" w:rsidRPr="005664EF" w:rsidRDefault="00CA7A60" w:rsidP="00FB60E5">
            <w:pPr>
              <w:ind w:left="0"/>
              <w:rPr>
                <w:b w:val="0"/>
              </w:rPr>
            </w:pPr>
            <w:r w:rsidRPr="005664EF">
              <w:rPr>
                <w:b w:val="0"/>
              </w:rPr>
              <w:t>Residential withdrawal (n=1962; 7.8%)</w:t>
            </w:r>
          </w:p>
        </w:tc>
        <w:tc>
          <w:tcPr>
            <w:tcW w:w="678" w:type="pct"/>
            <w:hideMark/>
          </w:tcPr>
          <w:p w14:paraId="38A4746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135 (6.9%)</w:t>
            </w:r>
          </w:p>
        </w:tc>
        <w:tc>
          <w:tcPr>
            <w:tcW w:w="678" w:type="pct"/>
            <w:hideMark/>
          </w:tcPr>
          <w:p w14:paraId="38A4746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143 (7.3%)</w:t>
            </w:r>
          </w:p>
        </w:tc>
        <w:tc>
          <w:tcPr>
            <w:tcW w:w="678" w:type="pct"/>
            <w:hideMark/>
          </w:tcPr>
          <w:p w14:paraId="38A4746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152 (7.7%)</w:t>
            </w:r>
          </w:p>
        </w:tc>
      </w:tr>
      <w:tr w:rsidR="00CA7A60" w:rsidRPr="00FB60E5" w14:paraId="38A47468"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64" w14:textId="77777777" w:rsidR="00CA7A60" w:rsidRPr="005664EF" w:rsidRDefault="00CA7A60" w:rsidP="00FB60E5">
            <w:pPr>
              <w:ind w:left="0"/>
              <w:rPr>
                <w:b w:val="0"/>
              </w:rPr>
            </w:pPr>
            <w:r w:rsidRPr="005664EF">
              <w:rPr>
                <w:b w:val="0"/>
              </w:rPr>
              <w:t>Other withdrawal (n=2582; 10.2%)</w:t>
            </w:r>
          </w:p>
        </w:tc>
        <w:tc>
          <w:tcPr>
            <w:tcW w:w="678" w:type="pct"/>
            <w:hideMark/>
          </w:tcPr>
          <w:p w14:paraId="38A4746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124 (4.8%)</w:t>
            </w:r>
          </w:p>
        </w:tc>
        <w:tc>
          <w:tcPr>
            <w:tcW w:w="678" w:type="pct"/>
            <w:hideMark/>
          </w:tcPr>
          <w:p w14:paraId="38A4746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133 (5.2%)</w:t>
            </w:r>
          </w:p>
        </w:tc>
        <w:tc>
          <w:tcPr>
            <w:tcW w:w="678" w:type="pct"/>
            <w:hideMark/>
          </w:tcPr>
          <w:p w14:paraId="38A4746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131 (5.1%)</w:t>
            </w:r>
          </w:p>
        </w:tc>
      </w:tr>
      <w:tr w:rsidR="00CA7A60" w:rsidRPr="00FB60E5" w14:paraId="38A4746D"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69" w14:textId="77777777" w:rsidR="00CA7A60" w:rsidRPr="005664EF" w:rsidRDefault="00CA7A60" w:rsidP="00FB60E5">
            <w:pPr>
              <w:ind w:left="0"/>
              <w:rPr>
                <w:b w:val="0"/>
              </w:rPr>
            </w:pPr>
            <w:r w:rsidRPr="005664EF">
              <w:rPr>
                <w:b w:val="0"/>
              </w:rPr>
              <w:t>Outreach (n=2368; 9.4%)</w:t>
            </w:r>
          </w:p>
        </w:tc>
        <w:tc>
          <w:tcPr>
            <w:tcW w:w="678" w:type="pct"/>
            <w:hideMark/>
          </w:tcPr>
          <w:p w14:paraId="38A4746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141 (6.0%)</w:t>
            </w:r>
          </w:p>
        </w:tc>
        <w:tc>
          <w:tcPr>
            <w:tcW w:w="678" w:type="pct"/>
            <w:hideMark/>
          </w:tcPr>
          <w:p w14:paraId="38A4746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124 (5.2%)</w:t>
            </w:r>
          </w:p>
        </w:tc>
        <w:tc>
          <w:tcPr>
            <w:tcW w:w="678" w:type="pct"/>
            <w:hideMark/>
          </w:tcPr>
          <w:p w14:paraId="38A4746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111 (4.7%)</w:t>
            </w:r>
          </w:p>
        </w:tc>
      </w:tr>
      <w:tr w:rsidR="00CA7A60" w:rsidRPr="00FB60E5" w14:paraId="38A47472"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6E" w14:textId="77777777" w:rsidR="00CA7A60" w:rsidRPr="005664EF" w:rsidRDefault="00CA7A60" w:rsidP="00FB60E5">
            <w:pPr>
              <w:ind w:left="0"/>
              <w:rPr>
                <w:b w:val="0"/>
              </w:rPr>
            </w:pPr>
            <w:r w:rsidRPr="005664EF">
              <w:rPr>
                <w:b w:val="0"/>
              </w:rPr>
              <w:t>Brokerage (n=3904; 15.5%)</w:t>
            </w:r>
          </w:p>
        </w:tc>
        <w:tc>
          <w:tcPr>
            <w:tcW w:w="678" w:type="pct"/>
            <w:hideMark/>
          </w:tcPr>
          <w:p w14:paraId="38A4746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208 (5.3%)</w:t>
            </w:r>
          </w:p>
        </w:tc>
        <w:tc>
          <w:tcPr>
            <w:tcW w:w="678" w:type="pct"/>
            <w:hideMark/>
          </w:tcPr>
          <w:p w14:paraId="38A4747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180 (4.6%)</w:t>
            </w:r>
          </w:p>
        </w:tc>
        <w:tc>
          <w:tcPr>
            <w:tcW w:w="678" w:type="pct"/>
            <w:hideMark/>
          </w:tcPr>
          <w:p w14:paraId="38A4747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207 (5.3%)</w:t>
            </w:r>
          </w:p>
        </w:tc>
      </w:tr>
      <w:tr w:rsidR="00CA7A60" w:rsidRPr="00FB60E5" w14:paraId="38A47477"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73" w14:textId="77777777" w:rsidR="00CA7A60" w:rsidRPr="005664EF" w:rsidRDefault="00CA7A60" w:rsidP="00FB60E5">
            <w:pPr>
              <w:ind w:left="0"/>
              <w:rPr>
                <w:b w:val="0"/>
              </w:rPr>
            </w:pPr>
            <w:r w:rsidRPr="005664EF">
              <w:rPr>
                <w:b w:val="0"/>
              </w:rPr>
              <w:t>Aboriginal services (n=733; 2.9%)</w:t>
            </w:r>
          </w:p>
        </w:tc>
        <w:tc>
          <w:tcPr>
            <w:tcW w:w="678" w:type="pct"/>
            <w:hideMark/>
          </w:tcPr>
          <w:p w14:paraId="38A4747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 (4.1%)</w:t>
            </w:r>
          </w:p>
        </w:tc>
        <w:tc>
          <w:tcPr>
            <w:tcW w:w="678" w:type="pct"/>
            <w:hideMark/>
          </w:tcPr>
          <w:p w14:paraId="38A4747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36 (4.9%)</w:t>
            </w:r>
          </w:p>
        </w:tc>
        <w:tc>
          <w:tcPr>
            <w:tcW w:w="678" w:type="pct"/>
            <w:hideMark/>
          </w:tcPr>
          <w:p w14:paraId="38A4747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37 (5.0%)</w:t>
            </w:r>
          </w:p>
        </w:tc>
      </w:tr>
      <w:tr w:rsidR="00CA7A60" w:rsidRPr="00FB60E5" w14:paraId="38A4747C"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78" w14:textId="77777777" w:rsidR="00CA7A60" w:rsidRPr="005664EF" w:rsidRDefault="00CA7A60" w:rsidP="00FB60E5">
            <w:pPr>
              <w:ind w:left="0"/>
              <w:rPr>
                <w:b w:val="0"/>
              </w:rPr>
            </w:pPr>
            <w:r w:rsidRPr="005664EF">
              <w:rPr>
                <w:b w:val="0"/>
              </w:rPr>
              <w:t>Specialist pharmacotherapy (n=401; 1.6%)</w:t>
            </w:r>
          </w:p>
        </w:tc>
        <w:tc>
          <w:tcPr>
            <w:tcW w:w="678" w:type="pct"/>
            <w:hideMark/>
          </w:tcPr>
          <w:p w14:paraId="38A4747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 (7.2%)</w:t>
            </w:r>
          </w:p>
        </w:tc>
        <w:tc>
          <w:tcPr>
            <w:tcW w:w="678" w:type="pct"/>
            <w:hideMark/>
          </w:tcPr>
          <w:p w14:paraId="38A4747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24 (6.0%)</w:t>
            </w:r>
          </w:p>
        </w:tc>
        <w:tc>
          <w:tcPr>
            <w:tcW w:w="678" w:type="pct"/>
            <w:hideMark/>
          </w:tcPr>
          <w:p w14:paraId="38A4747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 (6.2%)</w:t>
            </w:r>
          </w:p>
        </w:tc>
      </w:tr>
      <w:tr w:rsidR="00CA7A60" w:rsidRPr="00FB60E5" w14:paraId="38A47481"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7D" w14:textId="77777777" w:rsidR="00CA7A60" w:rsidRPr="005664EF" w:rsidRDefault="00CA7A60" w:rsidP="00FB60E5">
            <w:pPr>
              <w:ind w:left="0"/>
              <w:rPr>
                <w:b w:val="0"/>
              </w:rPr>
            </w:pPr>
            <w:r w:rsidRPr="005664EF">
              <w:rPr>
                <w:b w:val="0"/>
              </w:rPr>
              <w:t>Residential rehabilitation (n=176; 0.7%)</w:t>
            </w:r>
          </w:p>
        </w:tc>
        <w:tc>
          <w:tcPr>
            <w:tcW w:w="678" w:type="pct"/>
            <w:hideMark/>
          </w:tcPr>
          <w:p w14:paraId="38A4747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 (6.8%)</w:t>
            </w:r>
          </w:p>
        </w:tc>
        <w:tc>
          <w:tcPr>
            <w:tcW w:w="678" w:type="pct"/>
            <w:hideMark/>
          </w:tcPr>
          <w:p w14:paraId="38A4747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 (5.7%)</w:t>
            </w:r>
          </w:p>
        </w:tc>
        <w:tc>
          <w:tcPr>
            <w:tcW w:w="678" w:type="pct"/>
            <w:hideMark/>
          </w:tcPr>
          <w:p w14:paraId="38A4748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5 (2.8%)</w:t>
            </w:r>
          </w:p>
        </w:tc>
      </w:tr>
      <w:tr w:rsidR="00CA7A60" w:rsidRPr="00FB60E5" w14:paraId="38A47486"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82" w14:textId="77777777" w:rsidR="00CA7A60" w:rsidRPr="005664EF" w:rsidRDefault="00CA7A60" w:rsidP="00FB60E5">
            <w:pPr>
              <w:ind w:left="0"/>
              <w:rPr>
                <w:b w:val="0"/>
              </w:rPr>
            </w:pPr>
            <w:r w:rsidRPr="005664EF">
              <w:rPr>
                <w:b w:val="0"/>
              </w:rPr>
              <w:t>Supported accommodation (n=269; 1.1%)</w:t>
            </w:r>
          </w:p>
        </w:tc>
        <w:tc>
          <w:tcPr>
            <w:tcW w:w="678" w:type="pct"/>
            <w:hideMark/>
          </w:tcPr>
          <w:p w14:paraId="38A4748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(3.3%)</w:t>
            </w:r>
          </w:p>
        </w:tc>
        <w:tc>
          <w:tcPr>
            <w:tcW w:w="678" w:type="pct"/>
            <w:hideMark/>
          </w:tcPr>
          <w:p w14:paraId="38A4748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 (3.7%)</w:t>
            </w:r>
          </w:p>
        </w:tc>
        <w:tc>
          <w:tcPr>
            <w:tcW w:w="678" w:type="pct"/>
            <w:hideMark/>
          </w:tcPr>
          <w:p w14:paraId="38A4748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(4.5%)</w:t>
            </w:r>
          </w:p>
        </w:tc>
      </w:tr>
      <w:tr w:rsidR="00CA7A60" w:rsidRPr="00FB60E5" w14:paraId="38A4748B"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87" w14:textId="77777777" w:rsidR="00CA7A60" w:rsidRPr="005664EF" w:rsidRDefault="00CA7A60" w:rsidP="00FB60E5">
            <w:pPr>
              <w:ind w:left="0"/>
              <w:rPr>
                <w:b w:val="0"/>
              </w:rPr>
            </w:pPr>
            <w:r w:rsidRPr="005664EF">
              <w:rPr>
                <w:b w:val="0"/>
              </w:rPr>
              <w:t>Post withdrawal linkage (n=256; 1.0%)</w:t>
            </w:r>
          </w:p>
        </w:tc>
        <w:tc>
          <w:tcPr>
            <w:tcW w:w="678" w:type="pct"/>
            <w:hideMark/>
          </w:tcPr>
          <w:p w14:paraId="38A4748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16 (6.3%)</w:t>
            </w:r>
          </w:p>
        </w:tc>
        <w:tc>
          <w:tcPr>
            <w:tcW w:w="678" w:type="pct"/>
            <w:hideMark/>
          </w:tcPr>
          <w:p w14:paraId="38A4748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14 (5.5%)</w:t>
            </w:r>
          </w:p>
        </w:tc>
        <w:tc>
          <w:tcPr>
            <w:tcW w:w="678" w:type="pct"/>
            <w:hideMark/>
          </w:tcPr>
          <w:p w14:paraId="38A4748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 (3.5%)</w:t>
            </w:r>
          </w:p>
        </w:tc>
      </w:tr>
      <w:tr w:rsidR="00CA7A60" w:rsidRPr="00FB60E5" w14:paraId="38A47490"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8C" w14:textId="77777777" w:rsidR="00CA7A60" w:rsidRPr="005664EF" w:rsidRDefault="00CA7A60" w:rsidP="00FB60E5">
            <w:pPr>
              <w:ind w:left="0"/>
              <w:rPr>
                <w:b w:val="0"/>
              </w:rPr>
            </w:pPr>
            <w:r w:rsidRPr="005664EF">
              <w:rPr>
                <w:b w:val="0"/>
              </w:rPr>
              <w:t>Other/unknown (n=659; 2.6%)</w:t>
            </w:r>
          </w:p>
        </w:tc>
        <w:tc>
          <w:tcPr>
            <w:tcW w:w="678" w:type="pct"/>
            <w:hideMark/>
          </w:tcPr>
          <w:p w14:paraId="38A4748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33 (5.0%)</w:t>
            </w:r>
          </w:p>
        </w:tc>
        <w:tc>
          <w:tcPr>
            <w:tcW w:w="678" w:type="pct"/>
            <w:hideMark/>
          </w:tcPr>
          <w:p w14:paraId="38A4748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31 (4.7%)</w:t>
            </w:r>
          </w:p>
        </w:tc>
        <w:tc>
          <w:tcPr>
            <w:tcW w:w="678" w:type="pct"/>
            <w:hideMark/>
          </w:tcPr>
          <w:p w14:paraId="38A4748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16 (2.4%)</w:t>
            </w:r>
          </w:p>
        </w:tc>
      </w:tr>
      <w:tr w:rsidR="005664EF" w:rsidRPr="00FB60E5" w14:paraId="38A47493"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492" w14:textId="33E8CE57" w:rsidR="005664EF" w:rsidRPr="005664EF" w:rsidRDefault="005664EF" w:rsidP="00FB60E5">
            <w:pPr>
              <w:ind w:left="0"/>
              <w:rPr>
                <w:b w:val="0"/>
                <w:bCs w:val="0"/>
              </w:rPr>
            </w:pPr>
            <w:r w:rsidRPr="00FB60E5">
              <w:t>Treatment termination status</w:t>
            </w:r>
          </w:p>
        </w:tc>
      </w:tr>
      <w:tr w:rsidR="00CA7A60" w:rsidRPr="00FB60E5" w14:paraId="38A47498"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94" w14:textId="77777777" w:rsidR="00CA7A60" w:rsidRPr="005664EF" w:rsidRDefault="00CA7A60" w:rsidP="00FB60E5">
            <w:pPr>
              <w:ind w:left="0"/>
              <w:rPr>
                <w:b w:val="0"/>
              </w:rPr>
            </w:pPr>
            <w:r w:rsidRPr="005664EF">
              <w:rPr>
                <w:b w:val="0"/>
              </w:rPr>
              <w:t>Completed treatment (n=18690; 74.1%)</w:t>
            </w:r>
          </w:p>
        </w:tc>
        <w:tc>
          <w:tcPr>
            <w:tcW w:w="678" w:type="pct"/>
            <w:hideMark/>
          </w:tcPr>
          <w:p w14:paraId="38A4749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928 (5.0%)</w:t>
            </w:r>
          </w:p>
        </w:tc>
        <w:tc>
          <w:tcPr>
            <w:tcW w:w="678" w:type="pct"/>
            <w:hideMark/>
          </w:tcPr>
          <w:p w14:paraId="38A4749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938 (5.0%)</w:t>
            </w:r>
          </w:p>
        </w:tc>
        <w:tc>
          <w:tcPr>
            <w:tcW w:w="678" w:type="pct"/>
            <w:hideMark/>
          </w:tcPr>
          <w:p w14:paraId="38A4749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904 (4.8%)</w:t>
            </w:r>
          </w:p>
        </w:tc>
      </w:tr>
      <w:tr w:rsidR="00CA7A60" w:rsidRPr="00FB60E5" w14:paraId="38A4749D"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99" w14:textId="77777777" w:rsidR="00CA7A60" w:rsidRPr="005664EF" w:rsidRDefault="00CA7A60" w:rsidP="00FB60E5">
            <w:pPr>
              <w:ind w:left="0"/>
              <w:rPr>
                <w:b w:val="0"/>
              </w:rPr>
            </w:pPr>
            <w:r w:rsidRPr="005664EF">
              <w:rPr>
                <w:b w:val="0"/>
              </w:rPr>
              <w:t>Not completed (n=6262; 24.8%)</w:t>
            </w:r>
          </w:p>
        </w:tc>
        <w:tc>
          <w:tcPr>
            <w:tcW w:w="678" w:type="pct"/>
            <w:hideMark/>
          </w:tcPr>
          <w:p w14:paraId="38A4749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355 (5.7%)</w:t>
            </w:r>
          </w:p>
        </w:tc>
        <w:tc>
          <w:tcPr>
            <w:tcW w:w="678" w:type="pct"/>
            <w:hideMark/>
          </w:tcPr>
          <w:p w14:paraId="38A4749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354 (5.7%)</w:t>
            </w:r>
          </w:p>
        </w:tc>
        <w:tc>
          <w:tcPr>
            <w:tcW w:w="678" w:type="pct"/>
            <w:hideMark/>
          </w:tcPr>
          <w:p w14:paraId="38A4749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326 (5.2%)</w:t>
            </w:r>
          </w:p>
        </w:tc>
      </w:tr>
      <w:tr w:rsidR="00CA7A60" w:rsidRPr="00FB60E5" w14:paraId="38A474A2"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9E" w14:textId="77777777" w:rsidR="00CA7A60" w:rsidRPr="005664EF" w:rsidRDefault="00CA7A60" w:rsidP="00FB60E5">
            <w:pPr>
              <w:ind w:left="0"/>
              <w:rPr>
                <w:b w:val="0"/>
              </w:rPr>
            </w:pPr>
            <w:r w:rsidRPr="005664EF">
              <w:rPr>
                <w:b w:val="0"/>
              </w:rPr>
              <w:t>Unknown (n=277; 1.1%)</w:t>
            </w:r>
          </w:p>
        </w:tc>
        <w:tc>
          <w:tcPr>
            <w:tcW w:w="678" w:type="pct"/>
            <w:hideMark/>
          </w:tcPr>
          <w:p w14:paraId="38A4749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14 (5.1%)</w:t>
            </w:r>
          </w:p>
        </w:tc>
        <w:tc>
          <w:tcPr>
            <w:tcW w:w="678" w:type="pct"/>
            <w:hideMark/>
          </w:tcPr>
          <w:p w14:paraId="38A474A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(2.9%)</w:t>
            </w:r>
          </w:p>
        </w:tc>
        <w:tc>
          <w:tcPr>
            <w:tcW w:w="678" w:type="pct"/>
            <w:hideMark/>
          </w:tcPr>
          <w:p w14:paraId="38A474A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8 (2.9%)</w:t>
            </w:r>
          </w:p>
        </w:tc>
      </w:tr>
      <w:tr w:rsidR="00CA7A60" w:rsidRPr="00FB60E5" w14:paraId="38A474A7"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A3" w14:textId="77777777" w:rsidR="00CA7A60" w:rsidRPr="005664EF" w:rsidRDefault="00CA7A60" w:rsidP="00FB60E5">
            <w:pPr>
              <w:ind w:left="0"/>
              <w:rPr>
                <w:b w:val="0"/>
              </w:rPr>
            </w:pPr>
            <w:r w:rsidRPr="005664EF">
              <w:rPr>
                <w:b w:val="0"/>
              </w:rPr>
              <w:t>Primary drug of concern</w:t>
            </w:r>
          </w:p>
        </w:tc>
        <w:tc>
          <w:tcPr>
            <w:tcW w:w="678" w:type="pct"/>
            <w:hideMark/>
          </w:tcPr>
          <w:p w14:paraId="38A474A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c>
          <w:tcPr>
            <w:tcW w:w="678" w:type="pct"/>
            <w:hideMark/>
          </w:tcPr>
          <w:p w14:paraId="38A474A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c>
          <w:tcPr>
            <w:tcW w:w="678" w:type="pct"/>
            <w:hideMark/>
          </w:tcPr>
          <w:p w14:paraId="38A474A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p>
        </w:tc>
      </w:tr>
      <w:tr w:rsidR="00CA7A60" w:rsidRPr="00FB60E5" w14:paraId="38A474AC"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A8" w14:textId="77777777" w:rsidR="00CA7A60" w:rsidRPr="005664EF" w:rsidRDefault="00CA7A60" w:rsidP="00FB60E5">
            <w:pPr>
              <w:ind w:left="0"/>
              <w:rPr>
                <w:b w:val="0"/>
              </w:rPr>
            </w:pPr>
            <w:r w:rsidRPr="005664EF">
              <w:rPr>
                <w:b w:val="0"/>
              </w:rPr>
              <w:t>Alcohol (n=11912; 47.2%)</w:t>
            </w:r>
          </w:p>
        </w:tc>
        <w:tc>
          <w:tcPr>
            <w:tcW w:w="678" w:type="pct"/>
            <w:hideMark/>
          </w:tcPr>
          <w:p w14:paraId="38A474A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667 (5.6%)</w:t>
            </w:r>
          </w:p>
        </w:tc>
        <w:tc>
          <w:tcPr>
            <w:tcW w:w="678" w:type="pct"/>
            <w:hideMark/>
          </w:tcPr>
          <w:p w14:paraId="38A474A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699 (5.9%)</w:t>
            </w:r>
          </w:p>
        </w:tc>
        <w:tc>
          <w:tcPr>
            <w:tcW w:w="678" w:type="pct"/>
            <w:hideMark/>
          </w:tcPr>
          <w:p w14:paraId="38A474A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631 (5.3%)</w:t>
            </w:r>
          </w:p>
        </w:tc>
      </w:tr>
      <w:tr w:rsidR="00CA7A60" w:rsidRPr="00FB60E5" w14:paraId="38A474B1"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AD" w14:textId="77777777" w:rsidR="00CA7A60" w:rsidRPr="005664EF" w:rsidRDefault="00CA7A60" w:rsidP="00FB60E5">
            <w:pPr>
              <w:ind w:left="0"/>
              <w:rPr>
                <w:b w:val="0"/>
              </w:rPr>
            </w:pPr>
            <w:r w:rsidRPr="005664EF">
              <w:rPr>
                <w:b w:val="0"/>
              </w:rPr>
              <w:t>Cannabis (n=5663; 22.4%)</w:t>
            </w:r>
          </w:p>
        </w:tc>
        <w:tc>
          <w:tcPr>
            <w:tcW w:w="678" w:type="pct"/>
            <w:hideMark/>
          </w:tcPr>
          <w:p w14:paraId="38A474AE"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271 (4.8%)</w:t>
            </w:r>
          </w:p>
        </w:tc>
        <w:tc>
          <w:tcPr>
            <w:tcW w:w="678" w:type="pct"/>
            <w:hideMark/>
          </w:tcPr>
          <w:p w14:paraId="38A474A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248 (4.4%)</w:t>
            </w:r>
          </w:p>
        </w:tc>
        <w:tc>
          <w:tcPr>
            <w:tcW w:w="678" w:type="pct"/>
            <w:hideMark/>
          </w:tcPr>
          <w:p w14:paraId="38A474B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241 (4.3%)</w:t>
            </w:r>
          </w:p>
        </w:tc>
      </w:tr>
      <w:tr w:rsidR="00CA7A60" w:rsidRPr="00FB60E5" w14:paraId="38A474B6"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B2" w14:textId="77777777" w:rsidR="00CA7A60" w:rsidRPr="005664EF" w:rsidRDefault="00CA7A60" w:rsidP="00FB60E5">
            <w:pPr>
              <w:ind w:left="0"/>
              <w:rPr>
                <w:b w:val="0"/>
              </w:rPr>
            </w:pPr>
            <w:r w:rsidRPr="005664EF">
              <w:rPr>
                <w:b w:val="0"/>
              </w:rPr>
              <w:t>Heroin &amp; other opioids (n=3863; 15.3%)</w:t>
            </w:r>
          </w:p>
        </w:tc>
        <w:tc>
          <w:tcPr>
            <w:tcW w:w="678" w:type="pct"/>
            <w:hideMark/>
          </w:tcPr>
          <w:p w14:paraId="38A474B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203 (5.3%)</w:t>
            </w:r>
          </w:p>
        </w:tc>
        <w:tc>
          <w:tcPr>
            <w:tcW w:w="678" w:type="pct"/>
            <w:hideMark/>
          </w:tcPr>
          <w:p w14:paraId="38A474B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198 (5.1%)</w:t>
            </w:r>
          </w:p>
        </w:tc>
        <w:tc>
          <w:tcPr>
            <w:tcW w:w="678" w:type="pct"/>
            <w:hideMark/>
          </w:tcPr>
          <w:p w14:paraId="38A474B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193 (5.0%)</w:t>
            </w:r>
          </w:p>
        </w:tc>
      </w:tr>
      <w:tr w:rsidR="00CA7A60" w:rsidRPr="00FB60E5" w14:paraId="38A474BB"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B7" w14:textId="77777777" w:rsidR="00CA7A60" w:rsidRPr="005664EF" w:rsidRDefault="00CA7A60" w:rsidP="00FB60E5">
            <w:pPr>
              <w:ind w:left="0"/>
              <w:rPr>
                <w:b w:val="0"/>
              </w:rPr>
            </w:pPr>
            <w:r w:rsidRPr="005664EF">
              <w:rPr>
                <w:b w:val="0"/>
              </w:rPr>
              <w:t>Amphetamine &amp; other stimulants (n=2198; 8.7%)</w:t>
            </w:r>
          </w:p>
        </w:tc>
        <w:tc>
          <w:tcPr>
            <w:tcW w:w="678" w:type="pct"/>
            <w:hideMark/>
          </w:tcPr>
          <w:p w14:paraId="38A474B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96 (4.4%)</w:t>
            </w:r>
          </w:p>
        </w:tc>
        <w:tc>
          <w:tcPr>
            <w:tcW w:w="678" w:type="pct"/>
            <w:hideMark/>
          </w:tcPr>
          <w:p w14:paraId="38A474B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81 (3.7%)</w:t>
            </w:r>
          </w:p>
        </w:tc>
        <w:tc>
          <w:tcPr>
            <w:tcW w:w="678" w:type="pct"/>
            <w:hideMark/>
          </w:tcPr>
          <w:p w14:paraId="38A474B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99 (4.5%)</w:t>
            </w:r>
          </w:p>
        </w:tc>
      </w:tr>
      <w:tr w:rsidR="00CA7A60" w:rsidRPr="00FB60E5" w14:paraId="38A474C0"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BC" w14:textId="77777777" w:rsidR="00CA7A60" w:rsidRPr="005664EF" w:rsidRDefault="00CA7A60" w:rsidP="00FB60E5">
            <w:pPr>
              <w:ind w:left="0"/>
              <w:rPr>
                <w:b w:val="0"/>
              </w:rPr>
            </w:pPr>
            <w:r w:rsidRPr="005664EF">
              <w:rPr>
                <w:b w:val="0"/>
              </w:rPr>
              <w:t>Benzodiazepines &amp; other tranquillisers (n=522; 2.1%)</w:t>
            </w:r>
          </w:p>
        </w:tc>
        <w:tc>
          <w:tcPr>
            <w:tcW w:w="678" w:type="pct"/>
            <w:hideMark/>
          </w:tcPr>
          <w:p w14:paraId="38A474B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21 (4.0%)</w:t>
            </w:r>
          </w:p>
        </w:tc>
        <w:tc>
          <w:tcPr>
            <w:tcW w:w="678" w:type="pct"/>
            <w:hideMark/>
          </w:tcPr>
          <w:p w14:paraId="38A474B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32 (6.1%)</w:t>
            </w:r>
          </w:p>
        </w:tc>
        <w:tc>
          <w:tcPr>
            <w:tcW w:w="678" w:type="pct"/>
            <w:hideMark/>
          </w:tcPr>
          <w:p w14:paraId="38A474B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25 (4.8%)</w:t>
            </w:r>
          </w:p>
        </w:tc>
      </w:tr>
      <w:tr w:rsidR="00CA7A60" w:rsidRPr="00FB60E5" w14:paraId="38A474C5" w14:textId="77777777" w:rsidTr="005664EF">
        <w:trPr>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C1" w14:textId="77777777" w:rsidR="00CA7A60" w:rsidRPr="005664EF" w:rsidRDefault="00CA7A60" w:rsidP="00FB60E5">
            <w:pPr>
              <w:ind w:left="0"/>
              <w:rPr>
                <w:b w:val="0"/>
              </w:rPr>
            </w:pPr>
            <w:r w:rsidRPr="005664EF">
              <w:rPr>
                <w:b w:val="0"/>
              </w:rPr>
              <w:t>Other (n=730; 2.9%)</w:t>
            </w:r>
          </w:p>
        </w:tc>
        <w:tc>
          <w:tcPr>
            <w:tcW w:w="678" w:type="pct"/>
            <w:hideMark/>
          </w:tcPr>
          <w:p w14:paraId="38A474C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27 (3.7%)</w:t>
            </w:r>
          </w:p>
        </w:tc>
        <w:tc>
          <w:tcPr>
            <w:tcW w:w="678" w:type="pct"/>
            <w:hideMark/>
          </w:tcPr>
          <w:p w14:paraId="38A474C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 (4.5%)</w:t>
            </w:r>
          </w:p>
        </w:tc>
        <w:tc>
          <w:tcPr>
            <w:tcW w:w="678" w:type="pct"/>
            <w:hideMark/>
          </w:tcPr>
          <w:p w14:paraId="38A474C4"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 (4.0%)</w:t>
            </w:r>
          </w:p>
        </w:tc>
      </w:tr>
      <w:tr w:rsidR="00CA7A60" w:rsidRPr="00FB60E5" w14:paraId="38A474CA" w14:textId="77777777" w:rsidTr="005664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66" w:type="pct"/>
            <w:noWrap/>
            <w:hideMark/>
          </w:tcPr>
          <w:p w14:paraId="38A474C6" w14:textId="77777777" w:rsidR="00CA7A60" w:rsidRPr="005664EF" w:rsidRDefault="00CA7A60" w:rsidP="00FB60E5">
            <w:pPr>
              <w:ind w:left="0"/>
              <w:rPr>
                <w:b w:val="0"/>
              </w:rPr>
            </w:pPr>
            <w:r w:rsidRPr="005664EF">
              <w:rPr>
                <w:b w:val="0"/>
              </w:rPr>
              <w:t>Unknown (n=341; 1.4%)</w:t>
            </w:r>
          </w:p>
        </w:tc>
        <w:tc>
          <w:tcPr>
            <w:tcW w:w="678" w:type="pct"/>
            <w:hideMark/>
          </w:tcPr>
          <w:p w14:paraId="38A474C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 (3.5%)</w:t>
            </w:r>
          </w:p>
        </w:tc>
        <w:tc>
          <w:tcPr>
            <w:tcW w:w="678" w:type="pct"/>
            <w:hideMark/>
          </w:tcPr>
          <w:p w14:paraId="38A474C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 (2.6%)</w:t>
            </w:r>
          </w:p>
        </w:tc>
        <w:tc>
          <w:tcPr>
            <w:tcW w:w="678" w:type="pct"/>
            <w:hideMark/>
          </w:tcPr>
          <w:p w14:paraId="38A474C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 (5.9%)</w:t>
            </w:r>
          </w:p>
        </w:tc>
      </w:tr>
    </w:tbl>
    <w:p w14:paraId="38A474CC" w14:textId="345ED7D9" w:rsidR="00CA7A60" w:rsidRPr="00FB60E5" w:rsidRDefault="00CA7A60" w:rsidP="00FB60E5">
      <w:pPr>
        <w:ind w:left="0"/>
      </w:pPr>
      <w:r w:rsidRPr="00FB60E5">
        <w:lastRenderedPageBreak/>
        <w:t xml:space="preserve">Hospitalisations for non-AOD-related conditions are shown in </w:t>
      </w:r>
      <w:r w:rsidR="00BE3D19" w:rsidRPr="00FB60E5">
        <w:fldChar w:fldCharType="begin"/>
      </w:r>
      <w:r w:rsidRPr="00FB60E5">
        <w:instrText xml:space="preserve"> REF _Ref387144809 \h </w:instrText>
      </w:r>
      <w:r w:rsidR="00FB60E5" w:rsidRPr="00FB60E5">
        <w:instrText xml:space="preserve"> \* MERGEFORMAT </w:instrText>
      </w:r>
      <w:r w:rsidR="00BE3D19" w:rsidRPr="00FB60E5">
        <w:fldChar w:fldCharType="separate"/>
      </w:r>
      <w:r w:rsidR="00E150CA" w:rsidRPr="00FB60E5">
        <w:t>Table 4.25</w:t>
      </w:r>
      <w:r w:rsidR="00BE3D19" w:rsidRPr="00FB60E5">
        <w:fldChar w:fldCharType="end"/>
      </w:r>
      <w:r w:rsidRPr="00FB60E5">
        <w:t xml:space="preserve"> for the AOD client cohort. There was a reduction in the proportion of clients admitted with non-AOD-related conditions in the year following AOD treatment. While this reduction was evident for most treatment types, an increase was observed in outreach, Aboriginal, post withdrawal and other/unknown services. Also, while decreases in admissions were evident for clients presenting to AOD services across most primary drugs of concern, there was no change in the proportion of non-AOD-related hospitalisation where the primary drug of concern was benzodiazepines and other tranquilizers. Non-AOD-related condition admissions declined from the year preceding treatment to the year following treatment engagement regardless of treatment termination status.</w:t>
      </w:r>
    </w:p>
    <w:p w14:paraId="38A474CE" w14:textId="14B73FE5" w:rsidR="00CA7A60" w:rsidRPr="00FB60E5" w:rsidRDefault="00CA7A60" w:rsidP="00552239">
      <w:pPr>
        <w:pStyle w:val="Caption"/>
      </w:pPr>
      <w:bookmarkStart w:id="298" w:name="_Ref387144809"/>
      <w:bookmarkStart w:id="299" w:name="_Toc387244649"/>
      <w:bookmarkStart w:id="300" w:name="_Toc531625822"/>
      <w:proofErr w:type="gramStart"/>
      <w:r w:rsidRPr="00FB60E5">
        <w:t xml:space="preserve">Table </w:t>
      </w:r>
      <w:r w:rsidR="00552239">
        <w:fldChar w:fldCharType="begin"/>
      </w:r>
      <w:r w:rsidR="00552239">
        <w:instrText xml:space="preserve"> STYLEREF 1 \s </w:instrText>
      </w:r>
      <w:r w:rsidR="00552239">
        <w:fldChar w:fldCharType="separate"/>
      </w:r>
      <w:r w:rsidR="00552239">
        <w:rPr>
          <w:noProof/>
        </w:rPr>
        <w:t>4</w:t>
      </w:r>
      <w:r w:rsidR="00552239">
        <w:fldChar w:fldCharType="end"/>
      </w:r>
      <w:r w:rsidR="00552239">
        <w:t>.</w:t>
      </w:r>
      <w:proofErr w:type="gramEnd"/>
      <w:r w:rsidR="00552239">
        <w:fldChar w:fldCharType="begin"/>
      </w:r>
      <w:r w:rsidR="00552239">
        <w:instrText xml:space="preserve"> SEQ Table \* ARABIC \s 1 </w:instrText>
      </w:r>
      <w:r w:rsidR="00552239">
        <w:fldChar w:fldCharType="separate"/>
      </w:r>
      <w:r w:rsidR="00552239">
        <w:rPr>
          <w:noProof/>
        </w:rPr>
        <w:t>25</w:t>
      </w:r>
      <w:r w:rsidR="00552239">
        <w:fldChar w:fldCharType="end"/>
      </w:r>
      <w:bookmarkEnd w:id="298"/>
      <w:r w:rsidR="002C27A8">
        <w:t xml:space="preserve"> </w:t>
      </w:r>
      <w:r w:rsidRPr="00FB60E5">
        <w:t xml:space="preserve">Admissions for non-AOD-related conditions by AOD </w:t>
      </w:r>
      <w:r w:rsidR="007431B4" w:rsidRPr="00FB60E5">
        <w:t>treatment</w:t>
      </w:r>
      <w:r w:rsidRPr="00FB60E5">
        <w:t xml:space="preserve"> type, primary drug of concern and treatment termination status, 2009/10, 2010/11 and 2011/12</w:t>
      </w:r>
      <w:bookmarkEnd w:id="299"/>
      <w:bookmarkEnd w:id="300"/>
    </w:p>
    <w:tbl>
      <w:tblPr>
        <w:tblStyle w:val="LightList-Accent1"/>
        <w:tblW w:w="5057" w:type="pct"/>
        <w:tblLayout w:type="fixed"/>
        <w:tblLook w:val="04A0" w:firstRow="1" w:lastRow="0" w:firstColumn="1" w:lastColumn="0" w:noHBand="0" w:noVBand="1"/>
        <w:tblDescription w:val="Table 4.25 is a list of Admissions for non-AOD-related conditions by AOD treatment type, primary drug of concern and treatment termination status, 2009/10, 2010/11 and 2011/12"/>
      </w:tblPr>
      <w:tblGrid>
        <w:gridCol w:w="4948"/>
        <w:gridCol w:w="1651"/>
        <w:gridCol w:w="1393"/>
        <w:gridCol w:w="1355"/>
      </w:tblGrid>
      <w:tr w:rsidR="00CA7A60" w:rsidRPr="00FB60E5" w14:paraId="38A474D1" w14:textId="77777777" w:rsidTr="002147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7" w:type="pct"/>
            <w:vMerge w:val="restart"/>
            <w:noWrap/>
            <w:hideMark/>
          </w:tcPr>
          <w:p w14:paraId="38A474CF" w14:textId="77777777" w:rsidR="00CA7A60" w:rsidRPr="00FB60E5" w:rsidRDefault="00CA7A60" w:rsidP="00FB60E5">
            <w:pPr>
              <w:ind w:left="0"/>
            </w:pPr>
            <w:r w:rsidRPr="00FB60E5">
              <w:t> </w:t>
            </w:r>
          </w:p>
        </w:tc>
        <w:tc>
          <w:tcPr>
            <w:tcW w:w="2353" w:type="pct"/>
            <w:gridSpan w:val="3"/>
            <w:noWrap/>
            <w:hideMark/>
          </w:tcPr>
          <w:p w14:paraId="38A474D0"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 xml:space="preserve">Non-AOD-related conditions </w:t>
            </w:r>
          </w:p>
        </w:tc>
      </w:tr>
      <w:tr w:rsidR="00CA7A60" w:rsidRPr="00FB60E5" w14:paraId="38A474D6" w14:textId="77777777" w:rsidTr="0021478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7" w:type="pct"/>
            <w:vMerge/>
            <w:hideMark/>
          </w:tcPr>
          <w:p w14:paraId="38A474D2" w14:textId="77777777" w:rsidR="00CA7A60" w:rsidRPr="00FB60E5" w:rsidRDefault="00CA7A60" w:rsidP="00FB60E5">
            <w:pPr>
              <w:ind w:left="0"/>
            </w:pPr>
          </w:p>
        </w:tc>
        <w:tc>
          <w:tcPr>
            <w:tcW w:w="883" w:type="pct"/>
            <w:hideMark/>
          </w:tcPr>
          <w:p w14:paraId="38A474D3"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09/10 (%)</w:t>
            </w:r>
          </w:p>
        </w:tc>
        <w:tc>
          <w:tcPr>
            <w:tcW w:w="745" w:type="pct"/>
            <w:hideMark/>
          </w:tcPr>
          <w:p w14:paraId="38A474D4"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10/11 (%)</w:t>
            </w:r>
          </w:p>
        </w:tc>
        <w:tc>
          <w:tcPr>
            <w:tcW w:w="725" w:type="pct"/>
            <w:hideMark/>
          </w:tcPr>
          <w:p w14:paraId="38A474D5" w14:textId="77777777" w:rsidR="00CA7A60" w:rsidRPr="00FB60E5" w:rsidRDefault="00CA7A60" w:rsidP="00FB60E5">
            <w:pPr>
              <w:ind w:left="0"/>
              <w:cnfStyle w:val="100000000000" w:firstRow="1" w:lastRow="0" w:firstColumn="0" w:lastColumn="0" w:oddVBand="0" w:evenVBand="0" w:oddHBand="0" w:evenHBand="0" w:firstRowFirstColumn="0" w:firstRowLastColumn="0" w:lastRowFirstColumn="0" w:lastRowLastColumn="0"/>
            </w:pPr>
            <w:r w:rsidRPr="00FB60E5">
              <w:t>Admission 11/12 (%)</w:t>
            </w:r>
          </w:p>
        </w:tc>
      </w:tr>
      <w:tr w:rsidR="00CA7A60" w:rsidRPr="00FB60E5" w14:paraId="38A474DB"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D7" w14:textId="77777777" w:rsidR="00CA7A60" w:rsidRPr="00FB60E5" w:rsidRDefault="00CA7A60" w:rsidP="00FB60E5">
            <w:pPr>
              <w:ind w:left="0"/>
            </w:pPr>
            <w:r w:rsidRPr="00FB60E5">
              <w:t>Total (n=25229)</w:t>
            </w:r>
          </w:p>
        </w:tc>
        <w:tc>
          <w:tcPr>
            <w:tcW w:w="883" w:type="pct"/>
            <w:hideMark/>
          </w:tcPr>
          <w:p w14:paraId="38A474D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4110 (16.3%)</w:t>
            </w:r>
          </w:p>
        </w:tc>
        <w:tc>
          <w:tcPr>
            <w:tcW w:w="745" w:type="pct"/>
            <w:hideMark/>
          </w:tcPr>
          <w:p w14:paraId="38A474D9"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3992 (15.8%)</w:t>
            </w:r>
          </w:p>
        </w:tc>
        <w:tc>
          <w:tcPr>
            <w:tcW w:w="725" w:type="pct"/>
            <w:hideMark/>
          </w:tcPr>
          <w:p w14:paraId="38A474D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3931 (15.6%)</w:t>
            </w:r>
          </w:p>
        </w:tc>
      </w:tr>
      <w:tr w:rsidR="00042CE9" w:rsidRPr="00FB60E5" w14:paraId="38A474E0"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4DF" w14:textId="215609CE" w:rsidR="00042CE9" w:rsidRPr="00FB60E5" w:rsidRDefault="00042CE9" w:rsidP="00FB60E5">
            <w:pPr>
              <w:ind w:left="0"/>
            </w:pPr>
            <w:r w:rsidRPr="00FB60E5">
              <w:t>Treatment type</w:t>
            </w:r>
          </w:p>
        </w:tc>
      </w:tr>
      <w:tr w:rsidR="00CA7A60" w:rsidRPr="00FB60E5" w14:paraId="38A474E5"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E1" w14:textId="77777777" w:rsidR="00CA7A60" w:rsidRPr="00214785" w:rsidRDefault="00CA7A60" w:rsidP="00FB60E5">
            <w:pPr>
              <w:ind w:left="0"/>
              <w:rPr>
                <w:b w:val="0"/>
              </w:rPr>
            </w:pPr>
            <w:r w:rsidRPr="00214785">
              <w:rPr>
                <w:b w:val="0"/>
              </w:rPr>
              <w:t>Counselling (n=11919; 47.2%)</w:t>
            </w:r>
          </w:p>
        </w:tc>
        <w:tc>
          <w:tcPr>
            <w:tcW w:w="883" w:type="pct"/>
            <w:hideMark/>
          </w:tcPr>
          <w:p w14:paraId="38A474E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1968 (16.5%)</w:t>
            </w:r>
          </w:p>
        </w:tc>
        <w:tc>
          <w:tcPr>
            <w:tcW w:w="745" w:type="pct"/>
            <w:hideMark/>
          </w:tcPr>
          <w:p w14:paraId="38A474E3"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1921 (16.1%)</w:t>
            </w:r>
          </w:p>
        </w:tc>
        <w:tc>
          <w:tcPr>
            <w:tcW w:w="725" w:type="pct"/>
            <w:hideMark/>
          </w:tcPr>
          <w:p w14:paraId="38A474E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1843 (15.5%)</w:t>
            </w:r>
          </w:p>
        </w:tc>
      </w:tr>
      <w:tr w:rsidR="00CA7A60" w:rsidRPr="00FB60E5" w14:paraId="38A474EA"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E6" w14:textId="77777777" w:rsidR="00CA7A60" w:rsidRPr="00214785" w:rsidRDefault="00CA7A60" w:rsidP="00FB60E5">
            <w:pPr>
              <w:ind w:left="0"/>
              <w:rPr>
                <w:b w:val="0"/>
              </w:rPr>
            </w:pPr>
            <w:r w:rsidRPr="00214785">
              <w:rPr>
                <w:b w:val="0"/>
              </w:rPr>
              <w:t>Residential withdrawal (n=1962; 7.8%)</w:t>
            </w:r>
          </w:p>
        </w:tc>
        <w:tc>
          <w:tcPr>
            <w:tcW w:w="883" w:type="pct"/>
            <w:hideMark/>
          </w:tcPr>
          <w:p w14:paraId="38A474E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425 (21.7%)</w:t>
            </w:r>
          </w:p>
        </w:tc>
        <w:tc>
          <w:tcPr>
            <w:tcW w:w="745" w:type="pct"/>
            <w:hideMark/>
          </w:tcPr>
          <w:p w14:paraId="38A474E8"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418 (21.3%)</w:t>
            </w:r>
          </w:p>
        </w:tc>
        <w:tc>
          <w:tcPr>
            <w:tcW w:w="725" w:type="pct"/>
            <w:hideMark/>
          </w:tcPr>
          <w:p w14:paraId="38A474E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411 (20.9%)</w:t>
            </w:r>
          </w:p>
        </w:tc>
      </w:tr>
      <w:tr w:rsidR="00CA7A60" w:rsidRPr="00FB60E5" w14:paraId="38A474EF"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EB" w14:textId="77777777" w:rsidR="00CA7A60" w:rsidRPr="00214785" w:rsidRDefault="00CA7A60" w:rsidP="00FB60E5">
            <w:pPr>
              <w:ind w:left="0"/>
              <w:rPr>
                <w:b w:val="0"/>
              </w:rPr>
            </w:pPr>
            <w:r w:rsidRPr="00214785">
              <w:rPr>
                <w:b w:val="0"/>
              </w:rPr>
              <w:t>Other withdrawal (n=2582; 10.2%)</w:t>
            </w:r>
          </w:p>
        </w:tc>
        <w:tc>
          <w:tcPr>
            <w:tcW w:w="883" w:type="pct"/>
            <w:hideMark/>
          </w:tcPr>
          <w:p w14:paraId="38A474E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466 (18.0%)</w:t>
            </w:r>
          </w:p>
        </w:tc>
        <w:tc>
          <w:tcPr>
            <w:tcW w:w="745" w:type="pct"/>
            <w:hideMark/>
          </w:tcPr>
          <w:p w14:paraId="38A474E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473 (18.3%)</w:t>
            </w:r>
          </w:p>
        </w:tc>
        <w:tc>
          <w:tcPr>
            <w:tcW w:w="725" w:type="pct"/>
            <w:hideMark/>
          </w:tcPr>
          <w:p w14:paraId="38A474E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416 (16.1%)</w:t>
            </w:r>
          </w:p>
        </w:tc>
      </w:tr>
      <w:tr w:rsidR="00CA7A60" w:rsidRPr="00FB60E5" w14:paraId="38A474F4"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F0" w14:textId="77777777" w:rsidR="00CA7A60" w:rsidRPr="00214785" w:rsidRDefault="00CA7A60" w:rsidP="00FB60E5">
            <w:pPr>
              <w:ind w:left="0"/>
              <w:rPr>
                <w:b w:val="0"/>
              </w:rPr>
            </w:pPr>
            <w:r w:rsidRPr="00214785">
              <w:rPr>
                <w:b w:val="0"/>
              </w:rPr>
              <w:t>Outreach (n=2368; 9.4%)</w:t>
            </w:r>
          </w:p>
        </w:tc>
        <w:tc>
          <w:tcPr>
            <w:tcW w:w="883" w:type="pct"/>
            <w:hideMark/>
          </w:tcPr>
          <w:p w14:paraId="38A474F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303 (12.8%)</w:t>
            </w:r>
          </w:p>
        </w:tc>
        <w:tc>
          <w:tcPr>
            <w:tcW w:w="745" w:type="pct"/>
            <w:hideMark/>
          </w:tcPr>
          <w:p w14:paraId="38A474F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288 (12.2%)</w:t>
            </w:r>
          </w:p>
        </w:tc>
        <w:tc>
          <w:tcPr>
            <w:tcW w:w="725" w:type="pct"/>
            <w:hideMark/>
          </w:tcPr>
          <w:p w14:paraId="38A474F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336 (14.2%)</w:t>
            </w:r>
          </w:p>
        </w:tc>
      </w:tr>
      <w:tr w:rsidR="00CA7A60" w:rsidRPr="00FB60E5" w14:paraId="38A474F9"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F5" w14:textId="77777777" w:rsidR="00CA7A60" w:rsidRPr="00214785" w:rsidRDefault="00CA7A60" w:rsidP="00FB60E5">
            <w:pPr>
              <w:ind w:left="0"/>
              <w:rPr>
                <w:b w:val="0"/>
              </w:rPr>
            </w:pPr>
            <w:r w:rsidRPr="00214785">
              <w:rPr>
                <w:b w:val="0"/>
              </w:rPr>
              <w:t>Brokerage (n=3904; 15.5%)</w:t>
            </w:r>
          </w:p>
        </w:tc>
        <w:tc>
          <w:tcPr>
            <w:tcW w:w="883" w:type="pct"/>
            <w:hideMark/>
          </w:tcPr>
          <w:p w14:paraId="38A474F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536 (13.7%)</w:t>
            </w:r>
          </w:p>
        </w:tc>
        <w:tc>
          <w:tcPr>
            <w:tcW w:w="745" w:type="pct"/>
            <w:hideMark/>
          </w:tcPr>
          <w:p w14:paraId="38A474F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469 (12.0%)</w:t>
            </w:r>
          </w:p>
        </w:tc>
        <w:tc>
          <w:tcPr>
            <w:tcW w:w="725" w:type="pct"/>
            <w:hideMark/>
          </w:tcPr>
          <w:p w14:paraId="38A474F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495 (12.7%)</w:t>
            </w:r>
          </w:p>
        </w:tc>
      </w:tr>
      <w:tr w:rsidR="00CA7A60" w:rsidRPr="00FB60E5" w14:paraId="38A474FE"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FA" w14:textId="77777777" w:rsidR="00CA7A60" w:rsidRPr="00214785" w:rsidRDefault="00CA7A60" w:rsidP="00FB60E5">
            <w:pPr>
              <w:ind w:left="0"/>
              <w:rPr>
                <w:b w:val="0"/>
              </w:rPr>
            </w:pPr>
            <w:r w:rsidRPr="00214785">
              <w:rPr>
                <w:b w:val="0"/>
              </w:rPr>
              <w:t>Aboriginal services (n=733; 2.9%)</w:t>
            </w:r>
          </w:p>
        </w:tc>
        <w:tc>
          <w:tcPr>
            <w:tcW w:w="883" w:type="pct"/>
            <w:hideMark/>
          </w:tcPr>
          <w:p w14:paraId="38A474F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84 (11.5%)</w:t>
            </w:r>
          </w:p>
        </w:tc>
        <w:tc>
          <w:tcPr>
            <w:tcW w:w="745" w:type="pct"/>
            <w:hideMark/>
          </w:tcPr>
          <w:p w14:paraId="38A474FC"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96 (13.1%)</w:t>
            </w:r>
          </w:p>
        </w:tc>
        <w:tc>
          <w:tcPr>
            <w:tcW w:w="725" w:type="pct"/>
            <w:hideMark/>
          </w:tcPr>
          <w:p w14:paraId="38A474FD"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104 (14.2%)</w:t>
            </w:r>
          </w:p>
        </w:tc>
      </w:tr>
      <w:tr w:rsidR="00CA7A60" w:rsidRPr="00FB60E5" w14:paraId="38A47503"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4FF" w14:textId="77777777" w:rsidR="00CA7A60" w:rsidRPr="00214785" w:rsidRDefault="00CA7A60" w:rsidP="00FB60E5">
            <w:pPr>
              <w:ind w:left="0"/>
              <w:rPr>
                <w:b w:val="0"/>
              </w:rPr>
            </w:pPr>
            <w:r w:rsidRPr="00214785">
              <w:rPr>
                <w:b w:val="0"/>
              </w:rPr>
              <w:t>Specialist pharmacotherapy (n=401; 1.6%)</w:t>
            </w:r>
          </w:p>
        </w:tc>
        <w:tc>
          <w:tcPr>
            <w:tcW w:w="883" w:type="pct"/>
            <w:hideMark/>
          </w:tcPr>
          <w:p w14:paraId="38A4750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94 (23.4%)</w:t>
            </w:r>
          </w:p>
        </w:tc>
        <w:tc>
          <w:tcPr>
            <w:tcW w:w="745" w:type="pct"/>
            <w:hideMark/>
          </w:tcPr>
          <w:p w14:paraId="38A4750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91 (22.7%)</w:t>
            </w:r>
          </w:p>
        </w:tc>
        <w:tc>
          <w:tcPr>
            <w:tcW w:w="725" w:type="pct"/>
            <w:hideMark/>
          </w:tcPr>
          <w:p w14:paraId="38A4750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90 (22.4%)</w:t>
            </w:r>
          </w:p>
        </w:tc>
      </w:tr>
      <w:tr w:rsidR="00CA7A60" w:rsidRPr="00FB60E5" w14:paraId="38A47508"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04" w14:textId="77777777" w:rsidR="00CA7A60" w:rsidRPr="00214785" w:rsidRDefault="00CA7A60" w:rsidP="00FB60E5">
            <w:pPr>
              <w:ind w:left="0"/>
              <w:rPr>
                <w:b w:val="0"/>
              </w:rPr>
            </w:pPr>
            <w:r w:rsidRPr="00214785">
              <w:rPr>
                <w:b w:val="0"/>
              </w:rPr>
              <w:t>Residential rehabilitation (n=176; 0.7%)</w:t>
            </w:r>
          </w:p>
        </w:tc>
        <w:tc>
          <w:tcPr>
            <w:tcW w:w="883" w:type="pct"/>
            <w:hideMark/>
          </w:tcPr>
          <w:p w14:paraId="38A4750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31 (17.6%)</w:t>
            </w:r>
          </w:p>
        </w:tc>
        <w:tc>
          <w:tcPr>
            <w:tcW w:w="745" w:type="pct"/>
            <w:hideMark/>
          </w:tcPr>
          <w:p w14:paraId="38A4750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30 (17.0%)</w:t>
            </w:r>
          </w:p>
        </w:tc>
        <w:tc>
          <w:tcPr>
            <w:tcW w:w="725" w:type="pct"/>
            <w:hideMark/>
          </w:tcPr>
          <w:p w14:paraId="38A4750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26 (14.8%)</w:t>
            </w:r>
          </w:p>
        </w:tc>
      </w:tr>
      <w:tr w:rsidR="00CA7A60" w:rsidRPr="00FB60E5" w14:paraId="38A4750D"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09" w14:textId="77777777" w:rsidR="00CA7A60" w:rsidRPr="00214785" w:rsidRDefault="00CA7A60" w:rsidP="00FB60E5">
            <w:pPr>
              <w:ind w:left="0"/>
              <w:rPr>
                <w:b w:val="0"/>
              </w:rPr>
            </w:pPr>
            <w:r w:rsidRPr="00214785">
              <w:rPr>
                <w:b w:val="0"/>
              </w:rPr>
              <w:t>Supported accommodation (n=269; 1.1%)</w:t>
            </w:r>
          </w:p>
        </w:tc>
        <w:tc>
          <w:tcPr>
            <w:tcW w:w="883" w:type="pct"/>
            <w:hideMark/>
          </w:tcPr>
          <w:p w14:paraId="38A4750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 (20.8%)</w:t>
            </w:r>
          </w:p>
        </w:tc>
        <w:tc>
          <w:tcPr>
            <w:tcW w:w="745" w:type="pct"/>
            <w:hideMark/>
          </w:tcPr>
          <w:p w14:paraId="38A4750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 (19.0%)</w:t>
            </w:r>
          </w:p>
        </w:tc>
        <w:tc>
          <w:tcPr>
            <w:tcW w:w="725" w:type="pct"/>
            <w:hideMark/>
          </w:tcPr>
          <w:p w14:paraId="38A4750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51 (19.0%)</w:t>
            </w:r>
          </w:p>
        </w:tc>
      </w:tr>
      <w:tr w:rsidR="00CA7A60" w:rsidRPr="00FB60E5" w14:paraId="38A47512"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0E" w14:textId="77777777" w:rsidR="00CA7A60" w:rsidRPr="00214785" w:rsidRDefault="00CA7A60" w:rsidP="00FB60E5">
            <w:pPr>
              <w:ind w:left="0"/>
              <w:rPr>
                <w:b w:val="0"/>
              </w:rPr>
            </w:pPr>
            <w:r w:rsidRPr="00214785">
              <w:rPr>
                <w:b w:val="0"/>
              </w:rPr>
              <w:t>Post withdrawal linkage (n=256; 1.0%)</w:t>
            </w:r>
          </w:p>
        </w:tc>
        <w:tc>
          <w:tcPr>
            <w:tcW w:w="883" w:type="pct"/>
            <w:hideMark/>
          </w:tcPr>
          <w:p w14:paraId="38A4750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39 (15.2%)</w:t>
            </w:r>
          </w:p>
        </w:tc>
        <w:tc>
          <w:tcPr>
            <w:tcW w:w="745" w:type="pct"/>
            <w:hideMark/>
          </w:tcPr>
          <w:p w14:paraId="38A4751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35 (13.7%)</w:t>
            </w:r>
          </w:p>
        </w:tc>
        <w:tc>
          <w:tcPr>
            <w:tcW w:w="725" w:type="pct"/>
            <w:hideMark/>
          </w:tcPr>
          <w:p w14:paraId="38A4751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40 (15.6%)</w:t>
            </w:r>
          </w:p>
        </w:tc>
      </w:tr>
      <w:tr w:rsidR="00CA7A60" w:rsidRPr="00FB60E5" w14:paraId="38A47517"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13" w14:textId="77777777" w:rsidR="00CA7A60" w:rsidRPr="00214785" w:rsidRDefault="00CA7A60" w:rsidP="00FB60E5">
            <w:pPr>
              <w:ind w:left="0"/>
              <w:rPr>
                <w:b w:val="0"/>
              </w:rPr>
            </w:pPr>
            <w:r w:rsidRPr="00214785">
              <w:rPr>
                <w:b w:val="0"/>
              </w:rPr>
              <w:t>Other/unknown (n=659; 2.6%)</w:t>
            </w:r>
          </w:p>
        </w:tc>
        <w:tc>
          <w:tcPr>
            <w:tcW w:w="883" w:type="pct"/>
            <w:hideMark/>
          </w:tcPr>
          <w:p w14:paraId="38A4751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108 (16.4%)</w:t>
            </w:r>
          </w:p>
        </w:tc>
        <w:tc>
          <w:tcPr>
            <w:tcW w:w="745" w:type="pct"/>
            <w:hideMark/>
          </w:tcPr>
          <w:p w14:paraId="38A4751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120 (18.2%)</w:t>
            </w:r>
          </w:p>
        </w:tc>
        <w:tc>
          <w:tcPr>
            <w:tcW w:w="725" w:type="pct"/>
            <w:hideMark/>
          </w:tcPr>
          <w:p w14:paraId="38A4751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119 (18.1%)</w:t>
            </w:r>
          </w:p>
        </w:tc>
      </w:tr>
      <w:tr w:rsidR="00214785" w:rsidRPr="00FB60E5" w14:paraId="38A4751A"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519" w14:textId="3BD425DF" w:rsidR="00214785" w:rsidRPr="00214785" w:rsidRDefault="00214785" w:rsidP="00FB60E5">
            <w:pPr>
              <w:ind w:left="0"/>
              <w:rPr>
                <w:b w:val="0"/>
                <w:bCs w:val="0"/>
              </w:rPr>
            </w:pPr>
            <w:r w:rsidRPr="00FB60E5">
              <w:t>Treatment termination status</w:t>
            </w:r>
          </w:p>
        </w:tc>
      </w:tr>
      <w:tr w:rsidR="00CA7A60" w:rsidRPr="00FB60E5" w14:paraId="38A4751F"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1B" w14:textId="77777777" w:rsidR="00CA7A60" w:rsidRPr="00214785" w:rsidRDefault="00CA7A60" w:rsidP="00FB60E5">
            <w:pPr>
              <w:ind w:left="0"/>
              <w:rPr>
                <w:b w:val="0"/>
              </w:rPr>
            </w:pPr>
            <w:r w:rsidRPr="00214785">
              <w:rPr>
                <w:b w:val="0"/>
              </w:rPr>
              <w:t>Completed treatment (n=18690; 74.1%)</w:t>
            </w:r>
          </w:p>
        </w:tc>
        <w:tc>
          <w:tcPr>
            <w:tcW w:w="883" w:type="pct"/>
            <w:hideMark/>
          </w:tcPr>
          <w:p w14:paraId="38A4751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2962 (15.8%)</w:t>
            </w:r>
          </w:p>
        </w:tc>
        <w:tc>
          <w:tcPr>
            <w:tcW w:w="745" w:type="pct"/>
            <w:hideMark/>
          </w:tcPr>
          <w:p w14:paraId="38A4751D"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2855 (15.3%)</w:t>
            </w:r>
          </w:p>
        </w:tc>
        <w:tc>
          <w:tcPr>
            <w:tcW w:w="725" w:type="pct"/>
            <w:hideMark/>
          </w:tcPr>
          <w:p w14:paraId="38A4751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2838 (15.2%)</w:t>
            </w:r>
          </w:p>
        </w:tc>
      </w:tr>
      <w:tr w:rsidR="00CA7A60" w:rsidRPr="00FB60E5" w14:paraId="38A47524"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20" w14:textId="77777777" w:rsidR="00CA7A60" w:rsidRPr="00214785" w:rsidRDefault="00CA7A60" w:rsidP="00FB60E5">
            <w:pPr>
              <w:ind w:left="0"/>
              <w:rPr>
                <w:b w:val="0"/>
              </w:rPr>
            </w:pPr>
            <w:r w:rsidRPr="00214785">
              <w:rPr>
                <w:b w:val="0"/>
              </w:rPr>
              <w:t>Not completed (n=6262; 24.8%)</w:t>
            </w:r>
          </w:p>
        </w:tc>
        <w:tc>
          <w:tcPr>
            <w:tcW w:w="883" w:type="pct"/>
            <w:hideMark/>
          </w:tcPr>
          <w:p w14:paraId="38A4752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1103 (17.6%)</w:t>
            </w:r>
          </w:p>
        </w:tc>
        <w:tc>
          <w:tcPr>
            <w:tcW w:w="745" w:type="pct"/>
            <w:hideMark/>
          </w:tcPr>
          <w:p w14:paraId="38A47522"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1089 (17.4%)</w:t>
            </w:r>
          </w:p>
        </w:tc>
        <w:tc>
          <w:tcPr>
            <w:tcW w:w="725" w:type="pct"/>
            <w:hideMark/>
          </w:tcPr>
          <w:p w14:paraId="38A47523"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1048 (16.7%)</w:t>
            </w:r>
          </w:p>
        </w:tc>
      </w:tr>
      <w:tr w:rsidR="00CA7A60" w:rsidRPr="00FB60E5" w14:paraId="38A47529"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25" w14:textId="77777777" w:rsidR="00CA7A60" w:rsidRPr="00214785" w:rsidRDefault="00CA7A60" w:rsidP="00FB60E5">
            <w:pPr>
              <w:ind w:left="0"/>
              <w:rPr>
                <w:b w:val="0"/>
              </w:rPr>
            </w:pPr>
            <w:r w:rsidRPr="00214785">
              <w:rPr>
                <w:b w:val="0"/>
              </w:rPr>
              <w:t>Unknown (n=277; 1.1%)</w:t>
            </w:r>
          </w:p>
        </w:tc>
        <w:tc>
          <w:tcPr>
            <w:tcW w:w="883" w:type="pct"/>
            <w:hideMark/>
          </w:tcPr>
          <w:p w14:paraId="38A4752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 (16.2%)</w:t>
            </w:r>
          </w:p>
        </w:tc>
        <w:tc>
          <w:tcPr>
            <w:tcW w:w="745" w:type="pct"/>
            <w:hideMark/>
          </w:tcPr>
          <w:p w14:paraId="38A47527"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48 (17.3%)</w:t>
            </w:r>
          </w:p>
        </w:tc>
        <w:tc>
          <w:tcPr>
            <w:tcW w:w="725" w:type="pct"/>
            <w:hideMark/>
          </w:tcPr>
          <w:p w14:paraId="38A47528"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45 (16.2%)</w:t>
            </w:r>
          </w:p>
        </w:tc>
      </w:tr>
      <w:tr w:rsidR="00214785" w:rsidRPr="00FB60E5" w14:paraId="38A4752E"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38A4752D" w14:textId="17278D14" w:rsidR="00214785" w:rsidRPr="00FB60E5" w:rsidRDefault="00214785" w:rsidP="00FB60E5">
            <w:pPr>
              <w:ind w:left="0"/>
            </w:pPr>
            <w:r w:rsidRPr="00FB60E5">
              <w:t>Primary drug of concern</w:t>
            </w:r>
          </w:p>
        </w:tc>
      </w:tr>
      <w:tr w:rsidR="00CA7A60" w:rsidRPr="00FB60E5" w14:paraId="38A47533"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2F" w14:textId="77777777" w:rsidR="00CA7A60" w:rsidRPr="00214785" w:rsidRDefault="00CA7A60" w:rsidP="00FB60E5">
            <w:pPr>
              <w:ind w:left="0"/>
              <w:rPr>
                <w:b w:val="0"/>
              </w:rPr>
            </w:pPr>
            <w:r w:rsidRPr="00214785">
              <w:rPr>
                <w:b w:val="0"/>
              </w:rPr>
              <w:t>Alcohol (n=11912; 47.2%)</w:t>
            </w:r>
          </w:p>
        </w:tc>
        <w:tc>
          <w:tcPr>
            <w:tcW w:w="883" w:type="pct"/>
            <w:hideMark/>
          </w:tcPr>
          <w:p w14:paraId="38A4753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2036 (17.1%)</w:t>
            </w:r>
          </w:p>
        </w:tc>
        <w:tc>
          <w:tcPr>
            <w:tcW w:w="745" w:type="pct"/>
            <w:hideMark/>
          </w:tcPr>
          <w:p w14:paraId="38A47531"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1981 (16.6%)</w:t>
            </w:r>
          </w:p>
        </w:tc>
        <w:tc>
          <w:tcPr>
            <w:tcW w:w="725" w:type="pct"/>
            <w:hideMark/>
          </w:tcPr>
          <w:p w14:paraId="38A47532"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1947 (16.3%)</w:t>
            </w:r>
          </w:p>
        </w:tc>
      </w:tr>
      <w:tr w:rsidR="00CA7A60" w:rsidRPr="00FB60E5" w14:paraId="38A47538"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34" w14:textId="77777777" w:rsidR="00CA7A60" w:rsidRPr="00214785" w:rsidRDefault="00CA7A60" w:rsidP="00FB60E5">
            <w:pPr>
              <w:ind w:left="0"/>
              <w:rPr>
                <w:b w:val="0"/>
              </w:rPr>
            </w:pPr>
            <w:r w:rsidRPr="00214785">
              <w:rPr>
                <w:b w:val="0"/>
              </w:rPr>
              <w:lastRenderedPageBreak/>
              <w:t>Cannabis (n=5663; 22.4%)</w:t>
            </w:r>
          </w:p>
        </w:tc>
        <w:tc>
          <w:tcPr>
            <w:tcW w:w="883" w:type="pct"/>
            <w:hideMark/>
          </w:tcPr>
          <w:p w14:paraId="38A47535"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853 (15.1%)</w:t>
            </w:r>
          </w:p>
        </w:tc>
        <w:tc>
          <w:tcPr>
            <w:tcW w:w="745" w:type="pct"/>
            <w:hideMark/>
          </w:tcPr>
          <w:p w14:paraId="38A47536"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787 (13.9%)</w:t>
            </w:r>
          </w:p>
        </w:tc>
        <w:tc>
          <w:tcPr>
            <w:tcW w:w="725" w:type="pct"/>
            <w:hideMark/>
          </w:tcPr>
          <w:p w14:paraId="38A47537"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799 (14.1%)</w:t>
            </w:r>
          </w:p>
        </w:tc>
      </w:tr>
      <w:tr w:rsidR="00CA7A60" w:rsidRPr="00FB60E5" w14:paraId="38A4753D"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39" w14:textId="77777777" w:rsidR="00CA7A60" w:rsidRPr="00214785" w:rsidRDefault="00CA7A60" w:rsidP="00FB60E5">
            <w:pPr>
              <w:ind w:left="0"/>
              <w:rPr>
                <w:b w:val="0"/>
              </w:rPr>
            </w:pPr>
            <w:r w:rsidRPr="00214785">
              <w:rPr>
                <w:b w:val="0"/>
              </w:rPr>
              <w:t>Heroin &amp; other opioids (n=3863; 15.3%)</w:t>
            </w:r>
          </w:p>
        </w:tc>
        <w:tc>
          <w:tcPr>
            <w:tcW w:w="883" w:type="pct"/>
            <w:hideMark/>
          </w:tcPr>
          <w:p w14:paraId="38A4753A"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652 (16.9%)</w:t>
            </w:r>
          </w:p>
        </w:tc>
        <w:tc>
          <w:tcPr>
            <w:tcW w:w="745" w:type="pct"/>
            <w:hideMark/>
          </w:tcPr>
          <w:p w14:paraId="38A4753B"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655 (17.0%)</w:t>
            </w:r>
          </w:p>
        </w:tc>
        <w:tc>
          <w:tcPr>
            <w:tcW w:w="725" w:type="pct"/>
            <w:hideMark/>
          </w:tcPr>
          <w:p w14:paraId="38A4753C"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637 (16.5%)</w:t>
            </w:r>
          </w:p>
        </w:tc>
      </w:tr>
      <w:tr w:rsidR="00CA7A60" w:rsidRPr="00FB60E5" w14:paraId="38A47542"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3E" w14:textId="77777777" w:rsidR="00CA7A60" w:rsidRPr="00214785" w:rsidRDefault="00CA7A60" w:rsidP="00FB60E5">
            <w:pPr>
              <w:ind w:left="0"/>
              <w:rPr>
                <w:b w:val="0"/>
              </w:rPr>
            </w:pPr>
            <w:r w:rsidRPr="00214785">
              <w:rPr>
                <w:b w:val="0"/>
              </w:rPr>
              <w:t>Amphetamine &amp; other stimulants (n=2198; 8.7%)</w:t>
            </w:r>
          </w:p>
        </w:tc>
        <w:tc>
          <w:tcPr>
            <w:tcW w:w="883" w:type="pct"/>
            <w:hideMark/>
          </w:tcPr>
          <w:p w14:paraId="38A4753F"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294 (13.4%)</w:t>
            </w:r>
          </w:p>
        </w:tc>
        <w:tc>
          <w:tcPr>
            <w:tcW w:w="745" w:type="pct"/>
            <w:hideMark/>
          </w:tcPr>
          <w:p w14:paraId="38A47540"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284 (12.9%)</w:t>
            </w:r>
          </w:p>
        </w:tc>
        <w:tc>
          <w:tcPr>
            <w:tcW w:w="725" w:type="pct"/>
            <w:hideMark/>
          </w:tcPr>
          <w:p w14:paraId="38A47541"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283 (12.9%)</w:t>
            </w:r>
          </w:p>
        </w:tc>
      </w:tr>
      <w:tr w:rsidR="00CA7A60" w:rsidRPr="00FB60E5" w14:paraId="38A47547"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43" w14:textId="77777777" w:rsidR="00CA7A60" w:rsidRPr="00214785" w:rsidRDefault="00CA7A60" w:rsidP="00FB60E5">
            <w:pPr>
              <w:ind w:left="0"/>
              <w:rPr>
                <w:b w:val="0"/>
              </w:rPr>
            </w:pPr>
            <w:r w:rsidRPr="00214785">
              <w:rPr>
                <w:b w:val="0"/>
              </w:rPr>
              <w:t>Benzodiazepines &amp; other tranquillisers (n=522; 2.1%)</w:t>
            </w:r>
          </w:p>
        </w:tc>
        <w:tc>
          <w:tcPr>
            <w:tcW w:w="883" w:type="pct"/>
            <w:hideMark/>
          </w:tcPr>
          <w:p w14:paraId="38A47544"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94 (18.0%)</w:t>
            </w:r>
          </w:p>
        </w:tc>
        <w:tc>
          <w:tcPr>
            <w:tcW w:w="745" w:type="pct"/>
            <w:hideMark/>
          </w:tcPr>
          <w:p w14:paraId="38A47545"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101 (19.3%)</w:t>
            </w:r>
          </w:p>
        </w:tc>
        <w:tc>
          <w:tcPr>
            <w:tcW w:w="725" w:type="pct"/>
            <w:hideMark/>
          </w:tcPr>
          <w:p w14:paraId="38A47546"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98 (18.8%)</w:t>
            </w:r>
          </w:p>
        </w:tc>
      </w:tr>
      <w:tr w:rsidR="00CA7A60" w:rsidRPr="00FB60E5" w14:paraId="38A4754C" w14:textId="77777777" w:rsidTr="00214785">
        <w:trPr>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48" w14:textId="77777777" w:rsidR="00CA7A60" w:rsidRPr="00214785" w:rsidRDefault="00CA7A60" w:rsidP="00FB60E5">
            <w:pPr>
              <w:ind w:left="0"/>
              <w:rPr>
                <w:b w:val="0"/>
              </w:rPr>
            </w:pPr>
            <w:r w:rsidRPr="00214785">
              <w:rPr>
                <w:b w:val="0"/>
              </w:rPr>
              <w:t>Other (n=730; 2.9%)</w:t>
            </w:r>
          </w:p>
        </w:tc>
        <w:tc>
          <w:tcPr>
            <w:tcW w:w="883" w:type="pct"/>
            <w:hideMark/>
          </w:tcPr>
          <w:p w14:paraId="38A47549"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124 (17.0%)</w:t>
            </w:r>
          </w:p>
        </w:tc>
        <w:tc>
          <w:tcPr>
            <w:tcW w:w="745" w:type="pct"/>
            <w:hideMark/>
          </w:tcPr>
          <w:p w14:paraId="38A4754A"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122 (16.7%)</w:t>
            </w:r>
          </w:p>
        </w:tc>
        <w:tc>
          <w:tcPr>
            <w:tcW w:w="725" w:type="pct"/>
            <w:hideMark/>
          </w:tcPr>
          <w:p w14:paraId="38A4754B" w14:textId="77777777" w:rsidR="00CA7A60" w:rsidRPr="00FB60E5" w:rsidRDefault="00CA7A60" w:rsidP="00FB60E5">
            <w:pPr>
              <w:ind w:left="0"/>
              <w:cnfStyle w:val="000000000000" w:firstRow="0" w:lastRow="0" w:firstColumn="0" w:lastColumn="0" w:oddVBand="0" w:evenVBand="0" w:oddHBand="0" w:evenHBand="0" w:firstRowFirstColumn="0" w:firstRowLastColumn="0" w:lastRowFirstColumn="0" w:lastRowLastColumn="0"/>
            </w:pPr>
            <w:r w:rsidRPr="00FB60E5">
              <w:t>111 (15.2%)</w:t>
            </w:r>
          </w:p>
        </w:tc>
      </w:tr>
      <w:tr w:rsidR="00CA7A60" w:rsidRPr="00FB60E5" w14:paraId="38A47551" w14:textId="77777777" w:rsidTr="002147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7" w:type="pct"/>
            <w:noWrap/>
            <w:hideMark/>
          </w:tcPr>
          <w:p w14:paraId="38A4754D" w14:textId="77777777" w:rsidR="00CA7A60" w:rsidRPr="00214785" w:rsidRDefault="00CA7A60" w:rsidP="00FB60E5">
            <w:pPr>
              <w:ind w:left="0"/>
              <w:rPr>
                <w:b w:val="0"/>
              </w:rPr>
            </w:pPr>
            <w:r w:rsidRPr="00214785">
              <w:rPr>
                <w:b w:val="0"/>
              </w:rPr>
              <w:t>Unknown (n=341; 1.4%)</w:t>
            </w:r>
          </w:p>
        </w:tc>
        <w:tc>
          <w:tcPr>
            <w:tcW w:w="883" w:type="pct"/>
            <w:hideMark/>
          </w:tcPr>
          <w:p w14:paraId="38A4754E"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57 (16.7%)</w:t>
            </w:r>
          </w:p>
        </w:tc>
        <w:tc>
          <w:tcPr>
            <w:tcW w:w="745" w:type="pct"/>
            <w:hideMark/>
          </w:tcPr>
          <w:p w14:paraId="38A4754F"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62 (18.2%)</w:t>
            </w:r>
          </w:p>
        </w:tc>
        <w:tc>
          <w:tcPr>
            <w:tcW w:w="725" w:type="pct"/>
            <w:hideMark/>
          </w:tcPr>
          <w:p w14:paraId="38A47550" w14:textId="77777777" w:rsidR="00CA7A60" w:rsidRPr="00FB60E5" w:rsidRDefault="00CA7A60" w:rsidP="00FB60E5">
            <w:pPr>
              <w:ind w:left="0"/>
              <w:cnfStyle w:val="000000100000" w:firstRow="0" w:lastRow="0" w:firstColumn="0" w:lastColumn="0" w:oddVBand="0" w:evenVBand="0" w:oddHBand="1" w:evenHBand="0" w:firstRowFirstColumn="0" w:firstRowLastColumn="0" w:lastRowFirstColumn="0" w:lastRowLastColumn="0"/>
            </w:pPr>
            <w:r w:rsidRPr="00FB60E5">
              <w:t>56 (16.4%)</w:t>
            </w:r>
          </w:p>
        </w:tc>
      </w:tr>
    </w:tbl>
    <w:p w14:paraId="38A47553" w14:textId="77777777" w:rsidR="002B7EB3" w:rsidRPr="00FB60E5" w:rsidRDefault="002B7EB3" w:rsidP="005D0750">
      <w:pPr>
        <w:pStyle w:val="Heading4"/>
      </w:pPr>
      <w:r w:rsidRPr="00FB60E5">
        <w:t>Summary</w:t>
      </w:r>
    </w:p>
    <w:p w14:paraId="38A47554" w14:textId="77777777" w:rsidR="00CA7A60" w:rsidRPr="00FB60E5" w:rsidRDefault="002B7EB3" w:rsidP="00FB60E5">
      <w:pPr>
        <w:ind w:left="0"/>
      </w:pPr>
      <w:r w:rsidRPr="00FB60E5">
        <w:t xml:space="preserve">Overall, decreases in acute service utilisation across emergency department and hospital inpatient settings were evident in the year following treatment engagement. These reductions were found across most client demographic characteristics, treatment types and drug use characteristics. ED presentations and hospital admissions with an acute alcohol-related or other drug-related diagnosis decreased in the year following treatment engagement, as did presentations and admissions for a non-AOD-related condition, indicating improvements in both general health and also the experience of acute drug-related harm such as severe intoxication or overdose. Injury presentations and admissions also decreased following treatment engagement, with larger reductions evident for clients who had been engaged in residential rehabilitation in their index year of treatment. There was stability in ED presentations and hospital admissions in the year prior to and the year following treatment engagement for alcohol-related chronic conditions, which reflects the </w:t>
      </w:r>
      <w:r w:rsidR="00225DFE" w:rsidRPr="00FB60E5">
        <w:t>long-term</w:t>
      </w:r>
      <w:r w:rsidRPr="00FB60E5">
        <w:t xml:space="preserve"> impacts (both morbidity and mortality) of heavy alcohol consumption even following treatment and reduction or cessation in alcohol use (Lloyd et al, 2013; Matthews et al, 2013; Heilbronn et al, in press). It is important to note that many clients were still actively engaged in treatment in the year following the index year, and the full effects of treatment may not have been captured in such a short time between service engagement and outcome. Further exploration of client trajectories within and across treatment, health and other system is necessary at a population level to enable identification of transitions and outcomes of AOD treatment engagement within and across client populations.</w:t>
      </w:r>
    </w:p>
    <w:p w14:paraId="38A47558" w14:textId="77777777" w:rsidR="00D34D43" w:rsidRPr="00FB60E5" w:rsidRDefault="00D34D43" w:rsidP="00543AF0">
      <w:pPr>
        <w:pStyle w:val="Heading1"/>
        <w:numPr>
          <w:ilvl w:val="0"/>
          <w:numId w:val="9"/>
        </w:numPr>
      </w:pPr>
      <w:bookmarkStart w:id="301" w:name="_Toc398105056"/>
      <w:bookmarkStart w:id="302" w:name="_Toc531696255"/>
      <w:r w:rsidRPr="00FB60E5">
        <w:lastRenderedPageBreak/>
        <w:t>Discussion and recommendations</w:t>
      </w:r>
      <w:bookmarkEnd w:id="301"/>
      <w:bookmarkEnd w:id="302"/>
    </w:p>
    <w:p w14:paraId="4279C85B" w14:textId="77777777" w:rsidR="002C27A8" w:rsidRDefault="00516DA3" w:rsidP="00FB60E5">
      <w:pPr>
        <w:ind w:left="0"/>
      </w:pPr>
      <w:r w:rsidRPr="00FB60E5">
        <w:t xml:space="preserve">This multi-method project incorporated four major phases of work (a systems description, cohort study, </w:t>
      </w:r>
      <w:proofErr w:type="gramStart"/>
      <w:r w:rsidRPr="00FB60E5">
        <w:t>detailed</w:t>
      </w:r>
      <w:proofErr w:type="gramEnd"/>
      <w:r w:rsidRPr="00FB60E5">
        <w:t xml:space="preserve"> qualitative interviews and data linkage) with the aim of detailing the AOD system, its clients and their experiences, pathways and outcomes. Indeed, the Patient Pathways cohort, recruited from a wide diversity of treatment services across two states, is the largest AOD treatment outcomes study completed in Australia, with a follow-up rate of around 70%. The study is unique in terms of including a broad range of primary drugs of concern that present to the AOD treatment system, thereby allowing direct comparisons between users of both alcohol and illicit drugs, including diverted pharmaceuticals</w:t>
      </w:r>
      <w:r w:rsidR="002C27A8">
        <w:t>.</w:t>
      </w:r>
    </w:p>
    <w:p w14:paraId="62669236" w14:textId="77777777" w:rsidR="002C27A8" w:rsidRDefault="00516DA3" w:rsidP="00FB60E5">
      <w:pPr>
        <w:ind w:left="0"/>
      </w:pPr>
      <w:r w:rsidRPr="00FB60E5">
        <w:t>At treatment intake, the cohort reported severe substance use problems as well as substantial complexity in terms of their life situation – with high rates of homelessness, unemployment, acute health problems, including poor psychological health as well as a low quality of life and community engagement. As such, it is not surprising that the sample reported high levels of multiple service involvement, both at treatment intake and at one</w:t>
      </w:r>
      <w:r w:rsidR="00C85B93" w:rsidRPr="00FB60E5">
        <w:t>-</w:t>
      </w:r>
      <w:r w:rsidRPr="00FB60E5">
        <w:t xml:space="preserve">year follow-up. The sample predominantly consisted of </w:t>
      </w:r>
      <w:r w:rsidR="00657ACA" w:rsidRPr="00FB60E5">
        <w:t xml:space="preserve">participants </w:t>
      </w:r>
      <w:r w:rsidRPr="00FB60E5">
        <w:t xml:space="preserve">with chronic substance dependence and significant life complexity. Indeed, for the majority of the sample, </w:t>
      </w:r>
      <w:r w:rsidR="00883313" w:rsidRPr="00FB60E5">
        <w:t>PIT</w:t>
      </w:r>
      <w:r w:rsidRPr="00FB60E5">
        <w:t xml:space="preserve"> at recruitment was not their first experience of the specialist AOD treatment system, and the majority had lengthy addiction and treatment careers. As such, it is important to acknowledge this context when considering the positive changes id</w:t>
      </w:r>
      <w:r w:rsidR="00883313" w:rsidRPr="00FB60E5">
        <w:t>entified at the 12 month</w:t>
      </w:r>
      <w:r w:rsidRPr="00FB60E5">
        <w:t xml:space="preserve"> follow-up across multiple domains</w:t>
      </w:r>
      <w:r w:rsidR="002C27A8">
        <w:t>.</w:t>
      </w:r>
    </w:p>
    <w:p w14:paraId="38A4755B" w14:textId="2A67925C" w:rsidR="00516DA3" w:rsidRPr="00FB60E5" w:rsidRDefault="00A4515C" w:rsidP="00FB60E5">
      <w:pPr>
        <w:ind w:left="0"/>
      </w:pPr>
      <w:r w:rsidRPr="00FB60E5">
        <w:t>At follow-up, there were marked improvements in substance use and wellbeing across the cohort</w:t>
      </w:r>
      <w:r w:rsidR="00CA1189" w:rsidRPr="00FB60E5">
        <w:t xml:space="preserve"> as well as reductions in acute health care use</w:t>
      </w:r>
      <w:r w:rsidR="009A5B3F" w:rsidRPr="00FB60E5">
        <w:t>,</w:t>
      </w:r>
      <w:r w:rsidR="00CA1189" w:rsidRPr="00FB60E5">
        <w:t xml:space="preserve"> which </w:t>
      </w:r>
      <w:r w:rsidR="009A5B3F" w:rsidRPr="00FB60E5">
        <w:t>wa</w:t>
      </w:r>
      <w:r w:rsidR="00CA1189" w:rsidRPr="00FB60E5">
        <w:t xml:space="preserve">s also a finding of the </w:t>
      </w:r>
      <w:r w:rsidRPr="00FB60E5">
        <w:t xml:space="preserve">data linkage component. </w:t>
      </w:r>
      <w:r w:rsidR="00516DA3" w:rsidRPr="00FB60E5">
        <w:t>Where treatment success is defined as either achieving abstinence or a reduction in substance using days greater than 50% in the last month, 5</w:t>
      </w:r>
      <w:r w:rsidR="009A5B3F" w:rsidRPr="00FB60E5">
        <w:t>5</w:t>
      </w:r>
      <w:r w:rsidR="00516DA3" w:rsidRPr="00FB60E5">
        <w:t xml:space="preserve">% of the sample achieved this milestone. Furthermore, if the </w:t>
      </w:r>
      <w:r w:rsidR="00CA1189" w:rsidRPr="00FB60E5">
        <w:t xml:space="preserve">higher threshold of abstinence </w:t>
      </w:r>
      <w:r w:rsidR="00516DA3" w:rsidRPr="00FB60E5">
        <w:t xml:space="preserve">from their </w:t>
      </w:r>
      <w:r w:rsidR="00EE7A8F" w:rsidRPr="00FB60E5">
        <w:t>PDOC</w:t>
      </w:r>
      <w:r w:rsidR="00516DA3" w:rsidRPr="00FB60E5">
        <w:t xml:space="preserve"> is used, this was achieved by 37% of the overall sample who were successfully followed-up. </w:t>
      </w:r>
      <w:r w:rsidRPr="00FB60E5">
        <w:t xml:space="preserve">Whilst these treatment outcomes are likely to be inflated by the bias in follow-up (i.e. that those lost to follow are likely to have had poorer outcomes), this inherent limitation is common to all outcome studies relying on </w:t>
      </w:r>
      <w:r w:rsidR="00E64F2E" w:rsidRPr="00FB60E5">
        <w:t xml:space="preserve">participant </w:t>
      </w:r>
      <w:r w:rsidRPr="00FB60E5">
        <w:t xml:space="preserve">self-reported outcome data. </w:t>
      </w:r>
      <w:r w:rsidR="00516DA3" w:rsidRPr="00FB60E5">
        <w:t>Nonetheless</w:t>
      </w:r>
      <w:r w:rsidR="00883313" w:rsidRPr="00FB60E5">
        <w:t>,</w:t>
      </w:r>
      <w:r w:rsidR="00516DA3" w:rsidRPr="00FB60E5">
        <w:t xml:space="preserve"> rates of abstinence from </w:t>
      </w:r>
      <w:r w:rsidR="00EE7A8F" w:rsidRPr="00FB60E5">
        <w:t>PDOC</w:t>
      </w:r>
      <w:r w:rsidR="00516DA3" w:rsidRPr="00FB60E5">
        <w:t xml:space="preserve"> remained higher than comparable treatment studies internationally, which may reflect the short follow-up window, with 14% of the sample having achieved co</w:t>
      </w:r>
      <w:r w:rsidR="00657ACA" w:rsidRPr="00FB60E5">
        <w:t xml:space="preserve">ntinuous abstinence from their </w:t>
      </w:r>
      <w:r w:rsidR="00E64F2E" w:rsidRPr="00FB60E5">
        <w:t>PDOC</w:t>
      </w:r>
      <w:r w:rsidR="00516DA3" w:rsidRPr="00FB60E5">
        <w:t xml:space="preserve"> in the year before follow-up. This rate is consistent with findings from the MATES study of methamphetamine dependent users, which also reported a complete abstinence rate of 14% at one year (</w:t>
      </w:r>
      <w:proofErr w:type="spellStart"/>
      <w:r w:rsidR="00516DA3" w:rsidRPr="00FB60E5">
        <w:t>McKetin</w:t>
      </w:r>
      <w:proofErr w:type="spellEnd"/>
      <w:r w:rsidR="00516DA3" w:rsidRPr="00FB60E5">
        <w:t xml:space="preserve"> et al, 2012). In addition, 16% of the sample reported abstinence from all drugs in the past month, suggesting around </w:t>
      </w:r>
      <w:r w:rsidR="00883313" w:rsidRPr="00FB60E5">
        <w:t>one</w:t>
      </w:r>
      <w:r w:rsidR="00516DA3" w:rsidRPr="00FB60E5">
        <w:t xml:space="preserve"> in </w:t>
      </w:r>
      <w:r w:rsidR="00883313" w:rsidRPr="00FB60E5">
        <w:t>six</w:t>
      </w:r>
      <w:r w:rsidR="00516DA3" w:rsidRPr="00FB60E5">
        <w:t xml:space="preserve"> study participants who were followed up had been abstinent for at least one month. Taking a conservative estimate and assuming all participants lost to follow-up (excluding those deceased or incarcerated) </w:t>
      </w:r>
      <w:r w:rsidRPr="00FB60E5">
        <w:t>were still using</w:t>
      </w:r>
      <w:r w:rsidR="009A5B3F" w:rsidRPr="00FB60E5">
        <w:t xml:space="preserve"> their </w:t>
      </w:r>
      <w:r w:rsidR="00EE7A8F" w:rsidRPr="00FB60E5">
        <w:t>PDOC</w:t>
      </w:r>
      <w:r w:rsidRPr="00FB60E5">
        <w:t xml:space="preserve">, the overall past month abstinence rate from </w:t>
      </w:r>
      <w:r w:rsidR="009A5B3F" w:rsidRPr="00FB60E5">
        <w:t xml:space="preserve">their </w:t>
      </w:r>
      <w:r w:rsidR="00EE7A8F" w:rsidRPr="00FB60E5">
        <w:t>PDOC</w:t>
      </w:r>
      <w:r w:rsidRPr="00FB60E5">
        <w:t xml:space="preserve"> was 27%</w:t>
      </w:r>
      <w:r w:rsidR="009A5B3F" w:rsidRPr="00FB60E5">
        <w:t xml:space="preserve">, with a </w:t>
      </w:r>
      <w:r w:rsidRPr="00FB60E5">
        <w:t xml:space="preserve">treatment success rate </w:t>
      </w:r>
      <w:r w:rsidR="009A5B3F" w:rsidRPr="00FB60E5">
        <w:t>of</w:t>
      </w:r>
      <w:r w:rsidRPr="00FB60E5">
        <w:t xml:space="preserve"> 39%.</w:t>
      </w:r>
    </w:p>
    <w:p w14:paraId="7EEE0343" w14:textId="77777777" w:rsidR="002C27A8" w:rsidRDefault="00516DA3" w:rsidP="00FB60E5">
      <w:pPr>
        <w:ind w:left="0"/>
      </w:pPr>
      <w:r w:rsidRPr="00FB60E5">
        <w:t xml:space="preserve">There were also significant gains in quality of life at the follow-up assessment, suggesting that engagement with specialist AOD services has an impact on wellbeing that extends beyond behavioural changes in problematic substance use. In terms of health systems, there was a significant reduction in acute health service utilisation, although the overall </w:t>
      </w:r>
      <w:r w:rsidRPr="00FB60E5">
        <w:lastRenderedPageBreak/>
        <w:t>figure was still high, with more than half of the sample reporting an acute health episode in the year following initial treatment engagement</w:t>
      </w:r>
      <w:r w:rsidR="002C27A8">
        <w:t>.</w:t>
      </w:r>
    </w:p>
    <w:p w14:paraId="77BA0DE9" w14:textId="77777777" w:rsidR="002C27A8" w:rsidRDefault="00516DA3" w:rsidP="00FB60E5">
      <w:pPr>
        <w:ind w:left="0"/>
      </w:pPr>
      <w:r w:rsidRPr="00FB60E5">
        <w:t>The main predictors of achieving abstinence at follow-up were completion of the index treatment</w:t>
      </w:r>
      <w:r w:rsidR="00E64F2E" w:rsidRPr="00FB60E5">
        <w:t xml:space="preserve"> (i.e. PIT)</w:t>
      </w:r>
      <w:r w:rsidRPr="00FB60E5">
        <w:t xml:space="preserve">, having an index treatment that included residential rehabilitation (or engaging in rehabilitation in the year before or after the PIT) and participating in mutual aid groups in the year after index treatment. Additionally, there was a dose </w:t>
      </w:r>
      <w:r w:rsidR="00E64F2E" w:rsidRPr="00FB60E5">
        <w:t>e</w:t>
      </w:r>
      <w:r w:rsidRPr="00FB60E5">
        <w:t xml:space="preserve">ffect for mutual aid engagement with greater frequency of meeting attendance associated with higher rates of abstinence – </w:t>
      </w:r>
      <w:r w:rsidR="00A4515C" w:rsidRPr="00FB60E5">
        <w:t>for every ten meetings attended there was an 8% increase in the likelihood of abstinence</w:t>
      </w:r>
      <w:r w:rsidR="00C6619A" w:rsidRPr="00FB60E5">
        <w:t xml:space="preserve">, which supports the finding of </w:t>
      </w:r>
      <w:proofErr w:type="spellStart"/>
      <w:r w:rsidR="00C6619A" w:rsidRPr="00FB60E5">
        <w:t>Kaskutas</w:t>
      </w:r>
      <w:proofErr w:type="spellEnd"/>
      <w:r w:rsidR="00C6619A" w:rsidRPr="00FB60E5">
        <w:t xml:space="preserve"> (2009).</w:t>
      </w:r>
      <w:r w:rsidR="00A4515C" w:rsidRPr="00FB60E5">
        <w:t xml:space="preserve"> </w:t>
      </w:r>
      <w:r w:rsidR="00902674" w:rsidRPr="00FB60E5">
        <w:t xml:space="preserve">Our study </w:t>
      </w:r>
      <w:r w:rsidRPr="00FB60E5">
        <w:t xml:space="preserve">findings are consistent with international literature that emphasises the importance of treatment retention and completion (Simpson and Sells, 1990; </w:t>
      </w:r>
      <w:proofErr w:type="spellStart"/>
      <w:r w:rsidRPr="00FB60E5">
        <w:t>Gossop</w:t>
      </w:r>
      <w:proofErr w:type="spellEnd"/>
      <w:r w:rsidRPr="00FB60E5">
        <w:t xml:space="preserve"> et al</w:t>
      </w:r>
      <w:r w:rsidR="00883313" w:rsidRPr="00FB60E5">
        <w:t>.</w:t>
      </w:r>
      <w:r w:rsidRPr="00FB60E5">
        <w:t>, 2001), continuity of care (Chi et al</w:t>
      </w:r>
      <w:r w:rsidR="00883313" w:rsidRPr="00FB60E5">
        <w:t>.</w:t>
      </w:r>
      <w:r w:rsidRPr="00FB60E5">
        <w:t>, 2011) and the benefits of mutual aid engagement either as a stand</w:t>
      </w:r>
      <w:r w:rsidR="00883313" w:rsidRPr="00FB60E5">
        <w:t>-</w:t>
      </w:r>
      <w:r w:rsidRPr="00FB60E5">
        <w:t>alone form of aftercare or as an adjunctive therapy (Kelly et al, 2013)</w:t>
      </w:r>
      <w:r w:rsidR="002C27A8">
        <w:t>.</w:t>
      </w:r>
    </w:p>
    <w:p w14:paraId="64EBE0F5" w14:textId="77777777" w:rsidR="002C27A8" w:rsidRDefault="009B49B3" w:rsidP="00FB60E5">
      <w:pPr>
        <w:ind w:left="0"/>
      </w:pPr>
      <w:r w:rsidRPr="00FB60E5">
        <w:t xml:space="preserve">The finding that participants who had residential rehabilitation treatment achieved better outcomes is particularly noteworthy given their greater social disadvantage/adversity at baseline, with significantly greater rates of imprisonment, attendance at a community-based offender program, being held in </w:t>
      </w:r>
      <w:r w:rsidR="00410E52" w:rsidRPr="00FB60E5">
        <w:t xml:space="preserve">a </w:t>
      </w:r>
      <w:r w:rsidRPr="00FB60E5">
        <w:t xml:space="preserve">lock-up or watch-house, remanded in custody and having legal problems in the year before study entry relative to those with acute withdrawal or outpatient services as their PIT. The issue of long waiting times was raised in the qualitative interviews and so the potential to </w:t>
      </w:r>
      <w:r w:rsidR="00433B1E" w:rsidRPr="00FB60E5">
        <w:t>increase the number of</w:t>
      </w:r>
      <w:r w:rsidRPr="00FB60E5">
        <w:t xml:space="preserve"> residential </w:t>
      </w:r>
      <w:r w:rsidR="00433B1E" w:rsidRPr="00FB60E5">
        <w:t>rehabilitation places</w:t>
      </w:r>
      <w:r w:rsidRPr="00FB60E5">
        <w:t xml:space="preserve"> </w:t>
      </w:r>
      <w:r w:rsidR="00433B1E" w:rsidRPr="00FB60E5">
        <w:t>warrants consideration</w:t>
      </w:r>
      <w:r w:rsidRPr="00FB60E5">
        <w:t xml:space="preserve">. Whilst they are </w:t>
      </w:r>
      <w:r w:rsidR="00433B1E" w:rsidRPr="00FB60E5">
        <w:t xml:space="preserve">significantly </w:t>
      </w:r>
      <w:r w:rsidRPr="00FB60E5">
        <w:t>more costly, in the current study at least</w:t>
      </w:r>
      <w:r w:rsidR="00433B1E" w:rsidRPr="00FB60E5">
        <w:t>,</w:t>
      </w:r>
      <w:r w:rsidRPr="00FB60E5">
        <w:t xml:space="preserve"> </w:t>
      </w:r>
      <w:r w:rsidR="00410E52" w:rsidRPr="00FB60E5">
        <w:t>they were</w:t>
      </w:r>
      <w:r w:rsidRPr="00FB60E5">
        <w:t xml:space="preserve"> associated with better outcomes for a population</w:t>
      </w:r>
      <w:r w:rsidR="00433B1E" w:rsidRPr="00FB60E5">
        <w:t xml:space="preserve"> more heavily involved in the criminal justice/legal system and hence </w:t>
      </w:r>
      <w:r w:rsidRPr="00FB60E5">
        <w:t xml:space="preserve">likely to generate further costs </w:t>
      </w:r>
      <w:r w:rsidR="009B46CF" w:rsidRPr="00FB60E5">
        <w:t>to</w:t>
      </w:r>
      <w:r w:rsidRPr="00FB60E5">
        <w:t xml:space="preserve"> society in terms of recidivism</w:t>
      </w:r>
      <w:r w:rsidR="00433B1E" w:rsidRPr="00FB60E5">
        <w:t>, repeated inca</w:t>
      </w:r>
      <w:r w:rsidR="009B46CF" w:rsidRPr="00FB60E5">
        <w:t>rc</w:t>
      </w:r>
      <w:r w:rsidR="00433B1E" w:rsidRPr="00FB60E5">
        <w:t>eration</w:t>
      </w:r>
      <w:r w:rsidR="009B46CF" w:rsidRPr="00FB60E5">
        <w:t xml:space="preserve"> and</w:t>
      </w:r>
      <w:r w:rsidR="00433B1E" w:rsidRPr="00FB60E5">
        <w:t xml:space="preserve"> high social dysfunction </w:t>
      </w:r>
      <w:r w:rsidRPr="00FB60E5">
        <w:t xml:space="preserve">with </w:t>
      </w:r>
      <w:r w:rsidR="009B46CF" w:rsidRPr="00FB60E5">
        <w:t xml:space="preserve">ongoing </w:t>
      </w:r>
      <w:r w:rsidRPr="00FB60E5">
        <w:t xml:space="preserve">substance </w:t>
      </w:r>
      <w:r w:rsidR="009B46CF" w:rsidRPr="00FB60E5">
        <w:t>dependence</w:t>
      </w:r>
      <w:r w:rsidR="002C27A8">
        <w:t>.</w:t>
      </w:r>
    </w:p>
    <w:p w14:paraId="01D09ED0" w14:textId="77777777" w:rsidR="002C27A8" w:rsidRDefault="00516DA3" w:rsidP="00FB60E5">
      <w:pPr>
        <w:ind w:left="0"/>
      </w:pPr>
      <w:r w:rsidRPr="00FB60E5">
        <w:t>There are key lessons here for Australian treatment services around effective engagement and the building of therapeutic alliances to promote sufficient treatment retention to allow the impact of treatment to be experienced (Simpson, 2004), and to ensure that, in response to a chronic and relapsing condition (O’Brien and McLellan, 1995), there are adequate linkages and pathways from specialist formal settings of treatment to community-based recovery-focussed organisations.</w:t>
      </w:r>
      <w:r w:rsidR="002C27A8">
        <w:t xml:space="preserve"> </w:t>
      </w:r>
      <w:r w:rsidR="00547272" w:rsidRPr="00FB60E5">
        <w:t>It is important that contin</w:t>
      </w:r>
      <w:r w:rsidR="00FC2F89" w:rsidRPr="00FB60E5">
        <w:t xml:space="preserve">ued support includes approaches that </w:t>
      </w:r>
      <w:r w:rsidR="00547272" w:rsidRPr="00FB60E5">
        <w:t xml:space="preserve">are responsive to the client </w:t>
      </w:r>
      <w:r w:rsidR="009A5B3F" w:rsidRPr="00FB60E5">
        <w:t>with the aim of supporting</w:t>
      </w:r>
      <w:r w:rsidR="00547272" w:rsidRPr="00FB60E5">
        <w:t xml:space="preserve"> them </w:t>
      </w:r>
      <w:r w:rsidR="009A5B3F" w:rsidRPr="00FB60E5">
        <w:t>to complete</w:t>
      </w:r>
      <w:r w:rsidR="00547272" w:rsidRPr="00FB60E5">
        <w:t xml:space="preserve"> treatment </w:t>
      </w:r>
      <w:r w:rsidR="009A5B3F" w:rsidRPr="00FB60E5">
        <w:t xml:space="preserve">as well as engaging in </w:t>
      </w:r>
      <w:r w:rsidR="00FC2F89" w:rsidRPr="00FB60E5">
        <w:t xml:space="preserve">ongoing aftercare. </w:t>
      </w:r>
      <w:r w:rsidR="00C6619A" w:rsidRPr="00FB60E5">
        <w:t xml:space="preserve">Previous research has identified scepticism among AOD </w:t>
      </w:r>
      <w:r w:rsidR="00547272" w:rsidRPr="00FB60E5">
        <w:t>specialist</w:t>
      </w:r>
      <w:r w:rsidR="00C6619A" w:rsidRPr="00FB60E5">
        <w:t xml:space="preserve"> workers</w:t>
      </w:r>
      <w:r w:rsidR="00547272" w:rsidRPr="00FB60E5">
        <w:t xml:space="preserve"> on the benefits of m</w:t>
      </w:r>
      <w:r w:rsidR="00C6619A" w:rsidRPr="00FB60E5">
        <w:t>utual</w:t>
      </w:r>
      <w:r w:rsidR="009A5B3F" w:rsidRPr="00FB60E5">
        <w:t xml:space="preserve"> </w:t>
      </w:r>
      <w:r w:rsidR="00C6619A" w:rsidRPr="00FB60E5">
        <w:t>aid</w:t>
      </w:r>
      <w:r w:rsidR="00547272" w:rsidRPr="00FB60E5">
        <w:t xml:space="preserve"> </w:t>
      </w:r>
      <w:r w:rsidR="009A5B3F" w:rsidRPr="00FB60E5">
        <w:t>(</w:t>
      </w:r>
      <w:r w:rsidR="00547272" w:rsidRPr="00FB60E5">
        <w:t>Day et al, 2010; Gaston-Lopez et al, 201</w:t>
      </w:r>
      <w:r w:rsidR="00075673" w:rsidRPr="00FB60E5">
        <w:t>0</w:t>
      </w:r>
      <w:r w:rsidR="00547272" w:rsidRPr="00FB60E5">
        <w:t>)</w:t>
      </w:r>
      <w:r w:rsidR="009A5B3F" w:rsidRPr="00FB60E5">
        <w:t>,</w:t>
      </w:r>
      <w:r w:rsidR="00547272" w:rsidRPr="00FB60E5">
        <w:t xml:space="preserve"> and therefore </w:t>
      </w:r>
      <w:r w:rsidR="009A5B3F" w:rsidRPr="00FB60E5">
        <w:t xml:space="preserve">providing workforce training that </w:t>
      </w:r>
      <w:r w:rsidR="00C6619A" w:rsidRPr="00FB60E5">
        <w:t>o</w:t>
      </w:r>
      <w:r w:rsidR="00A4515C" w:rsidRPr="00FB60E5">
        <w:t>vercom</w:t>
      </w:r>
      <w:r w:rsidR="009A5B3F" w:rsidRPr="00FB60E5">
        <w:t>es</w:t>
      </w:r>
      <w:r w:rsidR="00A4515C" w:rsidRPr="00FB60E5">
        <w:t xml:space="preserve"> </w:t>
      </w:r>
      <w:r w:rsidR="009A5B3F" w:rsidRPr="00FB60E5">
        <w:t xml:space="preserve">worker </w:t>
      </w:r>
      <w:r w:rsidR="00A4515C" w:rsidRPr="00FB60E5">
        <w:t xml:space="preserve">resistance is critical </w:t>
      </w:r>
      <w:r w:rsidR="009A5B3F" w:rsidRPr="00FB60E5">
        <w:t xml:space="preserve">to </w:t>
      </w:r>
      <w:r w:rsidR="00A4515C" w:rsidRPr="00FB60E5">
        <w:t>ensuring effective pathways to ongoing community support</w:t>
      </w:r>
      <w:r w:rsidR="009A5B3F" w:rsidRPr="00FB60E5">
        <w:t xml:space="preserve">. </w:t>
      </w:r>
      <w:r w:rsidR="00B75E62" w:rsidRPr="00FB60E5">
        <w:t>Indeed,</w:t>
      </w:r>
      <w:r w:rsidR="002C27A8">
        <w:t xml:space="preserve"> </w:t>
      </w:r>
      <w:r w:rsidR="00B75E62" w:rsidRPr="00FB60E5">
        <w:t xml:space="preserve">active linkage to peer support has been identified as an effective pathway by international research </w:t>
      </w:r>
      <w:r w:rsidR="009A5B3F" w:rsidRPr="00FB60E5">
        <w:t>(</w:t>
      </w:r>
      <w:proofErr w:type="spellStart"/>
      <w:r w:rsidR="00B75E62" w:rsidRPr="00FB60E5">
        <w:t>Timko</w:t>
      </w:r>
      <w:proofErr w:type="spellEnd"/>
      <w:r w:rsidR="00B75E62" w:rsidRPr="00FB60E5">
        <w:t xml:space="preserve"> et al., 2006; Manning et al., 2012</w:t>
      </w:r>
      <w:r w:rsidR="007B7602" w:rsidRPr="00FB60E5">
        <w:t xml:space="preserve">, </w:t>
      </w:r>
      <w:proofErr w:type="spellStart"/>
      <w:r w:rsidR="007B7602" w:rsidRPr="00FB60E5">
        <w:t>Kaskutas</w:t>
      </w:r>
      <w:proofErr w:type="spellEnd"/>
      <w:r w:rsidR="007B7602" w:rsidRPr="00FB60E5">
        <w:t xml:space="preserve"> et al, 2009</w:t>
      </w:r>
      <w:r w:rsidR="00B75E62" w:rsidRPr="00FB60E5">
        <w:t xml:space="preserve">), and is </w:t>
      </w:r>
      <w:r w:rsidR="009A5B3F" w:rsidRPr="00FB60E5">
        <w:t>considered</w:t>
      </w:r>
      <w:r w:rsidR="00A4515C" w:rsidRPr="00FB60E5">
        <w:t xml:space="preserve"> an important component of an integrated treatment system (White, 2009)</w:t>
      </w:r>
      <w:r w:rsidR="002C27A8">
        <w:t>.</w:t>
      </w:r>
    </w:p>
    <w:p w14:paraId="75C73B06" w14:textId="77777777" w:rsidR="002C27A8" w:rsidRDefault="00516DA3" w:rsidP="00FB60E5">
      <w:pPr>
        <w:ind w:left="0"/>
      </w:pPr>
      <w:r w:rsidRPr="00FB60E5">
        <w:t>The current findings also provide a strong Australian evidence base demonstrating the effectiveness of residential rehabilitation programs</w:t>
      </w:r>
      <w:r w:rsidR="000238A3" w:rsidRPr="00FB60E5">
        <w:t xml:space="preserve"> in reducing substance use</w:t>
      </w:r>
      <w:r w:rsidR="00EE5C01" w:rsidRPr="00FB60E5">
        <w:t>,</w:t>
      </w:r>
      <w:r w:rsidRPr="00FB60E5">
        <w:t xml:space="preserve"> and </w:t>
      </w:r>
      <w:r w:rsidR="00902674" w:rsidRPr="00FB60E5">
        <w:t xml:space="preserve">are </w:t>
      </w:r>
      <w:r w:rsidRPr="00FB60E5">
        <w:t>consistent with a growing international literature that is supportive</w:t>
      </w:r>
      <w:r w:rsidRPr="00FB60E5" w:rsidDel="001B5E4E">
        <w:t xml:space="preserve"> </w:t>
      </w:r>
      <w:r w:rsidRPr="00FB60E5">
        <w:t xml:space="preserve">of </w:t>
      </w:r>
      <w:r w:rsidR="000238A3" w:rsidRPr="00FB60E5">
        <w:t>this treatment modality</w:t>
      </w:r>
      <w:r w:rsidRPr="00FB60E5">
        <w:t xml:space="preserve"> (e</w:t>
      </w:r>
      <w:r w:rsidR="000238A3" w:rsidRPr="00FB60E5">
        <w:t>.</w:t>
      </w:r>
      <w:r w:rsidRPr="00FB60E5">
        <w:t>g</w:t>
      </w:r>
      <w:r w:rsidR="000238A3" w:rsidRPr="00FB60E5">
        <w:t>.</w:t>
      </w:r>
      <w:r w:rsidRPr="00FB60E5">
        <w:t xml:space="preserve"> </w:t>
      </w:r>
      <w:proofErr w:type="spellStart"/>
      <w:r w:rsidR="00225DFE" w:rsidRPr="00FB60E5">
        <w:t>Vanderplasschen</w:t>
      </w:r>
      <w:proofErr w:type="spellEnd"/>
      <w:r w:rsidR="00225DFE" w:rsidRPr="00FB60E5">
        <w:t xml:space="preserve"> et al.,</w:t>
      </w:r>
      <w:r w:rsidRPr="00FB60E5">
        <w:t xml:space="preserve"> 2014). Both MATES and ATOS demonstrated preferential outcomes among clients who had engaged with rehabilitation (</w:t>
      </w:r>
      <w:proofErr w:type="spellStart"/>
      <w:r w:rsidRPr="00FB60E5">
        <w:t>McKetin</w:t>
      </w:r>
      <w:proofErr w:type="spellEnd"/>
      <w:r w:rsidRPr="00FB60E5">
        <w:t xml:space="preserve"> et al</w:t>
      </w:r>
      <w:r w:rsidR="00883313" w:rsidRPr="00FB60E5">
        <w:t>.</w:t>
      </w:r>
      <w:r w:rsidRPr="00FB60E5">
        <w:t xml:space="preserve">, 2012; </w:t>
      </w:r>
      <w:proofErr w:type="spellStart"/>
      <w:r w:rsidR="00EE5C01" w:rsidRPr="00FB60E5">
        <w:t>Teesson</w:t>
      </w:r>
      <w:proofErr w:type="spellEnd"/>
      <w:r w:rsidR="00EE5C01" w:rsidRPr="00FB60E5">
        <w:t xml:space="preserve"> et al., 2008</w:t>
      </w:r>
      <w:r w:rsidRPr="00FB60E5">
        <w:t>). In the UK NTORS outcome study, where residential services were grouped together (</w:t>
      </w:r>
      <w:r w:rsidR="00F35DB0" w:rsidRPr="00FB60E5">
        <w:t>inpatient</w:t>
      </w:r>
      <w:r w:rsidRPr="00FB60E5">
        <w:t xml:space="preserve"> </w:t>
      </w:r>
      <w:r w:rsidR="007B22D2" w:rsidRPr="00FB60E5">
        <w:t>withdrawal</w:t>
      </w:r>
      <w:r w:rsidRPr="00FB60E5">
        <w:t xml:space="preserve"> as well as residential rehabilitation), around </w:t>
      </w:r>
      <w:r w:rsidRPr="00FB60E5">
        <w:lastRenderedPageBreak/>
        <w:t>half of the residential clients maintained abstinence from their primary substance over the subsequent follow-up periods of the study</w:t>
      </w:r>
      <w:r w:rsidR="00FC2F89" w:rsidRPr="00FB60E5">
        <w:t xml:space="preserve"> spanning up to five years</w:t>
      </w:r>
      <w:r w:rsidRPr="00FB60E5">
        <w:t xml:space="preserve">. There is a strong argument from the Pathways study that for </w:t>
      </w:r>
      <w:r w:rsidR="00EE5C01" w:rsidRPr="00FB60E5">
        <w:t xml:space="preserve">complex </w:t>
      </w:r>
      <w:r w:rsidRPr="00FB60E5">
        <w:t>clients</w:t>
      </w:r>
      <w:r w:rsidR="00EE5C01" w:rsidRPr="00FB60E5">
        <w:t>,</w:t>
      </w:r>
      <w:r w:rsidRPr="00FB60E5">
        <w:t xml:space="preserve"> rehabilitation will play a significant role in </w:t>
      </w:r>
      <w:r w:rsidR="00EE5C01" w:rsidRPr="00FB60E5">
        <w:t>their treatment</w:t>
      </w:r>
      <w:r w:rsidRPr="00FB60E5">
        <w:t xml:space="preserve"> and is the modality most likely to help them achieve </w:t>
      </w:r>
      <w:r w:rsidR="00EE5C01" w:rsidRPr="00FB60E5">
        <w:t>abstinence and improved wellbeing.</w:t>
      </w:r>
      <w:r w:rsidRPr="00FB60E5">
        <w:t xml:space="preserve"> This is consistent with both the model of service – clients will go to residential services knowing that they are generally abstinence-oriented – and that, in developmental terms, a period of residential stay can be a sufficient ‘turning point’ in a developmental trajectory (Best, 2014). </w:t>
      </w:r>
      <w:r w:rsidR="00A56D46" w:rsidRPr="00FB60E5">
        <w:t>However given the higher cost of residential rehabilitation, it is importa</w:t>
      </w:r>
      <w:r w:rsidR="00883313" w:rsidRPr="00FB60E5">
        <w:t>nt to identify alternative cost-</w:t>
      </w:r>
      <w:r w:rsidR="00A56D46" w:rsidRPr="00FB60E5">
        <w:t>effective models of care and integration within the community</w:t>
      </w:r>
      <w:r w:rsidR="002C27A8">
        <w:t>.</w:t>
      </w:r>
    </w:p>
    <w:p w14:paraId="653C8E4A" w14:textId="77777777" w:rsidR="002C27A8" w:rsidRDefault="00516DA3" w:rsidP="00FB60E5">
      <w:pPr>
        <w:ind w:left="0"/>
      </w:pPr>
      <w:r w:rsidRPr="00FB60E5">
        <w:t>What the current study did not successfully demonstrate was that integrated treatment across different service types – such as engagement in housing, employment services and other community support services translate</w:t>
      </w:r>
      <w:r w:rsidR="00A56D46" w:rsidRPr="00FB60E5">
        <w:t>s</w:t>
      </w:r>
      <w:r w:rsidRPr="00FB60E5">
        <w:t xml:space="preserve"> into better outcomes. </w:t>
      </w:r>
      <w:r w:rsidR="009B5612" w:rsidRPr="00FB60E5">
        <w:t>However</w:t>
      </w:r>
      <w:r w:rsidR="00EE5C01" w:rsidRPr="00FB60E5">
        <w:t>,</w:t>
      </w:r>
      <w:r w:rsidR="009B5612" w:rsidRPr="00FB60E5">
        <w:t xml:space="preserve"> this </w:t>
      </w:r>
      <w:r w:rsidRPr="00FB60E5">
        <w:t>finding that should be treated with caution as our ability to map the nature, timing and duration of integrated treatment was limited</w:t>
      </w:r>
      <w:r w:rsidR="009B5612" w:rsidRPr="00FB60E5">
        <w:t xml:space="preserve"> and restricted to the </w:t>
      </w:r>
      <w:r w:rsidR="00A56D46" w:rsidRPr="00FB60E5">
        <w:t>year following their PIT</w:t>
      </w:r>
      <w:r w:rsidR="009B5612" w:rsidRPr="00FB60E5">
        <w:t xml:space="preserve">. It is possible that the benefit of engagement in community health and welfare services will influence </w:t>
      </w:r>
      <w:r w:rsidR="00F35F74" w:rsidRPr="00FB60E5">
        <w:t xml:space="preserve">substance use </w:t>
      </w:r>
      <w:r w:rsidR="009B5612" w:rsidRPr="00FB60E5">
        <w:t>outcomes in subsequent years</w:t>
      </w:r>
      <w:r w:rsidR="00EE5C01" w:rsidRPr="00FB60E5">
        <w:t>,</w:t>
      </w:r>
      <w:r w:rsidR="009B5612" w:rsidRPr="00FB60E5">
        <w:t xml:space="preserve"> as </w:t>
      </w:r>
      <w:r w:rsidR="00F3342D" w:rsidRPr="00FB60E5">
        <w:t xml:space="preserve">is supported by </w:t>
      </w:r>
      <w:r w:rsidR="00EE5C01" w:rsidRPr="00FB60E5">
        <w:t xml:space="preserve">US </w:t>
      </w:r>
      <w:r w:rsidR="00F3342D" w:rsidRPr="00FB60E5">
        <w:t>data which demonstrates the effectiveness of a</w:t>
      </w:r>
      <w:r w:rsidR="00EE5C01" w:rsidRPr="00FB60E5">
        <w:t xml:space="preserve"> </w:t>
      </w:r>
      <w:r w:rsidR="009B5612" w:rsidRPr="00FB60E5">
        <w:t>contin</w:t>
      </w:r>
      <w:r w:rsidR="00EE5C01" w:rsidRPr="00FB60E5">
        <w:t>uing</w:t>
      </w:r>
      <w:r w:rsidR="009B5612" w:rsidRPr="00FB60E5">
        <w:t xml:space="preserve"> care </w:t>
      </w:r>
      <w:r w:rsidR="00EE5C01" w:rsidRPr="00FB60E5">
        <w:t xml:space="preserve">model </w:t>
      </w:r>
      <w:r w:rsidR="009B5612" w:rsidRPr="00FB60E5">
        <w:t xml:space="preserve">(involving GP visits, ongoing AOD specialist treatment and support from psychiatric services where needed) </w:t>
      </w:r>
      <w:r w:rsidR="00F3342D" w:rsidRPr="00FB60E5">
        <w:t xml:space="preserve">on substance use outcomes </w:t>
      </w:r>
      <w:r w:rsidR="009B5612" w:rsidRPr="00FB60E5">
        <w:t>at nine years</w:t>
      </w:r>
      <w:r w:rsidR="00EE5C01" w:rsidRPr="00FB60E5">
        <w:t xml:space="preserve"> follow-up</w:t>
      </w:r>
      <w:r w:rsidR="009B5612" w:rsidRPr="00FB60E5">
        <w:t xml:space="preserve"> (Chi </w:t>
      </w:r>
      <w:r w:rsidR="00F35F74" w:rsidRPr="00FB60E5">
        <w:t xml:space="preserve">&amp; </w:t>
      </w:r>
      <w:proofErr w:type="spellStart"/>
      <w:r w:rsidR="00F35F74" w:rsidRPr="00FB60E5">
        <w:t>Weisner</w:t>
      </w:r>
      <w:proofErr w:type="spellEnd"/>
      <w:r w:rsidR="009B5612" w:rsidRPr="00FB60E5">
        <w:t>, 20</w:t>
      </w:r>
      <w:r w:rsidR="00F35F74" w:rsidRPr="00FB60E5">
        <w:t>08)</w:t>
      </w:r>
      <w:r w:rsidR="002C27A8">
        <w:t>.</w:t>
      </w:r>
    </w:p>
    <w:p w14:paraId="260A075B" w14:textId="77777777" w:rsidR="002C27A8" w:rsidRDefault="00516DA3" w:rsidP="00FB60E5">
      <w:pPr>
        <w:ind w:left="0"/>
      </w:pPr>
      <w:r w:rsidRPr="00FB60E5">
        <w:t xml:space="preserve">It is important to note that there were differences in outcomes by </w:t>
      </w:r>
      <w:r w:rsidR="008E37C2" w:rsidRPr="00FB60E5">
        <w:t>PDOC</w:t>
      </w:r>
      <w:r w:rsidRPr="00FB60E5">
        <w:t xml:space="preserve">, with </w:t>
      </w:r>
      <w:r w:rsidR="00657ACA" w:rsidRPr="00FB60E5">
        <w:t>participant</w:t>
      </w:r>
      <w:r w:rsidRPr="00FB60E5">
        <w:t xml:space="preserve">s with alcohol problems showing markedly poorer outcomes. </w:t>
      </w:r>
      <w:r w:rsidR="00E45B4B" w:rsidRPr="00FB60E5">
        <w:t xml:space="preserve">It is likely that characteristics associated with alcohol–dependent </w:t>
      </w:r>
      <w:r w:rsidR="00657ACA" w:rsidRPr="00FB60E5">
        <w:t>individuals</w:t>
      </w:r>
      <w:r w:rsidR="00E45B4B" w:rsidRPr="00FB60E5">
        <w:t xml:space="preserve"> presenting to treatment</w:t>
      </w:r>
      <w:r w:rsidR="00883313" w:rsidRPr="00FB60E5">
        <w:t>,</w:t>
      </w:r>
      <w:r w:rsidR="00E45B4B" w:rsidRPr="00FB60E5">
        <w:t xml:space="preserve"> such as </w:t>
      </w:r>
      <w:r w:rsidR="00F3342D" w:rsidRPr="00FB60E5">
        <w:t xml:space="preserve">them </w:t>
      </w:r>
      <w:r w:rsidR="00E45B4B" w:rsidRPr="00FB60E5">
        <w:t>being older</w:t>
      </w:r>
      <w:r w:rsidR="00F3342D" w:rsidRPr="00FB60E5">
        <w:t xml:space="preserve"> and</w:t>
      </w:r>
      <w:r w:rsidR="00E45B4B" w:rsidRPr="00FB60E5">
        <w:t xml:space="preserve"> </w:t>
      </w:r>
      <w:r w:rsidR="00F3342D" w:rsidRPr="00FB60E5">
        <w:t xml:space="preserve">experiencing alcohol-related </w:t>
      </w:r>
      <w:r w:rsidR="00E45B4B" w:rsidRPr="00FB60E5">
        <w:t>cognitive impairment</w:t>
      </w:r>
      <w:r w:rsidR="00F3342D" w:rsidRPr="00FB60E5">
        <w:t>s</w:t>
      </w:r>
      <w:r w:rsidR="00E45B4B" w:rsidRPr="00FB60E5">
        <w:t xml:space="preserve"> </w:t>
      </w:r>
      <w:r w:rsidR="006D7277" w:rsidRPr="00FB60E5">
        <w:t>(</w:t>
      </w:r>
      <w:proofErr w:type="spellStart"/>
      <w:r w:rsidR="006D7277" w:rsidRPr="00FB60E5">
        <w:t>Stavro</w:t>
      </w:r>
      <w:proofErr w:type="spellEnd"/>
      <w:r w:rsidR="006D7277" w:rsidRPr="00FB60E5">
        <w:t xml:space="preserve"> et al</w:t>
      </w:r>
      <w:r w:rsidR="00883313" w:rsidRPr="00FB60E5">
        <w:t>.,</w:t>
      </w:r>
      <w:r w:rsidR="006D7277" w:rsidRPr="00FB60E5">
        <w:t xml:space="preserve"> </w:t>
      </w:r>
      <w:r w:rsidR="00E45B4B" w:rsidRPr="00FB60E5">
        <w:t>2013)</w:t>
      </w:r>
      <w:r w:rsidR="00F3342D" w:rsidRPr="00FB60E5">
        <w:t>,</w:t>
      </w:r>
      <w:r w:rsidR="00E45B4B" w:rsidRPr="00FB60E5">
        <w:t xml:space="preserve"> as well as the pervasive nature of alcohol and its greater social acceptability relative to</w:t>
      </w:r>
      <w:r w:rsidR="006D7277" w:rsidRPr="00FB60E5">
        <w:t xml:space="preserve"> illicit</w:t>
      </w:r>
      <w:r w:rsidR="00E45B4B" w:rsidRPr="00FB60E5">
        <w:t xml:space="preserve"> drugs</w:t>
      </w:r>
      <w:r w:rsidR="00F3342D" w:rsidRPr="00FB60E5">
        <w:t>,</w:t>
      </w:r>
      <w:r w:rsidR="00E45B4B" w:rsidRPr="00FB60E5">
        <w:t xml:space="preserve"> pose particular challenges for this group.</w:t>
      </w:r>
      <w:r w:rsidR="006D7277" w:rsidRPr="00FB60E5">
        <w:t xml:space="preserve"> </w:t>
      </w:r>
      <w:r w:rsidR="008E37C2" w:rsidRPr="00FB60E5">
        <w:t>Individuals in</w:t>
      </w:r>
      <w:r w:rsidR="004C17BA" w:rsidRPr="00FB60E5">
        <w:t xml:space="preserve"> t</w:t>
      </w:r>
      <w:r w:rsidRPr="00FB60E5">
        <w:t xml:space="preserve">his </w:t>
      </w:r>
      <w:r w:rsidR="006D7277" w:rsidRPr="00FB60E5">
        <w:t xml:space="preserve">group were also significantly higher users </w:t>
      </w:r>
      <w:r w:rsidRPr="00FB60E5">
        <w:t xml:space="preserve">of acute services – a finding supported by the data linkage component of the project, which also showed greater health service utilisation among individuals </w:t>
      </w:r>
      <w:r w:rsidR="00F3342D" w:rsidRPr="00FB60E5">
        <w:t>with alcohol problems</w:t>
      </w:r>
      <w:r w:rsidRPr="00FB60E5">
        <w:t xml:space="preserve">. In spite of this effect, </w:t>
      </w:r>
      <w:r w:rsidR="00657ACA" w:rsidRPr="00FB60E5">
        <w:t>participants</w:t>
      </w:r>
      <w:r w:rsidRPr="00FB60E5">
        <w:t xml:space="preserve"> with a primary alcohol concern did show a more robust benefit from receiving an ‘optimal care pathway’ that involved completion of the </w:t>
      </w:r>
      <w:r w:rsidR="008E37C2" w:rsidRPr="00FB60E5">
        <w:t>index treatment</w:t>
      </w:r>
      <w:r w:rsidRPr="00FB60E5">
        <w:t xml:space="preserve">, continuity of care, adequate engagement with community services and engagement in mutual aid groups. Although the overall gain for </w:t>
      </w:r>
      <w:r w:rsidR="00657ACA" w:rsidRPr="00FB60E5">
        <w:t xml:space="preserve">participants </w:t>
      </w:r>
      <w:r w:rsidRPr="00FB60E5">
        <w:t>with alcohol problems was less consistent than for those with primary drug concerns, those who received an optimal pathway of care demonstrated signi</w:t>
      </w:r>
      <w:r w:rsidR="00342103" w:rsidRPr="00FB60E5">
        <w:t>ficantly greater improvements in terms of abstinence rates</w:t>
      </w:r>
      <w:r w:rsidRPr="00FB60E5">
        <w:t xml:space="preserve"> than those who did not. </w:t>
      </w:r>
      <w:r w:rsidR="00342103" w:rsidRPr="00FB60E5">
        <w:t xml:space="preserve">The findings suggest that individuals </w:t>
      </w:r>
      <w:r w:rsidRPr="00FB60E5">
        <w:t>with primary alcohol concerns require intensive treatment packages to support their treatment journeys and recovery pathways</w:t>
      </w:r>
      <w:r w:rsidR="002C27A8">
        <w:t>.</w:t>
      </w:r>
    </w:p>
    <w:p w14:paraId="38A47563" w14:textId="4F9F1C35" w:rsidR="00F4145F" w:rsidRPr="00FB60E5" w:rsidRDefault="00516DA3" w:rsidP="00FB60E5">
      <w:pPr>
        <w:ind w:left="0"/>
      </w:pPr>
      <w:r w:rsidRPr="00FB60E5">
        <w:t xml:space="preserve">The data demonstrated positive outcomes for </w:t>
      </w:r>
      <w:r w:rsidR="00657ACA" w:rsidRPr="00FB60E5">
        <w:t>participants</w:t>
      </w:r>
      <w:r w:rsidRPr="00FB60E5">
        <w:t xml:space="preserve"> whose primary drug of concern was </w:t>
      </w:r>
      <w:r w:rsidR="008E37C2" w:rsidRPr="00FB60E5">
        <w:t>meth/</w:t>
      </w:r>
      <w:r w:rsidRPr="00FB60E5">
        <w:t xml:space="preserve">amphetamine (mainly methamphetamine). At the follow-up interview, more than one quarter of participants who cited </w:t>
      </w:r>
      <w:r w:rsidR="00087D81" w:rsidRPr="00FB60E5">
        <w:t>meth</w:t>
      </w:r>
      <w:r w:rsidR="00BF5005" w:rsidRPr="00FB60E5">
        <w:t>/</w:t>
      </w:r>
      <w:r w:rsidR="00B473EE" w:rsidRPr="00FB60E5">
        <w:t>amphetamine</w:t>
      </w:r>
      <w:r w:rsidRPr="00FB60E5">
        <w:t xml:space="preserve"> as their </w:t>
      </w:r>
      <w:r w:rsidR="00725504" w:rsidRPr="00FB60E5">
        <w:t>PDOC</w:t>
      </w:r>
      <w:r w:rsidRPr="00FB60E5">
        <w:t xml:space="preserve"> reported no use of the drug since the index treatment. This rate is markedly higher than the 14% reported by </w:t>
      </w:r>
      <w:proofErr w:type="spellStart"/>
      <w:r w:rsidRPr="00FB60E5">
        <w:t>McKetin</w:t>
      </w:r>
      <w:proofErr w:type="spellEnd"/>
      <w:r w:rsidRPr="00FB60E5">
        <w:t xml:space="preserve"> and coll</w:t>
      </w:r>
      <w:r w:rsidR="00D57802" w:rsidRPr="00FB60E5">
        <w:t xml:space="preserve">eagues in 2012, though it was reported </w:t>
      </w:r>
      <w:r w:rsidRPr="00FB60E5">
        <w:t xml:space="preserve">that rehabilitation treatment was associated with elevated rates of abstinence, consistent with the findings of the Pathways study. Given the increasing rates of </w:t>
      </w:r>
      <w:r w:rsidR="00342103" w:rsidRPr="00FB60E5">
        <w:t>meth</w:t>
      </w:r>
      <w:r w:rsidR="00BF5005" w:rsidRPr="00FB60E5">
        <w:t>/</w:t>
      </w:r>
      <w:r w:rsidRPr="00FB60E5">
        <w:t>amphetamine</w:t>
      </w:r>
      <w:r w:rsidR="00342103" w:rsidRPr="00FB60E5">
        <w:t xml:space="preserve"> use</w:t>
      </w:r>
      <w:r w:rsidRPr="00FB60E5">
        <w:t xml:space="preserve"> in Australia, and the public concern around individual and community harms associated with use of this class of drugs, it is encouraging that there are </w:t>
      </w:r>
      <w:r w:rsidR="00145301" w:rsidRPr="00FB60E5">
        <w:t xml:space="preserve">consistently positive findings for </w:t>
      </w:r>
      <w:r w:rsidR="00BF5005" w:rsidRPr="00FB60E5">
        <w:t>meth/</w:t>
      </w:r>
      <w:r w:rsidR="00145301" w:rsidRPr="00FB60E5">
        <w:t xml:space="preserve">amphetamine users, </w:t>
      </w:r>
      <w:r w:rsidR="00145301" w:rsidRPr="00FB60E5">
        <w:lastRenderedPageBreak/>
        <w:t xml:space="preserve">both in terms of abstinence and reduced use. The Australian Crime Commission (2014) reports that as a result of its relative accessibility, affordability and destructive side-effects, methamphetamine (ice) use </w:t>
      </w:r>
      <w:proofErr w:type="gramStart"/>
      <w:r w:rsidR="00145301" w:rsidRPr="00FB60E5">
        <w:t>is</w:t>
      </w:r>
      <w:proofErr w:type="gramEnd"/>
      <w:r w:rsidR="00145301" w:rsidRPr="00FB60E5">
        <w:t xml:space="preserve"> considered a national concern. This suggests the need to assertively promote treatment engagement for this population with stronger marketing around the effectiveness of treatment to the general population.</w:t>
      </w:r>
    </w:p>
    <w:p w14:paraId="7E38405C" w14:textId="77777777" w:rsidR="002C27A8" w:rsidRDefault="00145301" w:rsidP="00FB60E5">
      <w:pPr>
        <w:ind w:left="0"/>
      </w:pPr>
      <w:r w:rsidRPr="00FB60E5">
        <w:t>There is also some evidence from both the qualitative and quantitative phases of the project that</w:t>
      </w:r>
      <w:r w:rsidR="00516DA3" w:rsidRPr="00FB60E5">
        <w:t xml:space="preserve"> one of the key components of an effective treatment model is </w:t>
      </w:r>
      <w:r w:rsidR="00F4145F" w:rsidRPr="00FB60E5">
        <w:t>efficient</w:t>
      </w:r>
      <w:r w:rsidR="00516DA3" w:rsidRPr="00FB60E5">
        <w:t xml:space="preserve"> coordination</w:t>
      </w:r>
      <w:r w:rsidR="00F4145F" w:rsidRPr="00FB60E5">
        <w:t xml:space="preserve"> of service integration</w:t>
      </w:r>
      <w:r w:rsidR="00516DA3" w:rsidRPr="00FB60E5">
        <w:t xml:space="preserve">. While completion of treatment and continuity of care were indicated as key factors in predicting positive outcomes, the qualitative data suggests that this may be linked to ongoing care coordination (in particular in the periods after completion of acute interventions) underpinned by a strong and ongoing therapeutic alliance. The </w:t>
      </w:r>
      <w:r w:rsidR="00657ACA" w:rsidRPr="00FB60E5">
        <w:t xml:space="preserve">cohort </w:t>
      </w:r>
      <w:r w:rsidR="00516DA3" w:rsidRPr="00FB60E5">
        <w:t>in the current study were involved in a diverse</w:t>
      </w:r>
      <w:r w:rsidR="00883313" w:rsidRPr="00FB60E5">
        <w:t>,</w:t>
      </w:r>
      <w:r w:rsidR="00516DA3" w:rsidRPr="00FB60E5">
        <w:t xml:space="preserve"> and at times</w:t>
      </w:r>
      <w:r w:rsidR="00883313" w:rsidRPr="00FB60E5">
        <w:t>,</w:t>
      </w:r>
      <w:r w:rsidR="00516DA3" w:rsidRPr="00FB60E5">
        <w:t xml:space="preserve"> bewildering array of services across the range of helping professions, and our qualitative findings indicate that </w:t>
      </w:r>
      <w:r w:rsidR="00657ACA" w:rsidRPr="00FB60E5">
        <w:t>participants</w:t>
      </w:r>
      <w:r w:rsidR="00516DA3" w:rsidRPr="00FB60E5">
        <w:t xml:space="preserve"> wanted greater support in navigating the system. This is not a counselling role but a coordination one in which the client’s needs are monitored by a care coordinator whose role is to identity and support the client to engage effectively and in a timely manner with the most appropriate services</w:t>
      </w:r>
      <w:r w:rsidR="002C27A8">
        <w:t>.</w:t>
      </w:r>
    </w:p>
    <w:p w14:paraId="27289E8A" w14:textId="77777777" w:rsidR="002C27A8" w:rsidRDefault="00516DA3" w:rsidP="00FB60E5">
      <w:pPr>
        <w:ind w:left="0"/>
      </w:pPr>
      <w:r w:rsidRPr="00FB60E5">
        <w:t>Although the linkage component of the study was conducted in only one state</w:t>
      </w:r>
      <w:r w:rsidR="00883313" w:rsidRPr="00FB60E5">
        <w:t xml:space="preserve"> (Victoria)</w:t>
      </w:r>
      <w:r w:rsidRPr="00FB60E5">
        <w:t xml:space="preserve">, </w:t>
      </w:r>
      <w:r w:rsidR="00F4145F" w:rsidRPr="00FB60E5">
        <w:t xml:space="preserve">it remains </w:t>
      </w:r>
      <w:r w:rsidRPr="00FB60E5">
        <w:t xml:space="preserve">a key strength of the overall study design as it links individual experience and self-report to both objective markers of harm and to the benefits of treatment for a much larger and diverse treatment population – including all clients engaging in AOD treatment over the course of a year. Indeed, consistent with the cohort data, the linkage component identified significant decreases in service utilisation across emergency department (ED) and hospital inpatient settings in the year following treatment engagement. These reductions in acute service use were found across most </w:t>
      </w:r>
      <w:r w:rsidR="00A0703A" w:rsidRPr="00FB60E5">
        <w:t xml:space="preserve">participant </w:t>
      </w:r>
      <w:r w:rsidRPr="00FB60E5">
        <w:t>demographic characteristics, treatment types and drug use characteristics</w:t>
      </w:r>
      <w:r w:rsidR="00FE6018" w:rsidRPr="00FB60E5">
        <w:t xml:space="preserve">, though were most evident among those who had received </w:t>
      </w:r>
      <w:r w:rsidR="00225DFE" w:rsidRPr="00FB60E5">
        <w:t>long-term</w:t>
      </w:r>
      <w:r w:rsidR="00FE6018" w:rsidRPr="00FB60E5">
        <w:t xml:space="preserve"> residential treatment as their PIT</w:t>
      </w:r>
      <w:r w:rsidR="002C27A8">
        <w:t>.</w:t>
      </w:r>
    </w:p>
    <w:p w14:paraId="38A47566" w14:textId="104E4E90" w:rsidR="00766D3F" w:rsidRPr="00FB60E5" w:rsidRDefault="00766D3F" w:rsidP="00FB60E5">
      <w:pPr>
        <w:ind w:left="0"/>
      </w:pPr>
      <w:r w:rsidRPr="00FB60E5">
        <w:t>Among the four subpopulations of AOD clients present</w:t>
      </w:r>
      <w:r w:rsidR="00DF4E2B" w:rsidRPr="00FB60E5">
        <w:t>ing</w:t>
      </w:r>
      <w:r w:rsidRPr="00FB60E5">
        <w:t xml:space="preserve"> with risk factors of </w:t>
      </w:r>
      <w:proofErr w:type="spellStart"/>
      <w:r w:rsidRPr="00FB60E5">
        <w:t>polydrug</w:t>
      </w:r>
      <w:proofErr w:type="spellEnd"/>
      <w:r w:rsidRPr="00FB60E5">
        <w:t xml:space="preserve"> use on entry to AOD treatment, recent injecting drug use history, homeless status on entry into treatment, and forensic status on entry into treatment, overall reductions in ED and hospital utilisation were found following treatment engagement</w:t>
      </w:r>
      <w:r w:rsidR="003A0345" w:rsidRPr="00FB60E5">
        <w:t>. This finding</w:t>
      </w:r>
      <w:r w:rsidR="00A316C8" w:rsidRPr="00FB60E5">
        <w:t xml:space="preserve"> </w:t>
      </w:r>
      <w:r w:rsidRPr="00FB60E5">
        <w:t>suggests that the effects of treatment on improving health and wellbeing, and reducing health system costs are sustained for patients presenting at higher risk of potential harm than the general AOD treatment population. It is important to acknowledge that there were varying levels of reduction of ED and hospital utilisation within these groups when specific treatment, drug use and sociodemographic characteristics were examined, which offers opportunities for consideration of targeted approaches to identify and respond to risk for specific groups within these higher risk populations (refer to data linkage supplementary report for results for the subpopulation analyses).</w:t>
      </w:r>
    </w:p>
    <w:p w14:paraId="4081D04D" w14:textId="77777777" w:rsidR="002C27A8" w:rsidRDefault="00516DA3" w:rsidP="00FB60E5">
      <w:pPr>
        <w:ind w:left="0"/>
      </w:pPr>
      <w:r w:rsidRPr="00FB60E5">
        <w:t xml:space="preserve">ED presentations and hospital admissions with an acute alcohol-related or other drug-related diagnosis decreased in the year following treatment engagement, as did presentations and admissions for a non-AOD-related condition, indicating improvements in both general health and also the experience of acute drug-related harm, such as severe intoxication or overdose. Injury presentations and admissions also decreased following treatment engagement, with larger reductions evident for clients who had been engaged in residential rehabilitation in their index year of treatment. There was stability in ED </w:t>
      </w:r>
      <w:r w:rsidRPr="00FB60E5">
        <w:lastRenderedPageBreak/>
        <w:t xml:space="preserve">presentations and hospital admissions in the year prior to and the year following treatment engagement for alcohol-related chronic conditions, which reflects the </w:t>
      </w:r>
      <w:r w:rsidR="00225DFE" w:rsidRPr="00FB60E5">
        <w:t>long-term</w:t>
      </w:r>
      <w:r w:rsidRPr="00FB60E5">
        <w:t xml:space="preserve"> impacts (both morbidity and mortality) of heavy alcohol consumption even following treatment and reduction or cessation in alcohol use (Lloyd et al</w:t>
      </w:r>
      <w:r w:rsidR="00883313" w:rsidRPr="00FB60E5">
        <w:t>.</w:t>
      </w:r>
      <w:r w:rsidRPr="00FB60E5">
        <w:t>, 2013; Matthews et al</w:t>
      </w:r>
      <w:r w:rsidR="00883313" w:rsidRPr="00FB60E5">
        <w:t>.</w:t>
      </w:r>
      <w:r w:rsidRPr="00FB60E5">
        <w:t>, 2013; Heilbronn et al</w:t>
      </w:r>
      <w:r w:rsidR="00883313" w:rsidRPr="00FB60E5">
        <w:t>.</w:t>
      </w:r>
      <w:r w:rsidRPr="00FB60E5">
        <w:t>, in press)</w:t>
      </w:r>
      <w:r w:rsidR="002C27A8">
        <w:t>.</w:t>
      </w:r>
    </w:p>
    <w:p w14:paraId="38A47568" w14:textId="7BB74292" w:rsidR="00516DA3" w:rsidRPr="00FB60E5" w:rsidRDefault="00516DA3" w:rsidP="00FB60E5">
      <w:pPr>
        <w:ind w:left="0"/>
      </w:pPr>
      <w:r w:rsidRPr="00FB60E5">
        <w:t>It is important to note that many clients were still actively engaged in treatment in the year following the index year, and the full effects of treatment may not have been captured in such a short time between service engagement and the measurement of outcome. Further exploration of client trajectories within and across treatment, health and other systems is necessary at a population level to enable identification of the transitions and outcomes of AOD treatment engagement within and across differing client populations. Below we recommend further waves of data collection to test the longevity of benefits reported here, and there are clear opportunities to supplement and enhance direct patient assessment across multiple waves and through linkage of health and community service system data.</w:t>
      </w:r>
    </w:p>
    <w:p w14:paraId="1BDFBAA6" w14:textId="6FB716A9" w:rsidR="002C27A8" w:rsidRDefault="00516DA3" w:rsidP="00FB60E5">
      <w:pPr>
        <w:ind w:left="0"/>
      </w:pPr>
      <w:r w:rsidRPr="00FB60E5">
        <w:t xml:space="preserve">There are a number of important limitations that must be considered when interpreting the </w:t>
      </w:r>
      <w:r w:rsidR="00FE6018" w:rsidRPr="00FB60E5">
        <w:t xml:space="preserve">findings of the Pathways study. The overarching positive finding that AOD treatment is effective must be interpreted with </w:t>
      </w:r>
      <w:r w:rsidR="00A03F8A" w:rsidRPr="00FB60E5">
        <w:t xml:space="preserve">caution given the absence of a no-treatment control group. </w:t>
      </w:r>
      <w:r w:rsidRPr="00FB60E5">
        <w:t xml:space="preserve">Whilst </w:t>
      </w:r>
      <w:r w:rsidR="009B46CF" w:rsidRPr="00FB60E5">
        <w:t>the Victorian sample of pathways participants were broadly representative of the Victorian treatment population in terms of gender and age and PDOC, they were not representative of the treatment modality due to an over-sampling of residential</w:t>
      </w:r>
      <w:r w:rsidR="003A0345" w:rsidRPr="00FB60E5">
        <w:t xml:space="preserve"> services</w:t>
      </w:r>
      <w:r w:rsidR="009B46CF" w:rsidRPr="00FB60E5">
        <w:t xml:space="preserve"> and an under-sampling of community outpatients. </w:t>
      </w:r>
      <w:r w:rsidR="001B3CBD">
        <w:fldChar w:fldCharType="begin"/>
      </w:r>
      <w:r w:rsidR="001B3CBD">
        <w:instrText xml:space="preserve"> REF _Ref531191662 \h </w:instrText>
      </w:r>
      <w:r w:rsidR="001B3CBD">
        <w:fldChar w:fldCharType="separate"/>
      </w:r>
      <w:r w:rsidR="001B3CBD">
        <w:t xml:space="preserve">Table </w:t>
      </w:r>
      <w:r w:rsidR="001B3CBD">
        <w:rPr>
          <w:noProof/>
        </w:rPr>
        <w:t>2</w:t>
      </w:r>
      <w:r w:rsidR="001B3CBD">
        <w:t>.</w:t>
      </w:r>
      <w:r w:rsidR="001B3CBD">
        <w:rPr>
          <w:noProof/>
        </w:rPr>
        <w:t>1</w:t>
      </w:r>
      <w:r w:rsidR="001B3CBD">
        <w:fldChar w:fldCharType="end"/>
      </w:r>
      <w:r w:rsidR="009B46CF" w:rsidRPr="00FB60E5">
        <w:t xml:space="preserve"> shows the breakdown of treatment type by jurisdiction on the year prior to recruitment. Inpatient withdrawal accounted for 44% of the pathways cohort and yet only 20% of all Victorian and 8% of all WA treatment episodes. Residential rehabilitation accounted for 29% of the pathways cohort and yet only 3% of all Victorian data and 6% of all WA treatment episodes. Outpatient counselling accounted for only 27% of the pathways cohort, but 51% of all Victorian and 63% of all WA treatment episodes. As such, </w:t>
      </w:r>
      <w:r w:rsidRPr="00FB60E5">
        <w:t>those in residential treatment were over-represented</w:t>
      </w:r>
      <w:r w:rsidR="009B46CF" w:rsidRPr="00FB60E5">
        <w:t xml:space="preserve"> in the current sample</w:t>
      </w:r>
      <w:r w:rsidRPr="00FB60E5">
        <w:t xml:space="preserve">, because of their greater accessibility and availability for successful recruitment and completion of baseline interviews. </w:t>
      </w:r>
      <w:r w:rsidR="009B46CF" w:rsidRPr="00FB60E5">
        <w:t>O</w:t>
      </w:r>
      <w:r w:rsidRPr="00FB60E5">
        <w:t xml:space="preserve">utpatient counselling clients who agreed to participate </w:t>
      </w:r>
      <w:r w:rsidR="009B46CF" w:rsidRPr="00FB60E5">
        <w:t xml:space="preserve">and </w:t>
      </w:r>
      <w:r w:rsidRPr="00FB60E5">
        <w:t xml:space="preserve">actually attended the interview appointment may </w:t>
      </w:r>
      <w:r w:rsidR="009B46CF" w:rsidRPr="00FB60E5">
        <w:t xml:space="preserve">also </w:t>
      </w:r>
      <w:r w:rsidRPr="00FB60E5">
        <w:t xml:space="preserve">represent a more </w:t>
      </w:r>
      <w:r w:rsidR="00145301" w:rsidRPr="00FB60E5">
        <w:t>stable end of the spectrum and hence the findings may not be equally representative of the broader treatment-seeking population within each of the modalities</w:t>
      </w:r>
      <w:r w:rsidR="002C27A8">
        <w:t>.</w:t>
      </w:r>
    </w:p>
    <w:p w14:paraId="315494DC" w14:textId="77777777" w:rsidR="002C27A8" w:rsidRDefault="00516DA3" w:rsidP="00FB60E5">
      <w:pPr>
        <w:ind w:left="0"/>
      </w:pPr>
      <w:r w:rsidRPr="00FB60E5">
        <w:t xml:space="preserve">The </w:t>
      </w:r>
      <w:r w:rsidR="003E52DF" w:rsidRPr="00FB60E5">
        <w:t xml:space="preserve">participant </w:t>
      </w:r>
      <w:r w:rsidRPr="00FB60E5">
        <w:t xml:space="preserve">retention rate of just </w:t>
      </w:r>
      <w:proofErr w:type="gramStart"/>
      <w:r w:rsidRPr="00FB60E5">
        <w:t>under</w:t>
      </w:r>
      <w:proofErr w:type="gramEnd"/>
      <w:r w:rsidRPr="00FB60E5">
        <w:t xml:space="preserve"> 70% is acceptable but we have no linkage data for the </w:t>
      </w:r>
      <w:r w:rsidR="003E52DF" w:rsidRPr="00FB60E5">
        <w:t xml:space="preserve">those </w:t>
      </w:r>
      <w:r w:rsidRPr="00FB60E5">
        <w:t xml:space="preserve">who could not be followed up, and consequently, the positive response to treatment engagement may be inflated since it is based only on </w:t>
      </w:r>
      <w:r w:rsidR="003E52DF" w:rsidRPr="00FB60E5">
        <w:t xml:space="preserve">participants </w:t>
      </w:r>
      <w:r w:rsidRPr="00FB60E5">
        <w:t xml:space="preserve">willing to be re-interviewed. A major study limitation is the missed opportunity of consenting </w:t>
      </w:r>
      <w:r w:rsidR="003E52DF" w:rsidRPr="00FB60E5">
        <w:t xml:space="preserve">participants </w:t>
      </w:r>
      <w:r w:rsidRPr="00FB60E5">
        <w:t xml:space="preserve">at intake for linkage of their service utilisation data across systems which would have significantly strengthened the study findings and enabled service engagement pathways to be explored for </w:t>
      </w:r>
      <w:r w:rsidR="003E52DF" w:rsidRPr="00FB60E5">
        <w:t xml:space="preserve">participants </w:t>
      </w:r>
      <w:r w:rsidRPr="00FB60E5">
        <w:t>who could not be followed up, as well as providing detailed information on objective indicators of harm. It was also n</w:t>
      </w:r>
      <w:r w:rsidR="00883313" w:rsidRPr="00FB60E5">
        <w:t xml:space="preserve">ot possible to test the </w:t>
      </w:r>
      <w:r w:rsidR="003E52DF" w:rsidRPr="00FB60E5">
        <w:t>participant</w:t>
      </w:r>
      <w:r w:rsidR="00883313" w:rsidRPr="00FB60E5">
        <w:t>-level findings against system-</w:t>
      </w:r>
      <w:r w:rsidRPr="00FB60E5">
        <w:t>level factors of treatment processes and pathways</w:t>
      </w:r>
      <w:r w:rsidR="002C27A8">
        <w:t>.</w:t>
      </w:r>
    </w:p>
    <w:p w14:paraId="4829D632" w14:textId="77777777" w:rsidR="002C27A8" w:rsidRDefault="00BD2BFC" w:rsidP="00FB60E5">
      <w:pPr>
        <w:ind w:left="0"/>
      </w:pPr>
      <w:r w:rsidRPr="00FB60E5">
        <w:t>A</w:t>
      </w:r>
      <w:r w:rsidR="00F3342D" w:rsidRPr="00FB60E5">
        <w:t xml:space="preserve"> further</w:t>
      </w:r>
      <w:r w:rsidR="00516DA3" w:rsidRPr="00FB60E5">
        <w:t xml:space="preserve"> limitation is that the design and method of the follow-up did not enable us to </w:t>
      </w:r>
      <w:r w:rsidRPr="00FB60E5">
        <w:t>thoroughly examine</w:t>
      </w:r>
      <w:r w:rsidR="00516DA3" w:rsidRPr="00FB60E5">
        <w:t xml:space="preserve"> sequences of service engagement – either prior to baseline or between baseline and follow-up</w:t>
      </w:r>
      <w:r w:rsidR="00F3342D" w:rsidRPr="00FB60E5">
        <w:t>,</w:t>
      </w:r>
      <w:r w:rsidR="00516DA3" w:rsidRPr="00FB60E5">
        <w:t xml:space="preserve"> and so our ability to report on optimal pathways is </w:t>
      </w:r>
      <w:r w:rsidRPr="00FB60E5">
        <w:t xml:space="preserve">somewhat </w:t>
      </w:r>
      <w:r w:rsidR="00516DA3" w:rsidRPr="00FB60E5">
        <w:t>limited. Furthermore</w:t>
      </w:r>
      <w:r w:rsidR="00F3342D" w:rsidRPr="00FB60E5">
        <w:t>,</w:t>
      </w:r>
      <w:r w:rsidR="00516DA3" w:rsidRPr="00FB60E5">
        <w:t xml:space="preserve"> the reliability/accuracy of self-reported data on AOD, community </w:t>
      </w:r>
      <w:r w:rsidR="00516DA3" w:rsidRPr="00FB60E5">
        <w:lastRenderedPageBreak/>
        <w:t xml:space="preserve">health and welfare and acute medical service use over the course of a one-year period is not known and may have been susceptible to recall bias, </w:t>
      </w:r>
      <w:r w:rsidR="00C641F7" w:rsidRPr="00FB60E5">
        <w:t xml:space="preserve">particularly </w:t>
      </w:r>
      <w:r w:rsidR="00516DA3" w:rsidRPr="00FB60E5">
        <w:t>in the qualitative interviews w</w:t>
      </w:r>
      <w:r w:rsidR="00C641F7" w:rsidRPr="00FB60E5">
        <w:t>h</w:t>
      </w:r>
      <w:r w:rsidR="00516DA3" w:rsidRPr="00FB60E5">
        <w:t>ere clients were asked to recall their exper</w:t>
      </w:r>
      <w:r w:rsidR="00EC6F31" w:rsidRPr="00FB60E5">
        <w:t xml:space="preserve">ience over the past two years. </w:t>
      </w:r>
      <w:r w:rsidR="00516DA3" w:rsidRPr="00FB60E5">
        <w:t>Despite intentional sampling of both treatment successes and failures for the qualitative interviews, more than two-thirds of those interviewed reported treatment successes and hence their data could portray a more positive experience of treatment. The question of how to best measure integrated pathways remains outstanding, and will be an important one for future projects of this kind. The high levels of multi-agency engagement in this cohort at both baseline and follow-up would suggest the importance of mapping intensity and sequencing of multi-agency engagement, and there is additional work to be done in this area.</w:t>
      </w:r>
      <w:r w:rsidR="002C27A8">
        <w:t xml:space="preserve"> </w:t>
      </w:r>
      <w:r w:rsidR="00DB55DC" w:rsidRPr="00FB60E5">
        <w:t>One final limitation to highlight was that a standardised measure of mental disorder or symptom</w:t>
      </w:r>
      <w:r w:rsidR="009B46CF" w:rsidRPr="00FB60E5">
        <w:t>atology</w:t>
      </w:r>
      <w:r w:rsidR="00DB55DC" w:rsidRPr="00FB60E5">
        <w:t xml:space="preserve"> was not included in the </w:t>
      </w:r>
      <w:r w:rsidR="00FC746F" w:rsidRPr="00FB60E5">
        <w:t>interview assessmen</w:t>
      </w:r>
      <w:r w:rsidR="009B46CF" w:rsidRPr="00FB60E5">
        <w:t>t</w:t>
      </w:r>
      <w:r w:rsidR="00DB55DC" w:rsidRPr="00FB60E5">
        <w:t xml:space="preserve"> battery. Whilst the WHO-QOL psychological domain served as a proxy measure of poor psychological health</w:t>
      </w:r>
      <w:r w:rsidR="00FC746F" w:rsidRPr="00FB60E5">
        <w:t>, it would have been useful given the high prevalence of co-morbid psychiatric conditions among treatment seeking AOD clients</w:t>
      </w:r>
      <w:r w:rsidR="00EC6F31" w:rsidRPr="00FB60E5">
        <w:t xml:space="preserve"> (</w:t>
      </w:r>
      <w:proofErr w:type="spellStart"/>
      <w:r w:rsidR="00EC6F31" w:rsidRPr="00FB60E5">
        <w:t>Teesson</w:t>
      </w:r>
      <w:proofErr w:type="spellEnd"/>
      <w:r w:rsidR="00EC6F31" w:rsidRPr="00FB60E5">
        <w:t>, Slade, &amp; Mills, 2009)</w:t>
      </w:r>
      <w:r w:rsidR="0039205D" w:rsidRPr="00FB60E5">
        <w:t xml:space="preserve"> </w:t>
      </w:r>
      <w:r w:rsidR="00FC746F" w:rsidRPr="00FB60E5">
        <w:t>to have understood which conditions (e.g</w:t>
      </w:r>
      <w:r w:rsidR="009B46CF" w:rsidRPr="00FB60E5">
        <w:t>.,</w:t>
      </w:r>
      <w:r w:rsidR="00FC746F" w:rsidRPr="00FB60E5">
        <w:t xml:space="preserve"> personality disorder, PTSD, major depression </w:t>
      </w:r>
      <w:proofErr w:type="spellStart"/>
      <w:r w:rsidR="00FC746F" w:rsidRPr="00FB60E5">
        <w:t>etc</w:t>
      </w:r>
      <w:proofErr w:type="spellEnd"/>
      <w:r w:rsidR="00FC746F" w:rsidRPr="00FB60E5">
        <w:t>) were associated with poorer outcomes with</w:t>
      </w:r>
      <w:r w:rsidR="009B46CF" w:rsidRPr="00FB60E5">
        <w:t>in</w:t>
      </w:r>
      <w:r w:rsidR="00FC746F" w:rsidRPr="00FB60E5">
        <w:t xml:space="preserve"> the different treatment pathways</w:t>
      </w:r>
      <w:r w:rsidR="009B46CF" w:rsidRPr="00FB60E5">
        <w:t>.</w:t>
      </w:r>
      <w:r w:rsidR="00FC746F" w:rsidRPr="00FB60E5">
        <w:t xml:space="preserve"> The fact that the presence of unmet need in terms of psychological health (meaning an abnormal </w:t>
      </w:r>
      <w:proofErr w:type="spellStart"/>
      <w:r w:rsidR="00FC746F" w:rsidRPr="00FB60E5">
        <w:t>QoL</w:t>
      </w:r>
      <w:proofErr w:type="spellEnd"/>
      <w:r w:rsidR="00FC746F" w:rsidRPr="00FB60E5">
        <w:t xml:space="preserve"> and not attending mental health services post-PIT) had little influence on outcome may be due to its </w:t>
      </w:r>
      <w:r w:rsidR="001A1C23" w:rsidRPr="00FB60E5">
        <w:t xml:space="preserve">(poor) </w:t>
      </w:r>
      <w:r w:rsidR="00FC746F" w:rsidRPr="00FB60E5">
        <w:t>measurement using this tool</w:t>
      </w:r>
      <w:r w:rsidR="002C27A8">
        <w:t>.</w:t>
      </w:r>
    </w:p>
    <w:p w14:paraId="38A4756C" w14:textId="2DC3B5FF" w:rsidR="007B7602" w:rsidRPr="00FB60E5" w:rsidRDefault="00516DA3" w:rsidP="00FB60E5">
      <w:pPr>
        <w:ind w:left="0"/>
      </w:pPr>
      <w:r w:rsidRPr="00FB60E5">
        <w:t xml:space="preserve">Despite these limitations, the Pathways study constitutes the largest client outcome study undertaken in Australia with a </w:t>
      </w:r>
      <w:r w:rsidR="00C641F7" w:rsidRPr="00FB60E5">
        <w:t>respectable follow-up</w:t>
      </w:r>
      <w:r w:rsidRPr="00FB60E5">
        <w:t xml:space="preserve"> rate. Further</w:t>
      </w:r>
      <w:r w:rsidR="00C641F7" w:rsidRPr="00FB60E5">
        <w:t>,</w:t>
      </w:r>
      <w:r w:rsidRPr="00FB60E5">
        <w:t xml:space="preserve"> the inclusion of a diverse range of treatment-seeking individuals, across different treatment types</w:t>
      </w:r>
      <w:r w:rsidR="00C641F7" w:rsidRPr="00FB60E5">
        <w:t xml:space="preserve"> and</w:t>
      </w:r>
      <w:r w:rsidRPr="00FB60E5">
        <w:t xml:space="preserve"> drugs of concern</w:t>
      </w:r>
      <w:r w:rsidR="00C641F7" w:rsidRPr="00FB60E5">
        <w:t>,</w:t>
      </w:r>
      <w:r w:rsidRPr="00FB60E5">
        <w:t xml:space="preserve"> provides valuable new information that addresses a significant </w:t>
      </w:r>
      <w:r w:rsidR="00C641F7" w:rsidRPr="00FB60E5">
        <w:t xml:space="preserve">evidence </w:t>
      </w:r>
      <w:r w:rsidRPr="00FB60E5">
        <w:t xml:space="preserve">gap within </w:t>
      </w:r>
      <w:r w:rsidR="00C641F7" w:rsidRPr="00FB60E5">
        <w:t xml:space="preserve">the </w:t>
      </w:r>
      <w:r w:rsidRPr="00FB60E5">
        <w:t xml:space="preserve">Australian context. For these reasons, there are significant </w:t>
      </w:r>
      <w:r w:rsidR="00C641F7" w:rsidRPr="00FB60E5">
        <w:t xml:space="preserve">implications for </w:t>
      </w:r>
      <w:r w:rsidR="00883313" w:rsidRPr="00FB60E5">
        <w:t>policy and practice</w:t>
      </w:r>
      <w:r w:rsidRPr="00FB60E5">
        <w:t xml:space="preserve">. </w:t>
      </w:r>
      <w:r w:rsidR="00DF4E2B" w:rsidRPr="00FB60E5">
        <w:t xml:space="preserve">As argued previously by </w:t>
      </w:r>
      <w:proofErr w:type="spellStart"/>
      <w:r w:rsidR="00DF4E2B" w:rsidRPr="00FB60E5">
        <w:t>Babor</w:t>
      </w:r>
      <w:proofErr w:type="spellEnd"/>
      <w:r w:rsidR="00DF4E2B" w:rsidRPr="00FB60E5">
        <w:t xml:space="preserve"> et al. (2010</w:t>
      </w:r>
      <w:r w:rsidR="002F3076" w:rsidRPr="00FB60E5">
        <w:t>, p. 248</w:t>
      </w:r>
      <w:r w:rsidR="00DF4E2B" w:rsidRPr="00FB60E5">
        <w:t>), “</w:t>
      </w:r>
      <w:r w:rsidR="007B7602" w:rsidRPr="00FB60E5">
        <w:t>Policymakers who focus only on decisions about individual service programmes will usually find that they have limited impact on the outcomes they wish to produce. In contrast, policymakers who think and act at a systems level, and do so in light of the emerging evidence based on the nature and impact of systems, have a much greater likelihood of making a significant contribution to ameliorating drug problems at both the individual and population level.”</w:t>
      </w:r>
    </w:p>
    <w:p w14:paraId="5B95698B" w14:textId="77777777" w:rsidR="002C27A8" w:rsidRDefault="00516DA3" w:rsidP="00FB60E5">
      <w:pPr>
        <w:ind w:left="0"/>
      </w:pPr>
      <w:r w:rsidRPr="00FB60E5">
        <w:t xml:space="preserve">Conclusions: The Patient Pathways program of research has been innovative in </w:t>
      </w:r>
      <w:r w:rsidR="00C641F7" w:rsidRPr="00FB60E5">
        <w:t>its adoption of a multi-method</w:t>
      </w:r>
      <w:r w:rsidRPr="00FB60E5">
        <w:t xml:space="preserve"> approach – a systems approach to mapping the structures and processes of specialist AOD treatment and delivery at a jurisdictional level; a cohort study involving recruitment and follow-up of 800 alcohol and drug users in treatment, and supplemented by in-depth qualitative interviews of a sub-sample; and analysis of treatment effectiveness using linked ED presentations and hospital admissions for all individuals engaged in specialist treatment in Victoria over </w:t>
      </w:r>
      <w:r w:rsidR="00883313" w:rsidRPr="00FB60E5">
        <w:t>three</w:t>
      </w:r>
      <w:r w:rsidRPr="00FB60E5">
        <w:t xml:space="preserve"> years. The qualitative and quantitative cohort data and the linkage analysis provide a consistently positive message about treatment effectiveness that demonstrate clear gains in wellbeing, as well as reductions in substance use and acute health service</w:t>
      </w:r>
      <w:r w:rsidRPr="00FB60E5" w:rsidDel="00D74BCB">
        <w:t xml:space="preserve"> </w:t>
      </w:r>
      <w:r w:rsidRPr="00FB60E5">
        <w:t xml:space="preserve">utilisation. This is particularly likely to occur if rehabilitation occurs at some point in the window of analysis, the index treatment is completed, and the individual goes on to engage in mutual aid in the community. The results are particularly encouraging for primary users of amphetamine type stimulants. However, the picture is not universally positive – around half of the sample showed either no or small reductions in their substance use despite ongoing involvement with specialist AOD and other forms of </w:t>
      </w:r>
      <w:r w:rsidRPr="00FB60E5">
        <w:lastRenderedPageBreak/>
        <w:t xml:space="preserve">professional help services. Improvements in employment and housing were limited and there was considerable ongoing utilisation of acute health services. These problems are particularly </w:t>
      </w:r>
      <w:r w:rsidR="00C641F7" w:rsidRPr="00FB60E5">
        <w:t>prevalent among</w:t>
      </w:r>
      <w:r w:rsidRPr="00FB60E5">
        <w:t xml:space="preserve"> </w:t>
      </w:r>
      <w:r w:rsidR="002F3076" w:rsidRPr="00FB60E5">
        <w:t xml:space="preserve">participants </w:t>
      </w:r>
      <w:r w:rsidRPr="00FB60E5">
        <w:t xml:space="preserve">with primary alcohol problems – who benefit most from </w:t>
      </w:r>
      <w:r w:rsidR="00C641F7" w:rsidRPr="00FB60E5">
        <w:t>optimal care pathways</w:t>
      </w:r>
      <w:r w:rsidRPr="00FB60E5">
        <w:t>. Further testing of this and equivalent samples are required, both to test the durability of the positive effects reported and to allow us to refine and develop the underlying conceptual framework</w:t>
      </w:r>
      <w:r w:rsidR="002C27A8">
        <w:t>.</w:t>
      </w:r>
    </w:p>
    <w:p w14:paraId="44AF1852" w14:textId="77777777" w:rsidR="00BB0E5E" w:rsidRDefault="00607AAF" w:rsidP="005D0750">
      <w:pPr>
        <w:pStyle w:val="Heading2"/>
        <w:numPr>
          <w:ilvl w:val="1"/>
          <w:numId w:val="9"/>
        </w:numPr>
      </w:pPr>
      <w:bookmarkStart w:id="303" w:name="_Toc398105057"/>
      <w:bookmarkStart w:id="304" w:name="_Toc531696256"/>
      <w:r w:rsidRPr="00FB60E5">
        <w:t>Recommendations</w:t>
      </w:r>
      <w:bookmarkEnd w:id="303"/>
      <w:bookmarkEnd w:id="304"/>
    </w:p>
    <w:p w14:paraId="38A4756F" w14:textId="5223DBAB" w:rsidR="00422154" w:rsidRPr="00FB60E5" w:rsidRDefault="00422154" w:rsidP="00537743">
      <w:pPr>
        <w:pStyle w:val="Heading3"/>
      </w:pPr>
      <w:r w:rsidRPr="00FB60E5">
        <w:t>Recommendations for promoting treatment and supporting best practice</w:t>
      </w:r>
    </w:p>
    <w:p w14:paraId="315CFF6A" w14:textId="77777777" w:rsidR="002C27A8" w:rsidRDefault="00422154" w:rsidP="00FB60E5">
      <w:pPr>
        <w:ind w:left="0"/>
      </w:pPr>
      <w:r w:rsidRPr="00FB60E5">
        <w:t>Promote the importance and benefit of accessing AOD treatment and strengthen pathways into treatment. Findings from the client survey, qualitative and linkage data illustrate that engagement with AOD treatment significantly reduces problematic substance use, improves quality of life, and reduces utilisation of acute health services. These findings are critically important for promoting clinician and client confidence. Such evidence is also important for inspiring greater optimism about the value of treatment and recovery</w:t>
      </w:r>
      <w:r w:rsidRPr="00FB60E5">
        <w:footnoteReference w:id="7"/>
      </w:r>
      <w:r w:rsidRPr="00FB60E5">
        <w:t xml:space="preserve"> prognoses for affected families and communities, as well as key linked professions and services, such as housing, justice and mental health</w:t>
      </w:r>
      <w:r w:rsidR="002C27A8">
        <w:t>.</w:t>
      </w:r>
    </w:p>
    <w:p w14:paraId="38A47572" w14:textId="61D03D41" w:rsidR="00422154" w:rsidRPr="00FB60E5" w:rsidRDefault="00422154" w:rsidP="00543AF0">
      <w:pPr>
        <w:pStyle w:val="ListParagraph"/>
        <w:numPr>
          <w:ilvl w:val="0"/>
          <w:numId w:val="26"/>
        </w:numPr>
      </w:pPr>
      <w:r w:rsidRPr="00FB60E5">
        <w:t>Promote workforce models that enhance rates of treatment completion.</w:t>
      </w:r>
      <w:r w:rsidR="002C27A8">
        <w:t xml:space="preserve"> </w:t>
      </w:r>
      <w:r w:rsidRPr="00FB60E5">
        <w:t>Given that treatment completion was a robust predictor of client outcomes, emphasis should be placed on promoting ways of building and maintaining the therapeutic alliance. This should include encouraging active client participation in care planning and review, and embedding supervision and quality assurance processes that support effective client engagement and retention in treatment.</w:t>
      </w:r>
    </w:p>
    <w:p w14:paraId="4B29FFEF" w14:textId="42689AC5" w:rsidR="002C27A8" w:rsidRDefault="00422154" w:rsidP="00543AF0">
      <w:pPr>
        <w:pStyle w:val="ListParagraph"/>
        <w:numPr>
          <w:ilvl w:val="0"/>
          <w:numId w:val="26"/>
        </w:numPr>
      </w:pPr>
      <w:r w:rsidRPr="00FB60E5">
        <w:t>Consider structural changes to service delivery that enhance treatment completion and address barriers to help-seeking (e.g., services offered outside business hours, telephone support, etc.). Such approaches would address common barriers to treatment identified in the qualitative interviews</w:t>
      </w:r>
      <w:r w:rsidR="002C27A8">
        <w:t>.</w:t>
      </w:r>
    </w:p>
    <w:p w14:paraId="38A47575" w14:textId="77777777" w:rsidR="00422154" w:rsidRPr="00FB60E5" w:rsidRDefault="00422154" w:rsidP="00537743">
      <w:pPr>
        <w:pStyle w:val="Heading3"/>
      </w:pPr>
      <w:r w:rsidRPr="00FB60E5">
        <w:t>Recommendations for continuity of care</w:t>
      </w:r>
    </w:p>
    <w:p w14:paraId="38A47576" w14:textId="77777777" w:rsidR="00422154" w:rsidRPr="00FB60E5" w:rsidRDefault="00422154" w:rsidP="00543AF0">
      <w:pPr>
        <w:pStyle w:val="ListParagraph"/>
        <w:numPr>
          <w:ilvl w:val="0"/>
          <w:numId w:val="26"/>
        </w:numPr>
      </w:pPr>
      <w:r w:rsidRPr="00FB60E5">
        <w:t>Promote continuity of care. Clients frequently present with complex and severe problems, and with previous experience of the treatment system. However, most funding systems currently focus on discrete, activity-based episodes of care, with little investment in structures to support continuity of care across treatment modalities and over time. In the light of the recently completed Review of the AOD Treatment Service Sector, it is timely to consider funding models that promote continuity and service integration. Funding models should accommodate and promote treatment journeys that involve multiple treatment modalities and greater linkage to follow-up care.</w:t>
      </w:r>
    </w:p>
    <w:p w14:paraId="72701CEF" w14:textId="77777777" w:rsidR="002C27A8" w:rsidRDefault="00422154" w:rsidP="00543AF0">
      <w:pPr>
        <w:pStyle w:val="ListParagraph"/>
        <w:numPr>
          <w:ilvl w:val="0"/>
          <w:numId w:val="26"/>
        </w:numPr>
      </w:pPr>
      <w:r w:rsidRPr="00FB60E5">
        <w:lastRenderedPageBreak/>
        <w:t>Encourage services to engage in assertive follow-up of clients. Supported by the qualitative data, assertive follow-up of clients following treatment promotes continuity and re-engagement with the treatment system when needed. Examples could include introducing a routine telephone follow-up call 4-8 weeks after completing a treatment episode</w:t>
      </w:r>
      <w:r w:rsidR="002C27A8">
        <w:t>.</w:t>
      </w:r>
    </w:p>
    <w:p w14:paraId="38A4757A" w14:textId="77777777" w:rsidR="00422154" w:rsidRPr="00FB60E5" w:rsidRDefault="00422154" w:rsidP="00537743">
      <w:pPr>
        <w:pStyle w:val="Heading3"/>
      </w:pPr>
      <w:r w:rsidRPr="00FB60E5">
        <w:t>Recommendation for accessibility of long-term residential care</w:t>
      </w:r>
    </w:p>
    <w:p w14:paraId="7B095AF2" w14:textId="77777777" w:rsidR="002C27A8" w:rsidRDefault="00422154" w:rsidP="00543AF0">
      <w:pPr>
        <w:pStyle w:val="ListParagraph"/>
        <w:numPr>
          <w:ilvl w:val="0"/>
          <w:numId w:val="26"/>
        </w:numPr>
      </w:pPr>
      <w:r w:rsidRPr="00FB60E5">
        <w:t>Increase availability of rehabilitation places and reduce the waiting list for long-term residential care. Given the evidence from both the client survey and linkage data that better outcomes are achieved among those receiving long-term residential care, it is crucial that funders and specialist service providers recognise the critical role that rehabilitative services play in a comprehensive specialist treatment system, particularly for individuals who have greater levels of complexity. The qualitative findings indicate that long waiting times for access to residential treatment are a key barrier to treatment engagement. It is imperative that such unmet needs are addressed, and that the benefits of residential rehabilitation are promoted among clinicians and clients</w:t>
      </w:r>
      <w:r w:rsidR="002C27A8">
        <w:t>.</w:t>
      </w:r>
    </w:p>
    <w:p w14:paraId="38A4757D" w14:textId="38DA11CC" w:rsidR="00422154" w:rsidRPr="00FB60E5" w:rsidRDefault="00422154" w:rsidP="00537743">
      <w:pPr>
        <w:pStyle w:val="Heading3"/>
      </w:pPr>
      <w:r w:rsidRPr="00FB60E5">
        <w:t>Recom</w:t>
      </w:r>
      <w:r w:rsidR="00543AF0">
        <w:t>mendation for care coordination</w:t>
      </w:r>
    </w:p>
    <w:p w14:paraId="38A4757E" w14:textId="77777777" w:rsidR="00422154" w:rsidRPr="00FB60E5" w:rsidRDefault="00422154" w:rsidP="00543AF0">
      <w:pPr>
        <w:pStyle w:val="ListParagraph"/>
        <w:numPr>
          <w:ilvl w:val="0"/>
          <w:numId w:val="26"/>
        </w:numPr>
      </w:pPr>
      <w:r w:rsidRPr="00FB60E5">
        <w:t>Support care coordination. Linked to the issue of continuity of care, and identified as a key theme in the qualitative interviews, was limited availability of care coordination. Our findings highlight the importance of supporting complex clients effectively transition through the AOD treatment system and engage with relevant health and welfare services when needed, so as to enhance treatment retention and completion. While this role could be performed within agencies, there are opportunities to explore low-cost options such as telephone and online support, provided in every jurisdiction, to assist in both coordinating care and providing a vehicle for long-term engagement and follow-up.</w:t>
      </w:r>
    </w:p>
    <w:p w14:paraId="38A47580" w14:textId="77777777" w:rsidR="00422154" w:rsidRPr="00FB60E5" w:rsidRDefault="00422154" w:rsidP="00537743">
      <w:pPr>
        <w:pStyle w:val="Heading3"/>
      </w:pPr>
      <w:r w:rsidRPr="00FB60E5">
        <w:t>Recommendation for promotion of aftercare and mutual aid/peer support</w:t>
      </w:r>
    </w:p>
    <w:p w14:paraId="38A47581" w14:textId="77777777" w:rsidR="00422154" w:rsidRPr="00FB60E5" w:rsidRDefault="00422154" w:rsidP="00543AF0">
      <w:pPr>
        <w:pStyle w:val="ListParagraph"/>
        <w:numPr>
          <w:ilvl w:val="0"/>
          <w:numId w:val="26"/>
        </w:numPr>
      </w:pPr>
      <w:r w:rsidRPr="00FB60E5">
        <w:t xml:space="preserve">Specialist AOD services should develop and promote interventions and pathways to aftercare such as supportive community groups, including but not restricted to mutual aid groups. This could include assertive linkage to peer support groups, such as 12-step and SMART Recovery, using readily available and evidenced-based models that improve engagement with mutual aid (such as the MAAEZ model developed by </w:t>
      </w:r>
      <w:proofErr w:type="spellStart"/>
      <w:r w:rsidRPr="00FB60E5">
        <w:t>Kaskutas</w:t>
      </w:r>
      <w:proofErr w:type="spellEnd"/>
      <w:r w:rsidRPr="00FB60E5">
        <w:t xml:space="preserve"> and colleagues in the US). Being free and widely available (including online meetings), such support groups can be cost-effective models of aftercare, at least for some clients. Previous research has shown that such approaches require workforce training to support staff to make these initial connections and to develop relationships with mutual aid groups.</w:t>
      </w:r>
    </w:p>
    <w:p w14:paraId="38A47583" w14:textId="77777777" w:rsidR="00422154" w:rsidRPr="00FB60E5" w:rsidRDefault="00422154" w:rsidP="00537743">
      <w:pPr>
        <w:pStyle w:val="Heading3"/>
      </w:pPr>
      <w:r w:rsidRPr="00FB60E5">
        <w:t>Recommendations for treatment intensity and pathways tailored to client characteristics</w:t>
      </w:r>
    </w:p>
    <w:p w14:paraId="38A47584" w14:textId="77777777" w:rsidR="00422154" w:rsidRPr="00FB60E5" w:rsidRDefault="00422154" w:rsidP="00543AF0">
      <w:pPr>
        <w:pStyle w:val="ListParagraph"/>
        <w:numPr>
          <w:ilvl w:val="0"/>
          <w:numId w:val="26"/>
        </w:numPr>
      </w:pPr>
      <w:r w:rsidRPr="00FB60E5">
        <w:t xml:space="preserve">Improve continuity of care and optimal care pathways for alcohol-dependent clients. Clients with a primary alcohol problem were less likely to have good outcomes across all arms of the study, yet benefited the most from having optimal care pathways. </w:t>
      </w:r>
      <w:r w:rsidRPr="00FB60E5">
        <w:lastRenderedPageBreak/>
        <w:t>This suggests more intense treatment is likely to be required for these clients, but also that achieving change is more challenging in a context of high alcohol availability and acceptability. As much as possible, clients should be encouraged to continue engaging in on-going AOD treatment after completion of a treatment episode, make use of appropriate community services and receive on-going support and aftercare (e.g., mutual aid attendance). Efforts to enhance retention and early re-engagement for those who drop out of treatment are likely to improve outcomes with this population, and should be piloted. Investment in public health/community based approaches to reduce consumption and availability also warrant continued investigation so as to support individuals adversely affected by alcohol to reduce their drinking, as well as reducing and preventing alcohol-related problems across the community.</w:t>
      </w:r>
    </w:p>
    <w:p w14:paraId="75334EFC" w14:textId="77777777" w:rsidR="002C27A8" w:rsidRDefault="00422154" w:rsidP="00543AF0">
      <w:pPr>
        <w:pStyle w:val="ListParagraph"/>
        <w:numPr>
          <w:ilvl w:val="0"/>
          <w:numId w:val="26"/>
        </w:numPr>
      </w:pPr>
      <w:r w:rsidRPr="00FB60E5">
        <w:t>Develop mechanisms for the assertive engagement of individuals with problematic meth</w:t>
      </w:r>
      <w:r w:rsidR="00BF5005" w:rsidRPr="00FB60E5">
        <w:t>/</w:t>
      </w:r>
      <w:r w:rsidRPr="00FB60E5">
        <w:t>amphetamine use into treatment. The positive treatment outcomes achieved in this population, combined with the significant community harms accrued by those not in treatment suggests that this group should be actively engaged in treatment. This should include enhancing pathways to treatment through promoting referrals from agencies where these clients typically present (e.g. mental health, primary care and criminal justice services)</w:t>
      </w:r>
      <w:r w:rsidR="002C27A8">
        <w:t>.</w:t>
      </w:r>
    </w:p>
    <w:p w14:paraId="38A47588" w14:textId="77777777" w:rsidR="00422154" w:rsidRPr="00FB60E5" w:rsidRDefault="00422154" w:rsidP="00537743">
      <w:pPr>
        <w:pStyle w:val="Heading3"/>
      </w:pPr>
      <w:r w:rsidRPr="00FB60E5">
        <w:t>Recommendations for future research</w:t>
      </w:r>
    </w:p>
    <w:p w14:paraId="38A47589" w14:textId="21171081" w:rsidR="00422154" w:rsidRPr="00FB60E5" w:rsidRDefault="00A316C8" w:rsidP="00543AF0">
      <w:pPr>
        <w:pStyle w:val="ListParagraph"/>
        <w:numPr>
          <w:ilvl w:val="0"/>
          <w:numId w:val="26"/>
        </w:numPr>
      </w:pPr>
      <w:r w:rsidRPr="00FB60E5">
        <w:t>Extend the use of linkage data, as piloted in Chapter 4. As the ‘Tracking Residential Addiction Clients for Effectiveness Research (TRACER)’ study in the UK has shown, gaining client consent for ongoing linkage work allows the mapping of long-term outcomes while requiring only limited resources, and is an important adjunct to treatment outcome research. Such data are essential for sophisticated outcome monitoring, system planning and mapping of health care and welfare service utilisation to clinical outcomes</w:t>
      </w:r>
      <w:r w:rsidR="00422154" w:rsidRPr="00FB60E5">
        <w:t>.</w:t>
      </w:r>
    </w:p>
    <w:p w14:paraId="38A4758B" w14:textId="7C805FBA" w:rsidR="00422154" w:rsidRPr="00FB60E5" w:rsidRDefault="00422154" w:rsidP="00543AF0">
      <w:pPr>
        <w:pStyle w:val="ListParagraph"/>
        <w:numPr>
          <w:ilvl w:val="0"/>
          <w:numId w:val="26"/>
        </w:numPr>
      </w:pPr>
      <w:r w:rsidRPr="00FB60E5">
        <w:t>Add a health economics dimension to such linkage studies. The linkage data offer an ideal platform for a health economics analysis of the savings associated with treatment engagement and completion by treatment type. The linkage data presented here demonstrate significant benefits in reduced acute health care utilisation, and it would be a key next step to assess its economic impact using both linkage and self-reported outcome data.</w:t>
      </w:r>
    </w:p>
    <w:p w14:paraId="38A4758D" w14:textId="336CE71E" w:rsidR="00422154" w:rsidRPr="00FB60E5" w:rsidRDefault="00422154" w:rsidP="00543AF0">
      <w:pPr>
        <w:pStyle w:val="ListParagraph"/>
        <w:numPr>
          <w:ilvl w:val="0"/>
          <w:numId w:val="26"/>
        </w:numPr>
      </w:pPr>
      <w:r w:rsidRPr="00FB60E5">
        <w:t>Explore longer-term outcomes and pathways following AOD treatment. Given international research highlighting the broader benefits of treatment over time (up to 9 years), it is important that a further wave of follow-up is conducted to effectively measure the full impact of treatment pathways and map trajectories of recovery. Such work is particularly relevant here given that the majority of clients were still engaged with treatment services at the one year follow-up, and the full benefits of treatment engagement are unlikely to have been fully realised.</w:t>
      </w:r>
    </w:p>
    <w:p w14:paraId="31882005" w14:textId="67329280" w:rsidR="002C27A8" w:rsidRDefault="00422154" w:rsidP="00543AF0">
      <w:pPr>
        <w:pStyle w:val="ListParagraph"/>
        <w:numPr>
          <w:ilvl w:val="0"/>
          <w:numId w:val="26"/>
        </w:numPr>
      </w:pPr>
      <w:r w:rsidRPr="00FB60E5">
        <w:t>Ongoing investment in treatment systems research. The present study highlights the importance of treatment systems research that considers the effectiveness of the AOD service sector itself, as well as being an integral component of a broader health and welfare system. Such studies are needed to complement the already well-</w:t>
      </w:r>
      <w:r w:rsidRPr="00FB60E5">
        <w:lastRenderedPageBreak/>
        <w:t>established tradition of controlled studies of particular treatment modalities, which by design tell us little about the influence of context (e.g., setting, funding, workforce) and implementation challenges. Further investment in treatment system research is essential for informing the design of the Australian AOD sector, and identifying the strengths and weaknesses of particular models of care. One opportunity that exists, but is as yet unexplored, is comparing the existing jurisdictional differences in the configuration of the AOD treatment system to inform the most effective system design at a national level. Further research is also needed on how best to support the broader health and welfare system in enhancing client outcomes and reducing societal costs</w:t>
      </w:r>
      <w:r w:rsidR="002C27A8">
        <w:t>.</w:t>
      </w:r>
    </w:p>
    <w:p w14:paraId="38A47591" w14:textId="4134F088" w:rsidR="00D34D43" w:rsidRPr="00FB60E5" w:rsidRDefault="00D34D43" w:rsidP="00543AF0">
      <w:pPr>
        <w:pStyle w:val="Heading1"/>
      </w:pPr>
      <w:bookmarkStart w:id="305" w:name="_Toc398105058"/>
      <w:bookmarkStart w:id="306" w:name="_Toc531696257"/>
      <w:r w:rsidRPr="00FB60E5">
        <w:lastRenderedPageBreak/>
        <w:t>References</w:t>
      </w:r>
      <w:bookmarkEnd w:id="305"/>
      <w:bookmarkEnd w:id="306"/>
    </w:p>
    <w:p w14:paraId="38A47592" w14:textId="77777777" w:rsidR="00225DFE" w:rsidRPr="00FB60E5" w:rsidRDefault="00225DFE" w:rsidP="00FB60E5">
      <w:pPr>
        <w:ind w:left="0"/>
      </w:pPr>
      <w:bookmarkStart w:id="307" w:name="_ENREF_1"/>
      <w:proofErr w:type="gramStart"/>
      <w:r w:rsidRPr="00FB60E5">
        <w:t>AIHW.</w:t>
      </w:r>
      <w:proofErr w:type="gramEnd"/>
      <w:r w:rsidRPr="00FB60E5">
        <w:t xml:space="preserve"> </w:t>
      </w:r>
      <w:proofErr w:type="gramStart"/>
      <w:r w:rsidRPr="00FB60E5">
        <w:t>(2011a). 2010 National Drug Strategy Household Survey report.</w:t>
      </w:r>
      <w:proofErr w:type="gramEnd"/>
      <w:r w:rsidRPr="00FB60E5">
        <w:t xml:space="preserve"> Drug statistics series no. 25. Cat. </w:t>
      </w:r>
      <w:proofErr w:type="gramStart"/>
      <w:r w:rsidRPr="00FB60E5">
        <w:t>no</w:t>
      </w:r>
      <w:proofErr w:type="gramEnd"/>
      <w:r w:rsidRPr="00FB60E5">
        <w:t xml:space="preserve">. </w:t>
      </w:r>
      <w:proofErr w:type="gramStart"/>
      <w:r w:rsidRPr="00FB60E5">
        <w:t>PHE 145.</w:t>
      </w:r>
      <w:proofErr w:type="gramEnd"/>
      <w:r w:rsidRPr="00FB60E5">
        <w:t xml:space="preserve"> Canberra: Australian Institute of Health and Welfare.</w:t>
      </w:r>
      <w:bookmarkEnd w:id="307"/>
    </w:p>
    <w:p w14:paraId="38A47593" w14:textId="77777777" w:rsidR="00225DFE" w:rsidRPr="00FB60E5" w:rsidRDefault="00225DFE" w:rsidP="00FB60E5">
      <w:pPr>
        <w:ind w:left="0"/>
      </w:pPr>
      <w:bookmarkStart w:id="308" w:name="_ENREF_2"/>
      <w:proofErr w:type="gramStart"/>
      <w:r w:rsidRPr="00FB60E5">
        <w:t>AIHW.</w:t>
      </w:r>
      <w:proofErr w:type="gramEnd"/>
      <w:r w:rsidRPr="00FB60E5">
        <w:t xml:space="preserve"> (2011b). Alcohol and other drug treatment services in Australia 2009–2010: report on the National Minimum Data Set. Drug treatment series no. 14. Cat. </w:t>
      </w:r>
      <w:proofErr w:type="gramStart"/>
      <w:r w:rsidRPr="00FB60E5">
        <w:t>no</w:t>
      </w:r>
      <w:proofErr w:type="gramEnd"/>
      <w:r w:rsidRPr="00FB60E5">
        <w:t xml:space="preserve">. </w:t>
      </w:r>
      <w:proofErr w:type="gramStart"/>
      <w:r w:rsidRPr="00FB60E5">
        <w:t>HSE 114.</w:t>
      </w:r>
      <w:proofErr w:type="gramEnd"/>
      <w:r w:rsidRPr="00FB60E5">
        <w:t xml:space="preserve"> Canberra: Australian Institute of Health and Welfare.</w:t>
      </w:r>
      <w:bookmarkEnd w:id="308"/>
    </w:p>
    <w:p w14:paraId="38A47594" w14:textId="77777777" w:rsidR="00225DFE" w:rsidRPr="00FB60E5" w:rsidRDefault="00225DFE" w:rsidP="00FB60E5">
      <w:pPr>
        <w:ind w:left="0"/>
      </w:pPr>
      <w:bookmarkStart w:id="309" w:name="_ENREF_3"/>
      <w:proofErr w:type="gramStart"/>
      <w:r w:rsidRPr="00FB60E5">
        <w:t>AIHW.</w:t>
      </w:r>
      <w:proofErr w:type="gramEnd"/>
      <w:r w:rsidRPr="00FB60E5">
        <w:t xml:space="preserve"> </w:t>
      </w:r>
      <w:proofErr w:type="gramStart"/>
      <w:r w:rsidRPr="00FB60E5">
        <w:t>(2013). Alcohol and other drug treatment services in Australia 2011–12.</w:t>
      </w:r>
      <w:proofErr w:type="gramEnd"/>
      <w:r w:rsidRPr="00FB60E5">
        <w:t xml:space="preserve"> </w:t>
      </w:r>
      <w:proofErr w:type="gramStart"/>
      <w:r w:rsidRPr="00FB60E5">
        <w:t>Drug treatment series 21.</w:t>
      </w:r>
      <w:proofErr w:type="gramEnd"/>
      <w:r w:rsidRPr="00FB60E5">
        <w:t xml:space="preserve"> Cat. </w:t>
      </w:r>
      <w:proofErr w:type="gramStart"/>
      <w:r w:rsidRPr="00FB60E5">
        <w:t>no</w:t>
      </w:r>
      <w:proofErr w:type="gramEnd"/>
      <w:r w:rsidRPr="00FB60E5">
        <w:t>. HSE139. Canberra: AIHW.</w:t>
      </w:r>
      <w:bookmarkEnd w:id="309"/>
    </w:p>
    <w:p w14:paraId="38A47595" w14:textId="77777777" w:rsidR="00263BB3" w:rsidRPr="00FB60E5" w:rsidRDefault="00263BB3" w:rsidP="00FB60E5">
      <w:pPr>
        <w:ind w:left="0"/>
      </w:pPr>
      <w:proofErr w:type="gramStart"/>
      <w:r w:rsidRPr="00FB60E5">
        <w:t>Attkisson, C., &amp; Greenfield, T. (2004).</w:t>
      </w:r>
      <w:proofErr w:type="gramEnd"/>
      <w:r w:rsidRPr="00FB60E5">
        <w:t xml:space="preserve"> The UCSF Client Satisfaction Scales: I. </w:t>
      </w:r>
      <w:proofErr w:type="gramStart"/>
      <w:r w:rsidRPr="00FB60E5">
        <w:t>The</w:t>
      </w:r>
      <w:proofErr w:type="gramEnd"/>
      <w:r w:rsidRPr="00FB60E5">
        <w:t xml:space="preserve"> Client Satisfaction Questionnaire-8. In M. E. </w:t>
      </w:r>
      <w:proofErr w:type="spellStart"/>
      <w:r w:rsidRPr="00FB60E5">
        <w:t>Maruish</w:t>
      </w:r>
      <w:proofErr w:type="spellEnd"/>
      <w:r w:rsidRPr="00FB60E5">
        <w:t xml:space="preserve"> (Ed.), </w:t>
      </w:r>
      <w:proofErr w:type="gramStart"/>
      <w:r w:rsidRPr="00FB60E5">
        <w:t>The</w:t>
      </w:r>
      <w:proofErr w:type="gramEnd"/>
      <w:r w:rsidRPr="00FB60E5">
        <w:t xml:space="preserve"> use of psychological testing for treatment planning and outcomes assessment (3 ed.). Mahwah, NJ, US: Lawrence Erlbaum Associates Publishers.</w:t>
      </w:r>
    </w:p>
    <w:p w14:paraId="6D870FB2" w14:textId="77777777" w:rsidR="002C27A8" w:rsidRDefault="00225DFE" w:rsidP="00FB60E5">
      <w:pPr>
        <w:ind w:left="0"/>
      </w:pPr>
      <w:bookmarkStart w:id="310" w:name="_ENREF_4"/>
      <w:proofErr w:type="spellStart"/>
      <w:proofErr w:type="gramStart"/>
      <w:r w:rsidRPr="00FB60E5">
        <w:t>Babor</w:t>
      </w:r>
      <w:proofErr w:type="spellEnd"/>
      <w:r w:rsidRPr="00FB60E5">
        <w:t xml:space="preserve">, T. F., </w:t>
      </w:r>
      <w:proofErr w:type="spellStart"/>
      <w:r w:rsidRPr="00FB60E5">
        <w:t>Stenius</w:t>
      </w:r>
      <w:proofErr w:type="spellEnd"/>
      <w:r w:rsidRPr="00FB60E5">
        <w:t xml:space="preserve">, K., &amp; </w:t>
      </w:r>
      <w:proofErr w:type="spellStart"/>
      <w:r w:rsidRPr="00FB60E5">
        <w:t>Romelsjo</w:t>
      </w:r>
      <w:proofErr w:type="spellEnd"/>
      <w:r w:rsidRPr="00FB60E5">
        <w:t>, A. (2008).</w:t>
      </w:r>
      <w:proofErr w:type="gramEnd"/>
      <w:r w:rsidRPr="00FB60E5">
        <w:t xml:space="preserve"> Alcohol and drug treatment systems in public health perspective: mediators and moderators of population effects. </w:t>
      </w:r>
      <w:proofErr w:type="gramStart"/>
      <w:r w:rsidRPr="00FB60E5">
        <w:t>International Journal of Methods in Psychiatric Research, 17(1), S50-S59</w:t>
      </w:r>
      <w:bookmarkEnd w:id="310"/>
      <w:r w:rsidR="002C27A8">
        <w:t>.</w:t>
      </w:r>
      <w:proofErr w:type="gramEnd"/>
    </w:p>
    <w:p w14:paraId="38A47597" w14:textId="5AB85AFA" w:rsidR="00225DFE" w:rsidRPr="00FB60E5" w:rsidRDefault="00225DFE" w:rsidP="00FB60E5">
      <w:pPr>
        <w:ind w:left="0"/>
      </w:pPr>
      <w:bookmarkStart w:id="311" w:name="_ENREF_5"/>
      <w:proofErr w:type="spellStart"/>
      <w:proofErr w:type="gramStart"/>
      <w:r w:rsidRPr="00FB60E5">
        <w:t>Begg</w:t>
      </w:r>
      <w:proofErr w:type="spellEnd"/>
      <w:r w:rsidRPr="00FB60E5">
        <w:t xml:space="preserve">, S., </w:t>
      </w:r>
      <w:proofErr w:type="spellStart"/>
      <w:r w:rsidRPr="00FB60E5">
        <w:t>Vos</w:t>
      </w:r>
      <w:proofErr w:type="spellEnd"/>
      <w:r w:rsidRPr="00FB60E5">
        <w:t>, T., Barker, B., Stevenson, C., Stanley, L., &amp; Lopez, A. D. (2007).</w:t>
      </w:r>
      <w:proofErr w:type="gramEnd"/>
      <w:r w:rsidRPr="00FB60E5">
        <w:t xml:space="preserve"> </w:t>
      </w:r>
      <w:proofErr w:type="gramStart"/>
      <w:r w:rsidRPr="00FB60E5">
        <w:t>The burden of disease and injury in Australia 2003.</w:t>
      </w:r>
      <w:proofErr w:type="gramEnd"/>
      <w:r w:rsidRPr="00FB60E5">
        <w:t xml:space="preserve"> Canberra: AIHW.</w:t>
      </w:r>
      <w:bookmarkEnd w:id="311"/>
    </w:p>
    <w:p w14:paraId="38A47598" w14:textId="77777777" w:rsidR="00225DFE" w:rsidRPr="00FB60E5" w:rsidRDefault="00225DFE" w:rsidP="00FB60E5">
      <w:pPr>
        <w:ind w:left="0"/>
      </w:pPr>
      <w:bookmarkStart w:id="312" w:name="_ENREF_6"/>
      <w:proofErr w:type="gramStart"/>
      <w:r w:rsidRPr="00FB60E5">
        <w:t>Best, D. (2014).</w:t>
      </w:r>
      <w:proofErr w:type="gramEnd"/>
      <w:r w:rsidRPr="00FB60E5">
        <w:t xml:space="preserve"> </w:t>
      </w:r>
      <w:proofErr w:type="gramStart"/>
      <w:r w:rsidRPr="00FB60E5">
        <w:t>Strength, support, setbacks and solutions.</w:t>
      </w:r>
      <w:proofErr w:type="gramEnd"/>
      <w:r w:rsidRPr="00FB60E5">
        <w:t xml:space="preserve"> Brighton, East Sussex: </w:t>
      </w:r>
      <w:proofErr w:type="spellStart"/>
      <w:r w:rsidRPr="00FB60E5">
        <w:t>Pavillion</w:t>
      </w:r>
      <w:proofErr w:type="spellEnd"/>
      <w:r w:rsidRPr="00FB60E5">
        <w:t>.</w:t>
      </w:r>
      <w:bookmarkEnd w:id="312"/>
    </w:p>
    <w:p w14:paraId="6094BBBF" w14:textId="77777777" w:rsidR="002C27A8" w:rsidRDefault="00225DFE" w:rsidP="00FB60E5">
      <w:pPr>
        <w:ind w:left="0"/>
      </w:pPr>
      <w:bookmarkStart w:id="313" w:name="_ENREF_7"/>
      <w:r w:rsidRPr="00FB60E5">
        <w:t xml:space="preserve">Best, D., Rome, A., </w:t>
      </w:r>
      <w:proofErr w:type="spellStart"/>
      <w:r w:rsidRPr="00FB60E5">
        <w:t>Hanning</w:t>
      </w:r>
      <w:proofErr w:type="spellEnd"/>
      <w:r w:rsidRPr="00FB60E5">
        <w:t xml:space="preserve">, K., White, W., </w:t>
      </w:r>
      <w:proofErr w:type="spellStart"/>
      <w:r w:rsidRPr="00FB60E5">
        <w:t>Gossop</w:t>
      </w:r>
      <w:proofErr w:type="spellEnd"/>
      <w:r w:rsidRPr="00FB60E5">
        <w:t xml:space="preserve">, M., Taylor, A., &amp; Perkins, A. (2010). Research for recovery: A review of the drugs evidence base. </w:t>
      </w:r>
      <w:proofErr w:type="gramStart"/>
      <w:r w:rsidRPr="00FB60E5">
        <w:t>Scottish Government Social Research</w:t>
      </w:r>
      <w:bookmarkEnd w:id="313"/>
      <w:r w:rsidR="002C27A8">
        <w:t>.</w:t>
      </w:r>
      <w:proofErr w:type="gramEnd"/>
    </w:p>
    <w:p w14:paraId="757D7C6F" w14:textId="77777777" w:rsidR="002C27A8" w:rsidRDefault="00225DFE" w:rsidP="00FB60E5">
      <w:pPr>
        <w:ind w:left="0"/>
      </w:pPr>
      <w:bookmarkStart w:id="314" w:name="_ENREF_8"/>
      <w:proofErr w:type="spellStart"/>
      <w:proofErr w:type="gramStart"/>
      <w:r w:rsidRPr="00FB60E5">
        <w:t>Bodenheimer</w:t>
      </w:r>
      <w:proofErr w:type="spellEnd"/>
      <w:r w:rsidRPr="00FB60E5">
        <w:t xml:space="preserve">, T., Wagner, E., &amp; </w:t>
      </w:r>
      <w:proofErr w:type="spellStart"/>
      <w:r w:rsidRPr="00FB60E5">
        <w:t>Grumbach</w:t>
      </w:r>
      <w:proofErr w:type="spellEnd"/>
      <w:r w:rsidRPr="00FB60E5">
        <w:t>, K. (2002).</w:t>
      </w:r>
      <w:proofErr w:type="gramEnd"/>
      <w:r w:rsidRPr="00FB60E5">
        <w:t xml:space="preserve"> </w:t>
      </w:r>
      <w:proofErr w:type="gramStart"/>
      <w:r w:rsidRPr="00FB60E5">
        <w:t>Improving primary care for patients with chronic illness: The chronic care model.</w:t>
      </w:r>
      <w:proofErr w:type="gramEnd"/>
      <w:r w:rsidRPr="00FB60E5">
        <w:t xml:space="preserve"> JAMA, 288, 1775-1779</w:t>
      </w:r>
      <w:bookmarkEnd w:id="314"/>
      <w:r w:rsidR="002C27A8">
        <w:t>.</w:t>
      </w:r>
    </w:p>
    <w:p w14:paraId="38A4759B" w14:textId="709DEC41" w:rsidR="00A73705" w:rsidRPr="00FB60E5" w:rsidRDefault="00A73705" w:rsidP="00FB60E5">
      <w:pPr>
        <w:ind w:left="0"/>
      </w:pPr>
      <w:proofErr w:type="spellStart"/>
      <w:proofErr w:type="gramStart"/>
      <w:r w:rsidRPr="00FB60E5">
        <w:t>Brohan</w:t>
      </w:r>
      <w:proofErr w:type="spellEnd"/>
      <w:r w:rsidRPr="00FB60E5">
        <w:t>, E., Slade, M., Clement, S., Rose, D., Sartorius, N., &amp; Thornicroft, G. (2011).</w:t>
      </w:r>
      <w:proofErr w:type="gramEnd"/>
      <w:r w:rsidRPr="00FB60E5">
        <w:t xml:space="preserve"> Further development and psychometric validation of the discrimination and stigma scale (DISC-12). </w:t>
      </w:r>
      <w:proofErr w:type="spellStart"/>
      <w:r w:rsidRPr="00FB60E5">
        <w:t>Psychiatrische</w:t>
      </w:r>
      <w:proofErr w:type="spellEnd"/>
      <w:r w:rsidRPr="00FB60E5">
        <w:t xml:space="preserve"> Praxis, 38.</w:t>
      </w:r>
    </w:p>
    <w:p w14:paraId="18ABB523" w14:textId="77777777" w:rsidR="002C27A8" w:rsidRDefault="00225DFE" w:rsidP="00FB60E5">
      <w:pPr>
        <w:ind w:left="0"/>
      </w:pPr>
      <w:bookmarkStart w:id="315" w:name="_ENREF_9"/>
      <w:proofErr w:type="gramStart"/>
      <w:r w:rsidRPr="00FB60E5">
        <w:t xml:space="preserve">Brown, B., O'Grady, K., </w:t>
      </w:r>
      <w:proofErr w:type="spellStart"/>
      <w:r w:rsidRPr="00FB60E5">
        <w:t>Battjes</w:t>
      </w:r>
      <w:proofErr w:type="spellEnd"/>
      <w:r w:rsidRPr="00FB60E5">
        <w:t>, R., &amp; Katz, E. (2004).</w:t>
      </w:r>
      <w:proofErr w:type="gramEnd"/>
      <w:r w:rsidRPr="00FB60E5">
        <w:t xml:space="preserve"> The Community Assessment Inventory - Client views of supports to drug abuse treatment. Journal of Substance Abuse and Treatment 27, 241-251</w:t>
      </w:r>
      <w:bookmarkEnd w:id="315"/>
      <w:r w:rsidR="002C27A8">
        <w:t>.</w:t>
      </w:r>
    </w:p>
    <w:p w14:paraId="292DE3F2" w14:textId="77777777" w:rsidR="002C27A8" w:rsidRDefault="00225DFE" w:rsidP="00FB60E5">
      <w:pPr>
        <w:ind w:left="0"/>
      </w:pPr>
      <w:bookmarkStart w:id="316" w:name="_ENREF_10"/>
      <w:proofErr w:type="gramStart"/>
      <w:r w:rsidRPr="00FB60E5">
        <w:t xml:space="preserve">Burns, T., </w:t>
      </w:r>
      <w:proofErr w:type="spellStart"/>
      <w:r w:rsidRPr="00FB60E5">
        <w:t>Fioritti</w:t>
      </w:r>
      <w:proofErr w:type="spellEnd"/>
      <w:r w:rsidRPr="00FB60E5">
        <w:t xml:space="preserve">, A., Holloway, F., </w:t>
      </w:r>
      <w:proofErr w:type="spellStart"/>
      <w:r w:rsidRPr="00FB60E5">
        <w:t>Malm</w:t>
      </w:r>
      <w:proofErr w:type="spellEnd"/>
      <w:r w:rsidRPr="00FB60E5">
        <w:t xml:space="preserve">, U., &amp; </w:t>
      </w:r>
      <w:proofErr w:type="spellStart"/>
      <w:r w:rsidRPr="00FB60E5">
        <w:t>Rossler</w:t>
      </w:r>
      <w:proofErr w:type="spellEnd"/>
      <w:r w:rsidRPr="00FB60E5">
        <w:t>, W. (2001).</w:t>
      </w:r>
      <w:proofErr w:type="gramEnd"/>
      <w:r w:rsidRPr="00FB60E5">
        <w:t xml:space="preserve"> </w:t>
      </w:r>
      <w:proofErr w:type="gramStart"/>
      <w:r w:rsidRPr="00FB60E5">
        <w:t>Case management and assertive community treatment in Europe.</w:t>
      </w:r>
      <w:proofErr w:type="gramEnd"/>
      <w:r w:rsidRPr="00FB60E5">
        <w:t xml:space="preserve"> </w:t>
      </w:r>
      <w:proofErr w:type="spellStart"/>
      <w:r w:rsidRPr="00FB60E5">
        <w:t>Psychiatr</w:t>
      </w:r>
      <w:proofErr w:type="spellEnd"/>
      <w:r w:rsidRPr="00FB60E5">
        <w:t xml:space="preserve"> </w:t>
      </w:r>
      <w:proofErr w:type="spellStart"/>
      <w:r w:rsidRPr="00FB60E5">
        <w:t>Serv</w:t>
      </w:r>
      <w:proofErr w:type="spellEnd"/>
      <w:r w:rsidRPr="00FB60E5">
        <w:t>, 52(5), 631-636</w:t>
      </w:r>
      <w:bookmarkEnd w:id="316"/>
      <w:r w:rsidR="002C27A8">
        <w:t>.</w:t>
      </w:r>
    </w:p>
    <w:p w14:paraId="38A4759E" w14:textId="22DD91C4" w:rsidR="007918BF" w:rsidRPr="00FB60E5" w:rsidRDefault="007918BF" w:rsidP="00FB60E5">
      <w:pPr>
        <w:ind w:left="0"/>
      </w:pPr>
      <w:proofErr w:type="gramStart"/>
      <w:r w:rsidRPr="00FB60E5">
        <w:t xml:space="preserve">Bush, K., </w:t>
      </w:r>
      <w:proofErr w:type="spellStart"/>
      <w:r w:rsidRPr="00FB60E5">
        <w:t>Kivlahan</w:t>
      </w:r>
      <w:proofErr w:type="spellEnd"/>
      <w:r w:rsidRPr="00FB60E5">
        <w:t xml:space="preserve">, D. R., </w:t>
      </w:r>
      <w:proofErr w:type="spellStart"/>
      <w:r w:rsidRPr="00FB60E5">
        <w:t>McDonell</w:t>
      </w:r>
      <w:proofErr w:type="spellEnd"/>
      <w:r w:rsidRPr="00FB60E5">
        <w:t xml:space="preserve">, M. B., </w:t>
      </w:r>
      <w:proofErr w:type="spellStart"/>
      <w:r w:rsidRPr="00FB60E5">
        <w:t>Fihn</w:t>
      </w:r>
      <w:proofErr w:type="spellEnd"/>
      <w:r w:rsidRPr="00FB60E5">
        <w:t>, S. D., &amp; Bradley, K. A. (1998).</w:t>
      </w:r>
      <w:proofErr w:type="gramEnd"/>
      <w:r w:rsidRPr="00FB60E5">
        <w:t xml:space="preserve"> The AUDIT alcohol consumption questions (AUDIT-C): an effective brief screening test for problem drinking. Ambulatory Care Quality Improvement Project (ACQUIP). Alcohol Use Disorders Identification Test. Arch Intern Med, 158(16), 1789-1795.</w:t>
      </w:r>
    </w:p>
    <w:p w14:paraId="4BA3FC59" w14:textId="77777777" w:rsidR="002C27A8" w:rsidRDefault="00145301" w:rsidP="00FB60E5">
      <w:pPr>
        <w:ind w:left="0"/>
      </w:pPr>
      <w:bookmarkStart w:id="317" w:name="_ENREF_11"/>
      <w:proofErr w:type="gramStart"/>
      <w:r w:rsidRPr="00FB60E5">
        <w:t xml:space="preserve">Chi, F., </w:t>
      </w:r>
      <w:proofErr w:type="spellStart"/>
      <w:r w:rsidRPr="00FB60E5">
        <w:t>Parthasarathy</w:t>
      </w:r>
      <w:proofErr w:type="spellEnd"/>
      <w:r w:rsidRPr="00FB60E5">
        <w:t xml:space="preserve">, S., </w:t>
      </w:r>
      <w:proofErr w:type="spellStart"/>
      <w:r w:rsidRPr="00FB60E5">
        <w:t>Mertens</w:t>
      </w:r>
      <w:proofErr w:type="spellEnd"/>
      <w:r w:rsidRPr="00FB60E5">
        <w:t xml:space="preserve">, J., &amp; </w:t>
      </w:r>
      <w:proofErr w:type="spellStart"/>
      <w:r w:rsidRPr="00FB60E5">
        <w:t>Weisner</w:t>
      </w:r>
      <w:proofErr w:type="spellEnd"/>
      <w:r w:rsidRPr="00FB60E5">
        <w:t>, C. (2011).</w:t>
      </w:r>
      <w:proofErr w:type="gramEnd"/>
      <w:r w:rsidRPr="00FB60E5">
        <w:t xml:space="preserve"> </w:t>
      </w:r>
      <w:r w:rsidR="00225DFE" w:rsidRPr="00FB60E5">
        <w:t xml:space="preserve">Continuing care and long-term substance use outcomes in managed </w:t>
      </w:r>
      <w:proofErr w:type="gramStart"/>
      <w:r w:rsidR="00225DFE" w:rsidRPr="00FB60E5">
        <w:t>care :</w:t>
      </w:r>
      <w:proofErr w:type="gramEnd"/>
      <w:r w:rsidR="00225DFE" w:rsidRPr="00FB60E5">
        <w:t xml:space="preserve"> early evidence for a primary care-based model. Psychiatric Services, 2011, 62, 10, 1194-1200</w:t>
      </w:r>
      <w:bookmarkEnd w:id="317"/>
      <w:r w:rsidR="002C27A8">
        <w:t>.</w:t>
      </w:r>
    </w:p>
    <w:p w14:paraId="32AE76E0" w14:textId="77777777" w:rsidR="002C27A8" w:rsidRDefault="00225DFE" w:rsidP="00FB60E5">
      <w:pPr>
        <w:ind w:left="0"/>
      </w:pPr>
      <w:bookmarkStart w:id="318" w:name="_ENREF_12"/>
      <w:proofErr w:type="gramStart"/>
      <w:r w:rsidRPr="00FB60E5">
        <w:t xml:space="preserve">Chi, F., &amp; </w:t>
      </w:r>
      <w:proofErr w:type="spellStart"/>
      <w:r w:rsidRPr="00FB60E5">
        <w:t>Weisner</w:t>
      </w:r>
      <w:proofErr w:type="spellEnd"/>
      <w:r w:rsidRPr="00FB60E5">
        <w:t>, C. (2008).</w:t>
      </w:r>
      <w:proofErr w:type="gramEnd"/>
      <w:r w:rsidRPr="00FB60E5">
        <w:t xml:space="preserve"> Nine-year psychiatric trajectories and substance use outcomes: An application of the group-based modelling approach. </w:t>
      </w:r>
      <w:proofErr w:type="spellStart"/>
      <w:r w:rsidRPr="00FB60E5">
        <w:t>Eval</w:t>
      </w:r>
      <w:proofErr w:type="spellEnd"/>
      <w:r w:rsidRPr="00FB60E5">
        <w:t xml:space="preserve"> Rev, 32(1), 39-58</w:t>
      </w:r>
      <w:bookmarkEnd w:id="318"/>
      <w:r w:rsidR="002C27A8">
        <w:t>.</w:t>
      </w:r>
    </w:p>
    <w:p w14:paraId="3C00FFAF" w14:textId="77777777" w:rsidR="002C27A8" w:rsidRDefault="002F6DD3" w:rsidP="00FB60E5">
      <w:pPr>
        <w:ind w:left="0"/>
      </w:pPr>
      <w:bookmarkStart w:id="319" w:name="_ENREF_13"/>
      <w:proofErr w:type="gramStart"/>
      <w:r w:rsidRPr="00FB60E5">
        <w:lastRenderedPageBreak/>
        <w:t xml:space="preserve">Cox, G., &amp; </w:t>
      </w:r>
      <w:proofErr w:type="spellStart"/>
      <w:r w:rsidRPr="00FB60E5">
        <w:t>Comiskey</w:t>
      </w:r>
      <w:proofErr w:type="spellEnd"/>
      <w:r w:rsidRPr="00FB60E5">
        <w:t>, C. (2007).</w:t>
      </w:r>
      <w:proofErr w:type="gramEnd"/>
      <w:r w:rsidRPr="00FB60E5">
        <w:t xml:space="preserve"> Characteristics of opiate users presenting for a new treatment episode: Baseline data from the national drug treatment outcome study in Ireland (ROSIE). Drugs: education, prevention and policy, 14(3), 217-230</w:t>
      </w:r>
      <w:r w:rsidR="002C27A8">
        <w:t>.</w:t>
      </w:r>
    </w:p>
    <w:p w14:paraId="2FF48435" w14:textId="77777777" w:rsidR="002C27A8" w:rsidRDefault="00225DFE" w:rsidP="00FB60E5">
      <w:pPr>
        <w:ind w:left="0"/>
      </w:pPr>
      <w:proofErr w:type="spellStart"/>
      <w:proofErr w:type="gramStart"/>
      <w:r w:rsidRPr="00FB60E5">
        <w:t>Darke</w:t>
      </w:r>
      <w:proofErr w:type="spellEnd"/>
      <w:r w:rsidRPr="00FB60E5">
        <w:t xml:space="preserve">, S., Ross, J., &amp; </w:t>
      </w:r>
      <w:proofErr w:type="spellStart"/>
      <w:r w:rsidRPr="00FB60E5">
        <w:t>Teesson</w:t>
      </w:r>
      <w:proofErr w:type="spellEnd"/>
      <w:r w:rsidRPr="00FB60E5">
        <w:t>, M. (2007).</w:t>
      </w:r>
      <w:proofErr w:type="gramEnd"/>
      <w:r w:rsidRPr="00FB60E5">
        <w:t xml:space="preserve"> The Australian Treatment Outcome Study (ATOS): what have we learnt about treatment for heroin dependence? Drug and Alcohol Review, 26(1), 49-54</w:t>
      </w:r>
      <w:bookmarkEnd w:id="319"/>
      <w:r w:rsidR="002C27A8">
        <w:t>.</w:t>
      </w:r>
    </w:p>
    <w:p w14:paraId="075395CD" w14:textId="77777777" w:rsidR="002C27A8" w:rsidRDefault="00225DFE" w:rsidP="00FB60E5">
      <w:pPr>
        <w:ind w:left="0"/>
      </w:pPr>
      <w:bookmarkStart w:id="320" w:name="_ENREF_14"/>
      <w:proofErr w:type="gramStart"/>
      <w:r w:rsidRPr="00FB60E5">
        <w:t xml:space="preserve">Day, E., Gaston, R. L., Furlong, E., </w:t>
      </w:r>
      <w:proofErr w:type="spellStart"/>
      <w:r w:rsidRPr="00FB60E5">
        <w:t>Murali</w:t>
      </w:r>
      <w:proofErr w:type="spellEnd"/>
      <w:r w:rsidRPr="00FB60E5">
        <w:t xml:space="preserve">, V., &amp; </w:t>
      </w:r>
      <w:proofErr w:type="spellStart"/>
      <w:r w:rsidRPr="00FB60E5">
        <w:t>Copello</w:t>
      </w:r>
      <w:proofErr w:type="spellEnd"/>
      <w:r w:rsidRPr="00FB60E5">
        <w:t>, A. (2005).</w:t>
      </w:r>
      <w:proofErr w:type="gramEnd"/>
      <w:r w:rsidRPr="00FB60E5">
        <w:t xml:space="preserve"> UK substance misuse treatment workers' attitudes to twelve-step self-help groups. Substance Abuse Treatment, 29, 321-327</w:t>
      </w:r>
      <w:bookmarkEnd w:id="320"/>
      <w:r w:rsidR="002C27A8">
        <w:t>.</w:t>
      </w:r>
    </w:p>
    <w:p w14:paraId="7D971E0F" w14:textId="77777777" w:rsidR="002C27A8" w:rsidRDefault="00225DFE" w:rsidP="00FB60E5">
      <w:pPr>
        <w:ind w:left="0"/>
      </w:pPr>
      <w:bookmarkStart w:id="321" w:name="_ENREF_15"/>
      <w:proofErr w:type="spellStart"/>
      <w:r w:rsidRPr="00FB60E5">
        <w:t>Delucchi</w:t>
      </w:r>
      <w:proofErr w:type="spellEnd"/>
      <w:r w:rsidRPr="00FB60E5">
        <w:t xml:space="preserve">, K., Kline, S., &amp; </w:t>
      </w:r>
      <w:proofErr w:type="spellStart"/>
      <w:r w:rsidRPr="00FB60E5">
        <w:t>Weisner</w:t>
      </w:r>
      <w:proofErr w:type="spellEnd"/>
      <w:r w:rsidRPr="00FB60E5">
        <w:t>, C. (2012). Remission from alcohol and other drug problem use in public and private treatment samples over seven years. Drug and Alcohol Dependence, 2012, 124, 1-2, 57-62</w:t>
      </w:r>
      <w:bookmarkEnd w:id="321"/>
      <w:r w:rsidR="002C27A8">
        <w:t>.</w:t>
      </w:r>
    </w:p>
    <w:p w14:paraId="36B2C9B9" w14:textId="77777777" w:rsidR="002C27A8" w:rsidRDefault="00225DFE" w:rsidP="00FB60E5">
      <w:pPr>
        <w:ind w:left="0"/>
      </w:pPr>
      <w:bookmarkStart w:id="322" w:name="_ENREF_16"/>
      <w:proofErr w:type="gramStart"/>
      <w:r w:rsidRPr="00FB60E5">
        <w:t>Dennis, M., &amp; Scott, C. K. (2007).</w:t>
      </w:r>
      <w:proofErr w:type="gramEnd"/>
      <w:r w:rsidRPr="00FB60E5">
        <w:t xml:space="preserve"> </w:t>
      </w:r>
      <w:proofErr w:type="gramStart"/>
      <w:r w:rsidRPr="00FB60E5">
        <w:t>Managing addiction as a chronic condition.</w:t>
      </w:r>
      <w:proofErr w:type="gramEnd"/>
      <w:r w:rsidRPr="00FB60E5">
        <w:t xml:space="preserve"> Addict </w:t>
      </w:r>
      <w:proofErr w:type="spellStart"/>
      <w:r w:rsidRPr="00FB60E5">
        <w:t>Sci</w:t>
      </w:r>
      <w:proofErr w:type="spellEnd"/>
      <w:r w:rsidRPr="00FB60E5">
        <w:t xml:space="preserve"> </w:t>
      </w:r>
      <w:proofErr w:type="spellStart"/>
      <w:r w:rsidRPr="00FB60E5">
        <w:t>Clin</w:t>
      </w:r>
      <w:proofErr w:type="spellEnd"/>
      <w:r w:rsidRPr="00FB60E5">
        <w:t xml:space="preserve"> </w:t>
      </w:r>
      <w:proofErr w:type="spellStart"/>
      <w:r w:rsidRPr="00FB60E5">
        <w:t>Pract</w:t>
      </w:r>
      <w:proofErr w:type="spellEnd"/>
      <w:r w:rsidRPr="00FB60E5">
        <w:t>, 4(1), 45-55</w:t>
      </w:r>
      <w:bookmarkEnd w:id="322"/>
      <w:r w:rsidR="002C27A8">
        <w:t>.</w:t>
      </w:r>
    </w:p>
    <w:p w14:paraId="38A475A6" w14:textId="5157F730" w:rsidR="00225DFE" w:rsidRPr="00FB60E5" w:rsidRDefault="00225DFE" w:rsidP="00FB60E5">
      <w:pPr>
        <w:ind w:left="0"/>
      </w:pPr>
      <w:bookmarkStart w:id="323" w:name="_ENREF_17"/>
      <w:proofErr w:type="gramStart"/>
      <w:r w:rsidRPr="00FB60E5">
        <w:t>Department of Health.</w:t>
      </w:r>
      <w:proofErr w:type="gramEnd"/>
      <w:r w:rsidRPr="00FB60E5">
        <w:t xml:space="preserve"> (2012). </w:t>
      </w:r>
      <w:proofErr w:type="gramStart"/>
      <w:r w:rsidRPr="00FB60E5">
        <w:t>New</w:t>
      </w:r>
      <w:proofErr w:type="gramEnd"/>
      <w:r w:rsidRPr="00FB60E5">
        <w:t xml:space="preserve"> directions for alcohol and drug treatment services: A roadmap. Melbourne: State of Victoria, Department of Health.</w:t>
      </w:r>
      <w:bookmarkEnd w:id="323"/>
    </w:p>
    <w:p w14:paraId="38A475A7" w14:textId="77777777" w:rsidR="00225DFE" w:rsidRPr="00FB60E5" w:rsidRDefault="00225DFE" w:rsidP="00FB60E5">
      <w:pPr>
        <w:ind w:left="0"/>
      </w:pPr>
      <w:bookmarkStart w:id="324" w:name="_ENREF_18"/>
      <w:proofErr w:type="spellStart"/>
      <w:proofErr w:type="gramStart"/>
      <w:r w:rsidRPr="00FB60E5">
        <w:t>Donmall</w:t>
      </w:r>
      <w:proofErr w:type="spellEnd"/>
      <w:r w:rsidRPr="00FB60E5">
        <w:t>, M., Jones, A., Davies, L., &amp; Barnard, M. (2009).</w:t>
      </w:r>
      <w:proofErr w:type="gramEnd"/>
      <w:r w:rsidRPr="00FB60E5">
        <w:t xml:space="preserve"> Summary of key findings from the Drug Treatment Outcomes Research Study (DTORS) Research report 23. London: Home office.</w:t>
      </w:r>
      <w:bookmarkEnd w:id="324"/>
    </w:p>
    <w:p w14:paraId="7B5572A2" w14:textId="77777777" w:rsidR="002C27A8" w:rsidRDefault="00225DFE" w:rsidP="00FB60E5">
      <w:pPr>
        <w:ind w:left="0"/>
      </w:pPr>
      <w:bookmarkStart w:id="325" w:name="_ENREF_19"/>
      <w:proofErr w:type="gramStart"/>
      <w:r w:rsidRPr="00FB60E5">
        <w:t>Gaston, R. L., Best, D., Day, E., &amp; White, W. (2010).</w:t>
      </w:r>
      <w:proofErr w:type="gramEnd"/>
      <w:r w:rsidRPr="00FB60E5">
        <w:t xml:space="preserve"> Perceptions of 12-step interventions among UK substance misuse patients attending residential </w:t>
      </w:r>
      <w:r w:rsidR="00F35DB0" w:rsidRPr="00FB60E5">
        <w:t>inpatient</w:t>
      </w:r>
      <w:r w:rsidRPr="00FB60E5">
        <w:t xml:space="preserve"> treatment in a UK treatment setting. Groups in Addiction &amp; Recovery, 5, 306-323</w:t>
      </w:r>
      <w:bookmarkEnd w:id="325"/>
      <w:r w:rsidR="002C27A8">
        <w:t>.</w:t>
      </w:r>
    </w:p>
    <w:p w14:paraId="05B863E0" w14:textId="77777777" w:rsidR="002C27A8" w:rsidRDefault="00225DFE" w:rsidP="00FB60E5">
      <w:pPr>
        <w:ind w:left="0"/>
      </w:pPr>
      <w:bookmarkStart w:id="326" w:name="_ENREF_20"/>
      <w:proofErr w:type="spellStart"/>
      <w:proofErr w:type="gramStart"/>
      <w:r w:rsidRPr="00FB60E5">
        <w:t>Gossop</w:t>
      </w:r>
      <w:proofErr w:type="spellEnd"/>
      <w:r w:rsidRPr="00FB60E5">
        <w:t xml:space="preserve">, M., </w:t>
      </w:r>
      <w:proofErr w:type="spellStart"/>
      <w:r w:rsidRPr="00FB60E5">
        <w:t>Darke</w:t>
      </w:r>
      <w:proofErr w:type="spellEnd"/>
      <w:r w:rsidRPr="00FB60E5">
        <w:t xml:space="preserve">, S., Griffiths, P., Hando, J., </w:t>
      </w:r>
      <w:proofErr w:type="spellStart"/>
      <w:r w:rsidRPr="00FB60E5">
        <w:t>Powis</w:t>
      </w:r>
      <w:proofErr w:type="spellEnd"/>
      <w:r w:rsidRPr="00FB60E5">
        <w:t xml:space="preserve">, B., Hall, W., &amp; </w:t>
      </w:r>
      <w:proofErr w:type="spellStart"/>
      <w:r w:rsidRPr="00FB60E5">
        <w:t>Strang</w:t>
      </w:r>
      <w:proofErr w:type="spellEnd"/>
      <w:r w:rsidRPr="00FB60E5">
        <w:t>, J. (1995).</w:t>
      </w:r>
      <w:proofErr w:type="gramEnd"/>
      <w:r w:rsidRPr="00FB60E5">
        <w:t xml:space="preserve"> The Severity of Dependence Scale: psychometric properties in English and Australian samples of heroin, cocaine and amphetamine users. Addiction, 90(5), 607-614</w:t>
      </w:r>
      <w:bookmarkEnd w:id="326"/>
      <w:r w:rsidR="002C27A8">
        <w:t>.</w:t>
      </w:r>
    </w:p>
    <w:p w14:paraId="2B251E87" w14:textId="77777777" w:rsidR="002C27A8" w:rsidRDefault="00225DFE" w:rsidP="00FB60E5">
      <w:pPr>
        <w:ind w:left="0"/>
      </w:pPr>
      <w:bookmarkStart w:id="327" w:name="_ENREF_21"/>
      <w:proofErr w:type="spellStart"/>
      <w:proofErr w:type="gramStart"/>
      <w:r w:rsidRPr="00FB60E5">
        <w:t>Gossop</w:t>
      </w:r>
      <w:proofErr w:type="spellEnd"/>
      <w:r w:rsidRPr="00FB60E5">
        <w:t>, M., Marsden, J., Stewart, D., &amp; Rolfe, A. (2000).</w:t>
      </w:r>
      <w:proofErr w:type="gramEnd"/>
      <w:r w:rsidRPr="00FB60E5">
        <w:t xml:space="preserve"> Reductions in acquisitive crime and drug use after treatment of addiction problems: one year follow-up outcomes. Drug and Alcohol Dependence, 58, 165-172</w:t>
      </w:r>
      <w:bookmarkEnd w:id="327"/>
      <w:r w:rsidR="002C27A8">
        <w:t>.</w:t>
      </w:r>
    </w:p>
    <w:p w14:paraId="1B204D85" w14:textId="77777777" w:rsidR="002C27A8" w:rsidRDefault="00225DFE" w:rsidP="00FB60E5">
      <w:pPr>
        <w:ind w:left="0"/>
      </w:pPr>
      <w:bookmarkStart w:id="328" w:name="_ENREF_22"/>
      <w:proofErr w:type="spellStart"/>
      <w:r w:rsidRPr="00FB60E5">
        <w:t>Gossop</w:t>
      </w:r>
      <w:proofErr w:type="spellEnd"/>
      <w:r w:rsidRPr="00FB60E5">
        <w:t xml:space="preserve">, M., Marsden, J., Stewart, D., &amp; </w:t>
      </w:r>
      <w:proofErr w:type="spellStart"/>
      <w:r w:rsidRPr="00FB60E5">
        <w:t>Treacy</w:t>
      </w:r>
      <w:proofErr w:type="spellEnd"/>
      <w:r w:rsidRPr="00FB60E5">
        <w:t>, S. (2001). Outcomes after methadone maintenance and methadone reduction treatments: two year follow-up results from the National Treatment Outcome Research Study. Drug and Alcohol Dependence, 62(3), 255-264</w:t>
      </w:r>
      <w:bookmarkEnd w:id="328"/>
      <w:r w:rsidR="002C27A8">
        <w:t>.</w:t>
      </w:r>
    </w:p>
    <w:p w14:paraId="38A475AC" w14:textId="157DEE01" w:rsidR="00B249AF" w:rsidRPr="00FB60E5" w:rsidRDefault="00B249AF" w:rsidP="00FB60E5">
      <w:pPr>
        <w:ind w:left="0"/>
      </w:pPr>
      <w:proofErr w:type="gramStart"/>
      <w:r w:rsidRPr="00FB60E5">
        <w:t xml:space="preserve">Hawthorne, G., </w:t>
      </w:r>
      <w:proofErr w:type="spellStart"/>
      <w:r w:rsidRPr="00FB60E5">
        <w:t>Herrman</w:t>
      </w:r>
      <w:proofErr w:type="spellEnd"/>
      <w:r w:rsidRPr="00FB60E5">
        <w:t>, H., &amp; Murphy, B. (2006).</w:t>
      </w:r>
      <w:proofErr w:type="gramEnd"/>
      <w:r w:rsidRPr="00FB60E5">
        <w:t xml:space="preserve"> </w:t>
      </w:r>
      <w:proofErr w:type="gramStart"/>
      <w:r w:rsidRPr="00FB60E5">
        <w:t>Interpreting the WHOQOL-</w:t>
      </w:r>
      <w:proofErr w:type="spellStart"/>
      <w:r w:rsidRPr="00FB60E5">
        <w:t>Brèf</w:t>
      </w:r>
      <w:proofErr w:type="spellEnd"/>
      <w:r w:rsidRPr="00FB60E5">
        <w:t>: Preliminary Population Norms and Effect Sizes.</w:t>
      </w:r>
      <w:proofErr w:type="gramEnd"/>
      <w:r w:rsidRPr="00FB60E5">
        <w:t xml:space="preserve"> Social Indicators Research, 77(1), 37-59.</w:t>
      </w:r>
    </w:p>
    <w:p w14:paraId="38A475AD" w14:textId="77777777" w:rsidR="00225DFE" w:rsidRPr="00FB60E5" w:rsidRDefault="00225DFE" w:rsidP="00FB60E5">
      <w:pPr>
        <w:ind w:left="0"/>
      </w:pPr>
      <w:bookmarkStart w:id="329" w:name="_ENREF_23"/>
      <w:proofErr w:type="gramStart"/>
      <w:r w:rsidRPr="00FB60E5">
        <w:t>Heilbronn, C., Matthews, S., &amp; Lloyd, B. (in press).</w:t>
      </w:r>
      <w:proofErr w:type="gramEnd"/>
      <w:r w:rsidRPr="00FB60E5">
        <w:t xml:space="preserve"> Social determinants, drinking and chronic disease: The role of social determinants of health in alcohol consumption and alcohol related chronic disease in Victoria. Fitzroy, Victoria: Turning Point.</w:t>
      </w:r>
      <w:bookmarkEnd w:id="329"/>
    </w:p>
    <w:p w14:paraId="06BAE9CA" w14:textId="77777777" w:rsidR="002C27A8" w:rsidRDefault="00225DFE" w:rsidP="00FB60E5">
      <w:pPr>
        <w:ind w:left="0"/>
      </w:pPr>
      <w:bookmarkStart w:id="330" w:name="_ENREF_24"/>
      <w:proofErr w:type="gramStart"/>
      <w:r w:rsidRPr="00FB60E5">
        <w:t xml:space="preserve">Hesse, M., </w:t>
      </w:r>
      <w:proofErr w:type="spellStart"/>
      <w:r w:rsidRPr="00FB60E5">
        <w:t>Vanderplasschen</w:t>
      </w:r>
      <w:proofErr w:type="spellEnd"/>
      <w:r w:rsidRPr="00FB60E5">
        <w:t xml:space="preserve">, W., Rapp, R., </w:t>
      </w:r>
      <w:proofErr w:type="spellStart"/>
      <w:r w:rsidRPr="00FB60E5">
        <w:t>Broekaert</w:t>
      </w:r>
      <w:proofErr w:type="spellEnd"/>
      <w:r w:rsidRPr="00FB60E5">
        <w:t xml:space="preserve">, E., &amp; </w:t>
      </w:r>
      <w:proofErr w:type="spellStart"/>
      <w:r w:rsidRPr="00FB60E5">
        <w:t>Fridell</w:t>
      </w:r>
      <w:proofErr w:type="spellEnd"/>
      <w:r w:rsidRPr="00FB60E5">
        <w:t>, M. (2007).</w:t>
      </w:r>
      <w:proofErr w:type="gramEnd"/>
      <w:r w:rsidRPr="00FB60E5">
        <w:t xml:space="preserve"> Case management for persons with substance use disorders. Cochrane Database of Systematic Reviews, 2007(4:CD006265)</w:t>
      </w:r>
      <w:bookmarkEnd w:id="330"/>
      <w:r w:rsidR="002C27A8">
        <w:t>.</w:t>
      </w:r>
    </w:p>
    <w:p w14:paraId="38A475AF" w14:textId="18260C84" w:rsidR="00246A73" w:rsidRPr="00FB60E5" w:rsidRDefault="00246A73" w:rsidP="00FB60E5">
      <w:pPr>
        <w:ind w:left="0"/>
      </w:pPr>
      <w:proofErr w:type="gramStart"/>
      <w:r w:rsidRPr="00FB60E5">
        <w:lastRenderedPageBreak/>
        <w:t xml:space="preserve">Institute of </w:t>
      </w:r>
      <w:proofErr w:type="spellStart"/>
      <w:r w:rsidRPr="00FB60E5">
        <w:t>Behavioral</w:t>
      </w:r>
      <w:proofErr w:type="spellEnd"/>
      <w:r w:rsidRPr="00FB60E5">
        <w:t xml:space="preserve"> Research.</w:t>
      </w:r>
      <w:proofErr w:type="gramEnd"/>
      <w:r w:rsidRPr="00FB60E5">
        <w:t xml:space="preserve"> </w:t>
      </w:r>
      <w:proofErr w:type="gramStart"/>
      <w:r w:rsidRPr="00FB60E5">
        <w:t xml:space="preserve">(2008). TCU </w:t>
      </w:r>
      <w:proofErr w:type="spellStart"/>
      <w:r w:rsidRPr="00FB60E5">
        <w:t>MOTForm</w:t>
      </w:r>
      <w:proofErr w:type="spellEnd"/>
      <w:r w:rsidRPr="00FB60E5">
        <w:t xml:space="preserve"> scales and item scoring guide.</w:t>
      </w:r>
      <w:proofErr w:type="gramEnd"/>
      <w:r w:rsidRPr="00FB60E5">
        <w:t xml:space="preserve"> </w:t>
      </w:r>
      <w:proofErr w:type="gramStart"/>
      <w:r w:rsidRPr="00FB60E5">
        <w:t>Retrieved from http://www.ibr.tcu.edu/pubs/datacoll/Forms/adc-MOTsg.pdf: Texas Christian University.</w:t>
      </w:r>
      <w:proofErr w:type="gramEnd"/>
    </w:p>
    <w:p w14:paraId="18398EFC" w14:textId="77777777" w:rsidR="002C27A8" w:rsidRDefault="00225DFE" w:rsidP="00FB60E5">
      <w:pPr>
        <w:ind w:left="0"/>
      </w:pPr>
      <w:bookmarkStart w:id="331" w:name="_ENREF_25"/>
      <w:proofErr w:type="spellStart"/>
      <w:r w:rsidRPr="00FB60E5">
        <w:t>Kaskutas</w:t>
      </w:r>
      <w:proofErr w:type="spellEnd"/>
      <w:r w:rsidRPr="00FB60E5">
        <w:t xml:space="preserve">, L. (2009). </w:t>
      </w:r>
      <w:proofErr w:type="gramStart"/>
      <w:r w:rsidRPr="00FB60E5">
        <w:t>Alcoholics</w:t>
      </w:r>
      <w:proofErr w:type="gramEnd"/>
      <w:r w:rsidRPr="00FB60E5">
        <w:t xml:space="preserve"> Anonymous effectiveness: faith meets science. J. Addict. Dis., 28, 145-157</w:t>
      </w:r>
      <w:bookmarkEnd w:id="331"/>
      <w:r w:rsidR="002C27A8">
        <w:t>.</w:t>
      </w:r>
    </w:p>
    <w:p w14:paraId="38A475B1" w14:textId="4FD4226D" w:rsidR="00225DFE" w:rsidRPr="00FB60E5" w:rsidRDefault="00EE6F15" w:rsidP="00FB60E5">
      <w:pPr>
        <w:ind w:left="0"/>
      </w:pPr>
      <w:proofErr w:type="spellStart"/>
      <w:r w:rsidRPr="00FB60E5">
        <w:t>Kaskutas</w:t>
      </w:r>
      <w:proofErr w:type="spellEnd"/>
      <w:r w:rsidRPr="00FB60E5">
        <w:t xml:space="preserve"> et al 2009bhttp://www.ncbi.nlm.nih.gov/pmc/articles/PMC2746399/</w:t>
      </w:r>
    </w:p>
    <w:p w14:paraId="5E1AB463" w14:textId="77777777" w:rsidR="002C27A8" w:rsidRDefault="00225DFE" w:rsidP="00FB60E5">
      <w:pPr>
        <w:ind w:left="0"/>
      </w:pPr>
      <w:bookmarkStart w:id="332" w:name="_ENREF_26"/>
      <w:proofErr w:type="gramStart"/>
      <w:r w:rsidRPr="00FB60E5">
        <w:t xml:space="preserve">Kelly, J. F., Stout, R. L., &amp; </w:t>
      </w:r>
      <w:proofErr w:type="spellStart"/>
      <w:r w:rsidRPr="00FB60E5">
        <w:t>Slaymaker</w:t>
      </w:r>
      <w:proofErr w:type="spellEnd"/>
      <w:r w:rsidRPr="00FB60E5">
        <w:t>, V. (2013).</w:t>
      </w:r>
      <w:proofErr w:type="gramEnd"/>
      <w:r w:rsidRPr="00FB60E5">
        <w:t xml:space="preserve"> </w:t>
      </w:r>
      <w:proofErr w:type="gramStart"/>
      <w:r w:rsidRPr="00FB60E5">
        <w:t>Emerging adults' treatment outcomes in relation to 12-step mutual-help attendance and active involvement.</w:t>
      </w:r>
      <w:proofErr w:type="gramEnd"/>
      <w:r w:rsidRPr="00FB60E5">
        <w:t xml:space="preserve"> Drug Alcohol </w:t>
      </w:r>
      <w:proofErr w:type="gramStart"/>
      <w:r w:rsidRPr="00FB60E5">
        <w:t>Depend.,</w:t>
      </w:r>
      <w:proofErr w:type="gramEnd"/>
      <w:r w:rsidRPr="00FB60E5">
        <w:t xml:space="preserve"> 129(1-2), 151-157</w:t>
      </w:r>
      <w:bookmarkEnd w:id="332"/>
      <w:r w:rsidR="002C27A8">
        <w:t>.</w:t>
      </w:r>
    </w:p>
    <w:p w14:paraId="68023B2D" w14:textId="77777777" w:rsidR="002C27A8" w:rsidRDefault="00225DFE" w:rsidP="00FB60E5">
      <w:pPr>
        <w:ind w:left="0"/>
      </w:pPr>
      <w:bookmarkStart w:id="333" w:name="_ENREF_27"/>
      <w:r w:rsidRPr="00FB60E5">
        <w:t xml:space="preserve">Lloyd, B., Barratt, M., Ferris, J., Best, D., &amp; </w:t>
      </w:r>
      <w:proofErr w:type="spellStart"/>
      <w:r w:rsidRPr="00FB60E5">
        <w:t>Lubman</w:t>
      </w:r>
      <w:proofErr w:type="spellEnd"/>
      <w:r w:rsidRPr="00FB60E5">
        <w:t>, D. (2013). Factors influencing mortality among alcohol and drug treatment clients in Victoria, Australia: the role of demographic and substance use characteristics. Australian &amp; New Zealand Journal of Psychiatry, 47(9), 859-867</w:t>
      </w:r>
      <w:bookmarkEnd w:id="333"/>
      <w:r w:rsidR="002C27A8">
        <w:t>.</w:t>
      </w:r>
    </w:p>
    <w:p w14:paraId="38A475B4" w14:textId="7C872779" w:rsidR="00225DFE" w:rsidRPr="00FB60E5" w:rsidRDefault="00225DFE" w:rsidP="00FB60E5">
      <w:pPr>
        <w:ind w:left="0"/>
      </w:pPr>
      <w:bookmarkStart w:id="334" w:name="_ENREF_28"/>
      <w:proofErr w:type="gramStart"/>
      <w:r w:rsidRPr="00FB60E5">
        <w:t xml:space="preserve">Lloyd, B. K., &amp; </w:t>
      </w:r>
      <w:proofErr w:type="spellStart"/>
      <w:r w:rsidRPr="00FB60E5">
        <w:t>McElwee</w:t>
      </w:r>
      <w:proofErr w:type="spellEnd"/>
      <w:r w:rsidRPr="00FB60E5">
        <w:t>, P. R. (2011).</w:t>
      </w:r>
      <w:proofErr w:type="gramEnd"/>
      <w:r w:rsidRPr="00FB60E5">
        <w:t xml:space="preserve"> </w:t>
      </w:r>
      <w:proofErr w:type="gramStart"/>
      <w:r w:rsidRPr="00FB60E5">
        <w:t>Trends over time in characteristics of pharmaceutical drug-related ambulance attendances in Melbourne.</w:t>
      </w:r>
      <w:proofErr w:type="gramEnd"/>
      <w:r w:rsidRPr="00FB60E5">
        <w:t xml:space="preserve"> Drug and Alcohol Review, 30(3), 271-280. </w:t>
      </w:r>
      <w:proofErr w:type="spellStart"/>
      <w:proofErr w:type="gramStart"/>
      <w:r w:rsidRPr="00FB60E5">
        <w:t>doi</w:t>
      </w:r>
      <w:proofErr w:type="spellEnd"/>
      <w:proofErr w:type="gramEnd"/>
      <w:r w:rsidRPr="00FB60E5">
        <w:t>: 10.1111/j.1465-3362.2011.00292.x</w:t>
      </w:r>
      <w:bookmarkEnd w:id="334"/>
    </w:p>
    <w:p w14:paraId="556333D0" w14:textId="77777777" w:rsidR="002C27A8" w:rsidRDefault="00225DFE" w:rsidP="00FB60E5">
      <w:pPr>
        <w:ind w:left="0"/>
      </w:pPr>
      <w:bookmarkStart w:id="335" w:name="_ENREF_29"/>
      <w:proofErr w:type="spellStart"/>
      <w:r w:rsidRPr="00FB60E5">
        <w:t>Lorig</w:t>
      </w:r>
      <w:proofErr w:type="spellEnd"/>
      <w:r w:rsidRPr="00FB60E5">
        <w:t>, K., Sobel, D., Steward, A., Brown, B., Bandura, A., Ritter, P</w:t>
      </w:r>
      <w:proofErr w:type="gramStart"/>
      <w:r w:rsidRPr="00FB60E5">
        <w:t>., . . .</w:t>
      </w:r>
      <w:proofErr w:type="gramEnd"/>
      <w:r w:rsidRPr="00FB60E5">
        <w:t xml:space="preserve"> Holman, H. (1999). Evidence suggesting that a chronic disease self-management program can improve health status while reducing hospitalisation: a randomized trial Medical Care, 37(1), 5-14</w:t>
      </w:r>
      <w:bookmarkEnd w:id="335"/>
      <w:r w:rsidR="002C27A8">
        <w:t>.</w:t>
      </w:r>
    </w:p>
    <w:p w14:paraId="06D120A8" w14:textId="77777777" w:rsidR="002C27A8" w:rsidRDefault="00225DFE" w:rsidP="00FB60E5">
      <w:pPr>
        <w:ind w:left="0"/>
      </w:pPr>
      <w:bookmarkStart w:id="336" w:name="_ENREF_30"/>
      <w:r w:rsidRPr="00FB60E5">
        <w:t xml:space="preserve">Manning, V., Best, D., Faulkner, N., </w:t>
      </w:r>
      <w:proofErr w:type="spellStart"/>
      <w:r w:rsidRPr="00FB60E5">
        <w:t>Titherington</w:t>
      </w:r>
      <w:proofErr w:type="spellEnd"/>
      <w:r w:rsidRPr="00FB60E5">
        <w:t xml:space="preserve">, E., </w:t>
      </w:r>
      <w:proofErr w:type="spellStart"/>
      <w:r w:rsidRPr="00FB60E5">
        <w:t>Morinan</w:t>
      </w:r>
      <w:proofErr w:type="spellEnd"/>
      <w:r w:rsidRPr="00FB60E5">
        <w:t xml:space="preserve">, A., </w:t>
      </w:r>
      <w:proofErr w:type="spellStart"/>
      <w:r w:rsidRPr="00FB60E5">
        <w:t>Keaney</w:t>
      </w:r>
      <w:proofErr w:type="spellEnd"/>
      <w:r w:rsidRPr="00FB60E5">
        <w:t>, F</w:t>
      </w:r>
      <w:proofErr w:type="gramStart"/>
      <w:r w:rsidRPr="00FB60E5">
        <w:t>., . . .</w:t>
      </w:r>
      <w:proofErr w:type="gramEnd"/>
      <w:r w:rsidRPr="00FB60E5">
        <w:t xml:space="preserve"> </w:t>
      </w:r>
      <w:proofErr w:type="spellStart"/>
      <w:r w:rsidRPr="00FB60E5">
        <w:t>Strang</w:t>
      </w:r>
      <w:proofErr w:type="spellEnd"/>
      <w:r w:rsidRPr="00FB60E5">
        <w:t>, J. (2012). Does active referral by a doctor or 12-Step peer improve 12-Step meeting attendance? Results from a pilot randomised control trial. Drug and Alcohol Dependence, 126, 131-137</w:t>
      </w:r>
      <w:bookmarkEnd w:id="336"/>
      <w:r w:rsidR="002C27A8">
        <w:t>.</w:t>
      </w:r>
    </w:p>
    <w:p w14:paraId="38A475B7" w14:textId="59D2CB61" w:rsidR="00225DFE" w:rsidRPr="00FB60E5" w:rsidRDefault="00225DFE" w:rsidP="00FB60E5">
      <w:pPr>
        <w:ind w:left="0"/>
      </w:pPr>
      <w:bookmarkStart w:id="337" w:name="_ENREF_32"/>
      <w:proofErr w:type="gramStart"/>
      <w:r w:rsidRPr="00FB60E5">
        <w:t xml:space="preserve">Matthews, S., </w:t>
      </w:r>
      <w:proofErr w:type="spellStart"/>
      <w:r w:rsidRPr="00FB60E5">
        <w:t>Jayasekara</w:t>
      </w:r>
      <w:proofErr w:type="spellEnd"/>
      <w:r w:rsidRPr="00FB60E5">
        <w:t>, H., &amp; Lloyd, B. (2012).</w:t>
      </w:r>
      <w:proofErr w:type="gramEnd"/>
      <w:r w:rsidRPr="00FB60E5">
        <w:t xml:space="preserve"> The Victorian Alcohol Statistics Series: Alcohol-related harms and use across Victorian Local Government Areas 2000/01-2009/10. Fitzroy, Victoria: Turning Point Alcohol and Drug Centre.</w:t>
      </w:r>
      <w:bookmarkEnd w:id="337"/>
    </w:p>
    <w:p w14:paraId="38A475B8" w14:textId="77777777" w:rsidR="00225DFE" w:rsidRPr="00FB60E5" w:rsidRDefault="00225DFE" w:rsidP="00FB60E5">
      <w:pPr>
        <w:ind w:left="0"/>
      </w:pPr>
      <w:bookmarkStart w:id="338" w:name="_ENREF_33"/>
      <w:proofErr w:type="gramStart"/>
      <w:r w:rsidRPr="00FB60E5">
        <w:t xml:space="preserve">Matthews, S., </w:t>
      </w:r>
      <w:proofErr w:type="spellStart"/>
      <w:r w:rsidRPr="00FB60E5">
        <w:t>Jayasekara</w:t>
      </w:r>
      <w:proofErr w:type="spellEnd"/>
      <w:r w:rsidRPr="00FB60E5">
        <w:t>, H., &amp; Lloyd, B. (2013).</w:t>
      </w:r>
      <w:proofErr w:type="gramEnd"/>
      <w:r w:rsidRPr="00FB60E5">
        <w:t xml:space="preserve"> The Victorian Alcohol Statistics Series: Alcohol-related harms and use across Victorian Local Government Areas 2000/01-2009/10. Fitzroy, Victoria: Turning Point Alcohol and Drug Centre.</w:t>
      </w:r>
      <w:bookmarkEnd w:id="338"/>
    </w:p>
    <w:p w14:paraId="04573105" w14:textId="77777777" w:rsidR="002C27A8" w:rsidRDefault="001119C4" w:rsidP="00FB60E5">
      <w:pPr>
        <w:ind w:left="0"/>
      </w:pPr>
      <w:proofErr w:type="spellStart"/>
      <w:proofErr w:type="gramStart"/>
      <w:r w:rsidRPr="00FB60E5">
        <w:t>McKeganey</w:t>
      </w:r>
      <w:proofErr w:type="spellEnd"/>
      <w:r w:rsidRPr="00FB60E5">
        <w:t>, N., Bloor, M., Robertson, M., Neale, J., &amp; MacDougall, J. (1996).</w:t>
      </w:r>
      <w:proofErr w:type="gramEnd"/>
      <w:r w:rsidRPr="00FB60E5">
        <w:t xml:space="preserve"> Abstinence and drug abuse treatment: Results for the drug outcome research in Scotland study. Drugs: education, prevention and policy, 13(6), 537-550</w:t>
      </w:r>
      <w:r w:rsidR="002C27A8">
        <w:t>.</w:t>
      </w:r>
    </w:p>
    <w:p w14:paraId="38A475BA" w14:textId="22B49224" w:rsidR="00225DFE" w:rsidRPr="00FB60E5" w:rsidRDefault="00225DFE" w:rsidP="00FB60E5">
      <w:pPr>
        <w:ind w:left="0"/>
      </w:pPr>
      <w:bookmarkStart w:id="339" w:name="_ENREF_34"/>
      <w:proofErr w:type="spellStart"/>
      <w:r w:rsidRPr="00FB60E5">
        <w:t>McKetin</w:t>
      </w:r>
      <w:proofErr w:type="spellEnd"/>
      <w:r w:rsidRPr="00FB60E5">
        <w:t xml:space="preserve">, R., </w:t>
      </w:r>
      <w:proofErr w:type="spellStart"/>
      <w:r w:rsidRPr="00FB60E5">
        <w:t>Najman</w:t>
      </w:r>
      <w:proofErr w:type="spellEnd"/>
      <w:r w:rsidRPr="00FB60E5">
        <w:t xml:space="preserve">, J., Baker, A., </w:t>
      </w:r>
      <w:proofErr w:type="spellStart"/>
      <w:r w:rsidRPr="00FB60E5">
        <w:t>Lubman</w:t>
      </w:r>
      <w:proofErr w:type="spellEnd"/>
      <w:r w:rsidRPr="00FB60E5">
        <w:t>, D., Dawe, S., Ali, R</w:t>
      </w:r>
      <w:proofErr w:type="gramStart"/>
      <w:r w:rsidRPr="00FB60E5">
        <w:t>., . . .</w:t>
      </w:r>
      <w:proofErr w:type="gramEnd"/>
      <w:r w:rsidRPr="00FB60E5">
        <w:t xml:space="preserve"> </w:t>
      </w:r>
      <w:proofErr w:type="spellStart"/>
      <w:r w:rsidRPr="00FB60E5">
        <w:t>Mamun</w:t>
      </w:r>
      <w:proofErr w:type="spellEnd"/>
      <w:r w:rsidRPr="00FB60E5">
        <w:t xml:space="preserve">, A. (2012). </w:t>
      </w:r>
      <w:proofErr w:type="gramStart"/>
      <w:r w:rsidRPr="00FB60E5">
        <w:t>Evaluating the impact of community-based treatment options on methamphetamine use: findings from the Methamphetamine Treatment Evaluation Study (MATES).</w:t>
      </w:r>
      <w:proofErr w:type="gramEnd"/>
      <w:r w:rsidRPr="00FB60E5">
        <w:t xml:space="preserve"> </w:t>
      </w:r>
      <w:proofErr w:type="gramStart"/>
      <w:r w:rsidRPr="00FB60E5">
        <w:t>[Evaluation Studies</w:t>
      </w:r>
      <w:r w:rsidR="006838AB" w:rsidRPr="00FB60E5">
        <w:t xml:space="preserve"> </w:t>
      </w:r>
      <w:r w:rsidRPr="00FB60E5">
        <w:t>Research Support, Non-U.S. Gov't].</w:t>
      </w:r>
      <w:proofErr w:type="gramEnd"/>
      <w:r w:rsidRPr="00FB60E5">
        <w:t xml:space="preserve"> Addiction, 107(11), 1998-2008. </w:t>
      </w:r>
      <w:proofErr w:type="spellStart"/>
      <w:proofErr w:type="gramStart"/>
      <w:r w:rsidRPr="00FB60E5">
        <w:t>doi</w:t>
      </w:r>
      <w:proofErr w:type="spellEnd"/>
      <w:proofErr w:type="gramEnd"/>
      <w:r w:rsidRPr="00FB60E5">
        <w:t>: 10.1111/j.1360-0443.2012.03933.x</w:t>
      </w:r>
      <w:bookmarkEnd w:id="339"/>
    </w:p>
    <w:p w14:paraId="226104D9" w14:textId="77777777" w:rsidR="002C27A8" w:rsidRDefault="00225DFE" w:rsidP="00FB60E5">
      <w:pPr>
        <w:ind w:left="0"/>
      </w:pPr>
      <w:bookmarkStart w:id="340" w:name="_ENREF_35"/>
      <w:proofErr w:type="gramStart"/>
      <w:r w:rsidRPr="00FB60E5">
        <w:t>McLellan, A., Arndt, I., Metzger, D., Woody, G., &amp; O'Brien, C. (1993).</w:t>
      </w:r>
      <w:proofErr w:type="gramEnd"/>
      <w:r w:rsidRPr="00FB60E5">
        <w:t xml:space="preserve"> The effects of psychosocial services in substance abuse treatment. Journal of the American Medical Association, 269(15), 1953-1959</w:t>
      </w:r>
      <w:bookmarkEnd w:id="340"/>
      <w:r w:rsidR="002C27A8">
        <w:t>.</w:t>
      </w:r>
    </w:p>
    <w:p w14:paraId="41668EB6" w14:textId="77777777" w:rsidR="002C27A8" w:rsidRDefault="00225DFE" w:rsidP="00FB60E5">
      <w:pPr>
        <w:ind w:left="0"/>
      </w:pPr>
      <w:bookmarkStart w:id="341" w:name="_ENREF_36"/>
      <w:proofErr w:type="gramStart"/>
      <w:r w:rsidRPr="00FB60E5">
        <w:lastRenderedPageBreak/>
        <w:t xml:space="preserve">McLellan, A., Lewis, D., O Brien, C., &amp; </w:t>
      </w:r>
      <w:proofErr w:type="spellStart"/>
      <w:r w:rsidRPr="00FB60E5">
        <w:t>Kleber</w:t>
      </w:r>
      <w:proofErr w:type="spellEnd"/>
      <w:r w:rsidRPr="00FB60E5">
        <w:t>, H. (2000).</w:t>
      </w:r>
      <w:proofErr w:type="gramEnd"/>
      <w:r w:rsidRPr="00FB60E5">
        <w:t xml:space="preserve"> Drug dependence, a chronic medical illness: implications for treatment, insurance, and outcomes evaluation JAMA, 284, 1689-1695</w:t>
      </w:r>
      <w:bookmarkEnd w:id="341"/>
      <w:r w:rsidR="002C27A8">
        <w:t>.</w:t>
      </w:r>
    </w:p>
    <w:p w14:paraId="38A475BD" w14:textId="34913337" w:rsidR="00225DFE" w:rsidRPr="00FB60E5" w:rsidRDefault="00225DFE" w:rsidP="00FB60E5">
      <w:pPr>
        <w:ind w:left="0"/>
      </w:pPr>
      <w:bookmarkStart w:id="342" w:name="_ENREF_37"/>
      <w:proofErr w:type="gramStart"/>
      <w:r w:rsidRPr="00FB60E5">
        <w:t>Ministerial Council on Drug Strategy.</w:t>
      </w:r>
      <w:proofErr w:type="gramEnd"/>
      <w:r w:rsidRPr="00FB60E5">
        <w:t xml:space="preserve"> (2011). The National Drug Strategy 2010-2015: A framework for action on alcohol, tobacco and other drugs, from </w:t>
      </w:r>
      <w:hyperlink r:id="rId34" w:history="1">
        <w:bookmarkEnd w:id="342"/>
        <w:r w:rsidR="002506E4" w:rsidRPr="00FB60E5">
          <w:rPr>
            <w:rStyle w:val="Hyperlink"/>
          </w:rPr>
          <w:t>http://www.nationaldrugstrategy.gov.au</w:t>
        </w:r>
      </w:hyperlink>
    </w:p>
    <w:p w14:paraId="312D95E3" w14:textId="77777777" w:rsidR="002C27A8" w:rsidRDefault="00145301" w:rsidP="00FB60E5">
      <w:pPr>
        <w:ind w:left="0"/>
      </w:pPr>
      <w:bookmarkStart w:id="343" w:name="_ENREF_38"/>
      <w:proofErr w:type="gramStart"/>
      <w:r w:rsidRPr="00FB60E5">
        <w:t xml:space="preserve">Morgenstern, J., Hogue, A., Dauber, S., </w:t>
      </w:r>
      <w:proofErr w:type="spellStart"/>
      <w:r w:rsidRPr="00FB60E5">
        <w:t>Dasaro</w:t>
      </w:r>
      <w:proofErr w:type="spellEnd"/>
      <w:r w:rsidRPr="00FB60E5">
        <w:t>, C., &amp; McKay, J. R. (2009).</w:t>
      </w:r>
      <w:proofErr w:type="gramEnd"/>
      <w:r w:rsidRPr="00FB60E5">
        <w:t xml:space="preserve"> </w:t>
      </w:r>
      <w:r w:rsidR="00225DFE" w:rsidRPr="00FB60E5">
        <w:t>A practical clinical trial of coordinated care management to treat substance use disorders among public assistance beneficiaries. . Journal of Consulting and Clinical Psychology, 77(2), 257-269</w:t>
      </w:r>
      <w:bookmarkEnd w:id="343"/>
      <w:r w:rsidR="002C27A8">
        <w:t>.</w:t>
      </w:r>
    </w:p>
    <w:p w14:paraId="5B33AF54" w14:textId="77777777" w:rsidR="002C27A8" w:rsidRDefault="00225DFE" w:rsidP="00FB60E5">
      <w:pPr>
        <w:ind w:left="0"/>
      </w:pPr>
      <w:bookmarkStart w:id="344" w:name="_ENREF_39"/>
      <w:proofErr w:type="gramStart"/>
      <w:r w:rsidRPr="00FB60E5">
        <w:t>O'Brien, C., &amp; McLellan, A. (1996).</w:t>
      </w:r>
      <w:proofErr w:type="gramEnd"/>
      <w:r w:rsidRPr="00FB60E5">
        <w:t xml:space="preserve"> </w:t>
      </w:r>
      <w:proofErr w:type="gramStart"/>
      <w:r w:rsidRPr="00FB60E5">
        <w:t>Myths about the treatment of addiction.</w:t>
      </w:r>
      <w:proofErr w:type="gramEnd"/>
      <w:r w:rsidRPr="00FB60E5">
        <w:t xml:space="preserve"> Lancet, 347(8996), 237-240</w:t>
      </w:r>
      <w:bookmarkEnd w:id="344"/>
      <w:r w:rsidR="002C27A8">
        <w:t>.</w:t>
      </w:r>
    </w:p>
    <w:p w14:paraId="38A475C0" w14:textId="6680185E" w:rsidR="006838AB" w:rsidRPr="00FB60E5" w:rsidRDefault="006838AB" w:rsidP="00FB60E5">
      <w:pPr>
        <w:ind w:left="0"/>
      </w:pPr>
      <w:proofErr w:type="gramStart"/>
      <w:r w:rsidRPr="00FB60E5">
        <w:t xml:space="preserve">Orford, J., Hodgson, R., </w:t>
      </w:r>
      <w:proofErr w:type="spellStart"/>
      <w:r w:rsidRPr="00FB60E5">
        <w:t>Copello</w:t>
      </w:r>
      <w:proofErr w:type="spellEnd"/>
      <w:r w:rsidRPr="00FB60E5">
        <w:t xml:space="preserve">, A., John, B., Smith, M., Black, R., Fryer, K., </w:t>
      </w:r>
      <w:proofErr w:type="spellStart"/>
      <w:r w:rsidRPr="00FB60E5">
        <w:t>Handforth</w:t>
      </w:r>
      <w:proofErr w:type="spellEnd"/>
      <w:r w:rsidRPr="00FB60E5">
        <w:t xml:space="preserve">, L., Alwyn, T., Kerr, C., </w:t>
      </w:r>
      <w:proofErr w:type="spellStart"/>
      <w:r w:rsidRPr="00FB60E5">
        <w:t>Thistlethwaite</w:t>
      </w:r>
      <w:proofErr w:type="spellEnd"/>
      <w:r w:rsidRPr="00FB60E5">
        <w:t xml:space="preserve">, G., &amp; </w:t>
      </w:r>
      <w:proofErr w:type="spellStart"/>
      <w:r w:rsidRPr="00FB60E5">
        <w:t>Slegg</w:t>
      </w:r>
      <w:proofErr w:type="spellEnd"/>
      <w:r w:rsidRPr="00FB60E5">
        <w:t>, G. on behalf of the UKATT Research Team.</w:t>
      </w:r>
      <w:proofErr w:type="gramEnd"/>
      <w:r w:rsidRPr="00FB60E5">
        <w:t xml:space="preserve"> (2006). </w:t>
      </w:r>
      <w:proofErr w:type="gramStart"/>
      <w:r w:rsidRPr="00FB60E5">
        <w:t>The</w:t>
      </w:r>
      <w:proofErr w:type="gramEnd"/>
      <w:r w:rsidRPr="00FB60E5">
        <w:t xml:space="preserve"> clients' perspective on change during treatment for an alcohol problem: qualitative analysis of follow-up interviews in the UK Alcohol Treatment Trial. Addiction, 101, 60-68. </w:t>
      </w:r>
      <w:proofErr w:type="spellStart"/>
      <w:proofErr w:type="gramStart"/>
      <w:r w:rsidRPr="00FB60E5">
        <w:t>doi</w:t>
      </w:r>
      <w:proofErr w:type="spellEnd"/>
      <w:proofErr w:type="gramEnd"/>
      <w:r w:rsidRPr="00FB60E5">
        <w:t>: 10.1111/j.1360-0443.2005.01291.x</w:t>
      </w:r>
    </w:p>
    <w:p w14:paraId="1DC9B16A" w14:textId="77777777" w:rsidR="002C27A8" w:rsidRDefault="00225DFE" w:rsidP="00FB60E5">
      <w:pPr>
        <w:ind w:left="0"/>
      </w:pPr>
      <w:bookmarkStart w:id="345" w:name="_ENREF_40"/>
      <w:proofErr w:type="spellStart"/>
      <w:proofErr w:type="gramStart"/>
      <w:r w:rsidRPr="00FB60E5">
        <w:t>Parthasarathy</w:t>
      </w:r>
      <w:proofErr w:type="spellEnd"/>
      <w:r w:rsidRPr="00FB60E5">
        <w:t xml:space="preserve">, S., </w:t>
      </w:r>
      <w:proofErr w:type="spellStart"/>
      <w:r w:rsidRPr="00FB60E5">
        <w:t>Mertens</w:t>
      </w:r>
      <w:proofErr w:type="spellEnd"/>
      <w:r w:rsidRPr="00FB60E5">
        <w:t xml:space="preserve">, J., Moore, C., &amp; </w:t>
      </w:r>
      <w:proofErr w:type="spellStart"/>
      <w:r w:rsidRPr="00FB60E5">
        <w:t>Weisner</w:t>
      </w:r>
      <w:proofErr w:type="spellEnd"/>
      <w:r w:rsidRPr="00FB60E5">
        <w:t>, C. (2003).</w:t>
      </w:r>
      <w:proofErr w:type="gramEnd"/>
      <w:r w:rsidRPr="00FB60E5">
        <w:t xml:space="preserve"> Utilization and cost impact of integrating substance abuse treatment and primary care. Med Care, 41(3), 357-367</w:t>
      </w:r>
      <w:bookmarkEnd w:id="345"/>
      <w:r w:rsidR="002C27A8">
        <w:t>.</w:t>
      </w:r>
    </w:p>
    <w:p w14:paraId="3CC9DABA" w14:textId="77777777" w:rsidR="002C27A8" w:rsidRDefault="00225DFE" w:rsidP="00FB60E5">
      <w:pPr>
        <w:ind w:left="0"/>
      </w:pPr>
      <w:bookmarkStart w:id="346" w:name="_ENREF_41"/>
      <w:proofErr w:type="spellStart"/>
      <w:proofErr w:type="gramStart"/>
      <w:r w:rsidRPr="00FB60E5">
        <w:t>Parthasarathy</w:t>
      </w:r>
      <w:proofErr w:type="spellEnd"/>
      <w:r w:rsidRPr="00FB60E5">
        <w:t xml:space="preserve">, S., </w:t>
      </w:r>
      <w:proofErr w:type="spellStart"/>
      <w:r w:rsidRPr="00FB60E5">
        <w:t>Weisner</w:t>
      </w:r>
      <w:proofErr w:type="spellEnd"/>
      <w:r w:rsidRPr="00FB60E5">
        <w:t>, C., Hu, T.-W., &amp; Moore, C. (2001).</w:t>
      </w:r>
      <w:proofErr w:type="gramEnd"/>
      <w:r w:rsidRPr="00FB60E5">
        <w:t xml:space="preserve"> Association of outpatient alcohol and drug treatment with health care utilization and cost: Revisiting the offset hypothesis. Journal of Studies on Alcohol, 62, 89-97</w:t>
      </w:r>
      <w:bookmarkEnd w:id="346"/>
      <w:r w:rsidR="002C27A8">
        <w:t>.</w:t>
      </w:r>
    </w:p>
    <w:p w14:paraId="7CD13CFF" w14:textId="77777777" w:rsidR="002C27A8" w:rsidRDefault="006838AB" w:rsidP="00FB60E5">
      <w:pPr>
        <w:ind w:left="0"/>
      </w:pPr>
      <w:bookmarkStart w:id="347" w:name="_ENREF_43"/>
      <w:proofErr w:type="spellStart"/>
      <w:proofErr w:type="gramStart"/>
      <w:r w:rsidRPr="00FB60E5">
        <w:t>Pettinati</w:t>
      </w:r>
      <w:proofErr w:type="spellEnd"/>
      <w:r w:rsidRPr="00FB60E5">
        <w:t xml:space="preserve">, H. M., Anton, R. F., &amp; </w:t>
      </w:r>
      <w:proofErr w:type="spellStart"/>
      <w:r w:rsidRPr="00FB60E5">
        <w:t>Willenbring</w:t>
      </w:r>
      <w:proofErr w:type="spellEnd"/>
      <w:r w:rsidRPr="00FB60E5">
        <w:t>, M. L. (2006).</w:t>
      </w:r>
      <w:proofErr w:type="gramEnd"/>
      <w:r w:rsidRPr="00FB60E5">
        <w:t xml:space="preserve"> The COMBINE study: an overview of the largest pharmacotherapy study to date for treating alcohol dependence. Psychiatry, 3(10), 36-39</w:t>
      </w:r>
      <w:r w:rsidR="002C27A8">
        <w:t>.</w:t>
      </w:r>
    </w:p>
    <w:p w14:paraId="38A475C4" w14:textId="71A5B302" w:rsidR="006838AB" w:rsidRPr="00FB60E5" w:rsidRDefault="006838AB" w:rsidP="00FB60E5">
      <w:pPr>
        <w:ind w:left="0"/>
      </w:pPr>
      <w:bookmarkStart w:id="348" w:name="_ENREF_42"/>
      <w:proofErr w:type="spellStart"/>
      <w:proofErr w:type="gramStart"/>
      <w:r w:rsidRPr="00FB60E5">
        <w:t>Popovici</w:t>
      </w:r>
      <w:proofErr w:type="spellEnd"/>
      <w:r w:rsidRPr="00FB60E5">
        <w:t>, I., French, M. T., &amp; McKay, J. R. (2008).</w:t>
      </w:r>
      <w:proofErr w:type="gramEnd"/>
      <w:r w:rsidRPr="00FB60E5">
        <w:t xml:space="preserve"> Economic evaluation of continuing care interventions in the treatment of substance abuse: recommendations for future research. Evaluation Review, 32(6), 547-568. </w:t>
      </w:r>
      <w:proofErr w:type="spellStart"/>
      <w:proofErr w:type="gramStart"/>
      <w:r w:rsidRPr="00FB60E5">
        <w:t>doi</w:t>
      </w:r>
      <w:proofErr w:type="spellEnd"/>
      <w:proofErr w:type="gramEnd"/>
      <w:r w:rsidRPr="00FB60E5">
        <w:t>: 10.1177/0193841x08316311</w:t>
      </w:r>
      <w:bookmarkEnd w:id="348"/>
    </w:p>
    <w:p w14:paraId="38A475C5" w14:textId="77777777" w:rsidR="006838AB" w:rsidRPr="00FB60E5" w:rsidRDefault="006838AB" w:rsidP="00FB60E5">
      <w:pPr>
        <w:ind w:left="0"/>
      </w:pPr>
      <w:r w:rsidRPr="00FB60E5">
        <w:t xml:space="preserve">Project Match Research Group. (1998). </w:t>
      </w:r>
      <w:proofErr w:type="gramStart"/>
      <w:r w:rsidRPr="00FB60E5">
        <w:t>Matching</w:t>
      </w:r>
      <w:proofErr w:type="gramEnd"/>
      <w:r w:rsidRPr="00FB60E5">
        <w:t xml:space="preserve"> patients with alcohol disorders to treatments: Clinical implications from Project MATCH. Journal of Mental Health, 7(6), 589-602. </w:t>
      </w:r>
      <w:proofErr w:type="spellStart"/>
      <w:proofErr w:type="gramStart"/>
      <w:r w:rsidRPr="00FB60E5">
        <w:t>doi</w:t>
      </w:r>
      <w:proofErr w:type="spellEnd"/>
      <w:proofErr w:type="gramEnd"/>
      <w:r w:rsidRPr="00FB60E5">
        <w:t>: 10.1080/09638239817743</w:t>
      </w:r>
    </w:p>
    <w:p w14:paraId="0A0FF831" w14:textId="77777777" w:rsidR="002C27A8" w:rsidRDefault="00225DFE" w:rsidP="00FB60E5">
      <w:pPr>
        <w:ind w:left="0"/>
      </w:pPr>
      <w:proofErr w:type="gramStart"/>
      <w:r w:rsidRPr="00FB60E5">
        <w:t xml:space="preserve">Rapp, R. C., Xu, J., </w:t>
      </w:r>
      <w:proofErr w:type="spellStart"/>
      <w:r w:rsidRPr="00FB60E5">
        <w:t>Carr</w:t>
      </w:r>
      <w:proofErr w:type="spellEnd"/>
      <w:r w:rsidRPr="00FB60E5">
        <w:t>, C. A., Lane, T. D., Wang, J., &amp; R., C. (2006).</w:t>
      </w:r>
      <w:proofErr w:type="gramEnd"/>
      <w:r w:rsidRPr="00FB60E5">
        <w:t xml:space="preserve"> Treatment barriers identified by substance abusers assessed at a centralized intake unit. Journal of Substance Abuse Treatment, 30, 227-235</w:t>
      </w:r>
      <w:bookmarkEnd w:id="347"/>
      <w:r w:rsidR="002C27A8">
        <w:t>.</w:t>
      </w:r>
    </w:p>
    <w:p w14:paraId="263B6254" w14:textId="77777777" w:rsidR="002C27A8" w:rsidRDefault="00225DFE" w:rsidP="00FB60E5">
      <w:pPr>
        <w:ind w:left="0"/>
      </w:pPr>
      <w:bookmarkStart w:id="349" w:name="_ENREF_44"/>
      <w:proofErr w:type="spellStart"/>
      <w:proofErr w:type="gramStart"/>
      <w:r w:rsidRPr="00FB60E5">
        <w:t>Reavley</w:t>
      </w:r>
      <w:proofErr w:type="spellEnd"/>
      <w:r w:rsidRPr="00FB60E5">
        <w:t xml:space="preserve">, N., </w:t>
      </w:r>
      <w:proofErr w:type="spellStart"/>
      <w:r w:rsidRPr="00FB60E5">
        <w:t>Cvetkovski</w:t>
      </w:r>
      <w:proofErr w:type="spellEnd"/>
      <w:r w:rsidRPr="00FB60E5">
        <w:t xml:space="preserve">, S., </w:t>
      </w:r>
      <w:proofErr w:type="spellStart"/>
      <w:r w:rsidRPr="00FB60E5">
        <w:t>Jorm</w:t>
      </w:r>
      <w:proofErr w:type="spellEnd"/>
      <w:r w:rsidRPr="00FB60E5">
        <w:t xml:space="preserve">, A., &amp; </w:t>
      </w:r>
      <w:proofErr w:type="spellStart"/>
      <w:r w:rsidRPr="00FB60E5">
        <w:t>Lubman</w:t>
      </w:r>
      <w:proofErr w:type="spellEnd"/>
      <w:r w:rsidRPr="00FB60E5">
        <w:t>, D. (2010).</w:t>
      </w:r>
      <w:proofErr w:type="gramEnd"/>
      <w:r w:rsidRPr="00FB60E5">
        <w:t xml:space="preserve"> Help-seeking for substance use, anxiety and affective disorders among young people: results from the 2007 Australian National Survey of Mental Health and Wellbeing. . Australian &amp; New Zealand Journal of Psychiatry Research, 44(8), 729-735</w:t>
      </w:r>
      <w:bookmarkEnd w:id="349"/>
      <w:r w:rsidR="002C27A8">
        <w:t>.</w:t>
      </w:r>
    </w:p>
    <w:p w14:paraId="38A475C8" w14:textId="444500C5" w:rsidR="00225DFE" w:rsidRPr="00FB60E5" w:rsidRDefault="00225DFE" w:rsidP="00FB60E5">
      <w:pPr>
        <w:ind w:left="0"/>
      </w:pPr>
      <w:bookmarkStart w:id="350" w:name="_ENREF_45"/>
      <w:proofErr w:type="gramStart"/>
      <w:r w:rsidRPr="00FB60E5">
        <w:t xml:space="preserve">Ritter, A., </w:t>
      </w:r>
      <w:proofErr w:type="spellStart"/>
      <w:r w:rsidRPr="00FB60E5">
        <w:t>Berends</w:t>
      </w:r>
      <w:proofErr w:type="spellEnd"/>
      <w:r w:rsidRPr="00FB60E5">
        <w:t xml:space="preserve">, L., Clemens, S., Devaney, M., Richards, J., Bowen, K., &amp; </w:t>
      </w:r>
      <w:proofErr w:type="spellStart"/>
      <w:r w:rsidRPr="00FB60E5">
        <w:t>Tiffen</w:t>
      </w:r>
      <w:proofErr w:type="spellEnd"/>
      <w:r w:rsidRPr="00FB60E5">
        <w:t>, R. (2003).</w:t>
      </w:r>
      <w:proofErr w:type="gramEnd"/>
      <w:r w:rsidRPr="00FB60E5">
        <w:t xml:space="preserve"> Pathways: A review of the Victorian drug treatment service system. Fitzroy, Victoria: Turning Point Alcohol &amp; Drug Centre.</w:t>
      </w:r>
      <w:bookmarkEnd w:id="350"/>
    </w:p>
    <w:p w14:paraId="38A475C9" w14:textId="77777777" w:rsidR="00111B8B" w:rsidRPr="00FB60E5" w:rsidRDefault="00111B8B" w:rsidP="00FB60E5">
      <w:pPr>
        <w:ind w:left="0"/>
      </w:pPr>
      <w:proofErr w:type="gramStart"/>
      <w:r w:rsidRPr="00FB60E5">
        <w:t xml:space="preserve">Room, R., Palm, J., </w:t>
      </w:r>
      <w:proofErr w:type="spellStart"/>
      <w:r w:rsidRPr="00FB60E5">
        <w:t>Romelsjö</w:t>
      </w:r>
      <w:proofErr w:type="spellEnd"/>
      <w:r w:rsidRPr="00FB60E5">
        <w:t xml:space="preserve">, A., </w:t>
      </w:r>
      <w:proofErr w:type="spellStart"/>
      <w:r w:rsidRPr="00FB60E5">
        <w:t>Stenius</w:t>
      </w:r>
      <w:proofErr w:type="spellEnd"/>
      <w:r w:rsidRPr="00FB60E5">
        <w:t xml:space="preserve">, K., &amp; </w:t>
      </w:r>
      <w:proofErr w:type="spellStart"/>
      <w:r w:rsidRPr="00FB60E5">
        <w:t>Storbjörk</w:t>
      </w:r>
      <w:proofErr w:type="spellEnd"/>
      <w:r w:rsidRPr="00FB60E5">
        <w:t>, J. (2003).</w:t>
      </w:r>
      <w:proofErr w:type="gramEnd"/>
      <w:r w:rsidRPr="00FB60E5">
        <w:t xml:space="preserve"> Women and men in alcohol and drug treatment: An overview of a Stockholm County study [English Translation]. </w:t>
      </w:r>
      <w:proofErr w:type="gramStart"/>
      <w:r w:rsidRPr="00FB60E5">
        <w:lastRenderedPageBreak/>
        <w:t xml:space="preserve">Nordisk </w:t>
      </w:r>
      <w:proofErr w:type="spellStart"/>
      <w:r w:rsidRPr="00FB60E5">
        <w:t>alkohol</w:t>
      </w:r>
      <w:proofErr w:type="spellEnd"/>
      <w:r w:rsidRPr="00FB60E5">
        <w:t xml:space="preserve">- </w:t>
      </w:r>
      <w:proofErr w:type="spellStart"/>
      <w:r w:rsidRPr="00FB60E5">
        <w:t>och</w:t>
      </w:r>
      <w:proofErr w:type="spellEnd"/>
      <w:r w:rsidRPr="00FB60E5">
        <w:t xml:space="preserve"> </w:t>
      </w:r>
      <w:proofErr w:type="spellStart"/>
      <w:r w:rsidRPr="00FB60E5">
        <w:t>narkotikatidskrift</w:t>
      </w:r>
      <w:proofErr w:type="spellEnd"/>
      <w:r w:rsidRPr="00FB60E5">
        <w:t xml:space="preserve"> 20, 91-100.</w:t>
      </w:r>
      <w:proofErr w:type="gramEnd"/>
      <w:r w:rsidRPr="00FB60E5">
        <w:t xml:space="preserve"> [</w:t>
      </w:r>
      <w:proofErr w:type="gramStart"/>
      <w:r w:rsidRPr="00FB60E5">
        <w:t>available</w:t>
      </w:r>
      <w:proofErr w:type="gramEnd"/>
      <w:r w:rsidRPr="00FB60E5">
        <w:t xml:space="preserve"> in English: www.robinroom.net/womenmen.doc].</w:t>
      </w:r>
    </w:p>
    <w:p w14:paraId="38A475CA" w14:textId="77777777" w:rsidR="00225DFE" w:rsidRPr="00FB60E5" w:rsidRDefault="00225DFE" w:rsidP="00FB60E5">
      <w:pPr>
        <w:ind w:left="0"/>
      </w:pPr>
      <w:bookmarkStart w:id="351" w:name="_ENREF_46"/>
      <w:proofErr w:type="gramStart"/>
      <w:r w:rsidRPr="00FB60E5">
        <w:t xml:space="preserve">Ross, J., </w:t>
      </w:r>
      <w:proofErr w:type="spellStart"/>
      <w:r w:rsidRPr="00FB60E5">
        <w:t>Teesson</w:t>
      </w:r>
      <w:proofErr w:type="spellEnd"/>
      <w:r w:rsidRPr="00FB60E5">
        <w:t xml:space="preserve">, M., </w:t>
      </w:r>
      <w:proofErr w:type="spellStart"/>
      <w:r w:rsidRPr="00FB60E5">
        <w:t>Darke</w:t>
      </w:r>
      <w:proofErr w:type="spellEnd"/>
      <w:r w:rsidRPr="00FB60E5">
        <w:t xml:space="preserve">, S., </w:t>
      </w:r>
      <w:proofErr w:type="spellStart"/>
      <w:r w:rsidRPr="00FB60E5">
        <w:t>Lynskey</w:t>
      </w:r>
      <w:proofErr w:type="spellEnd"/>
      <w:r w:rsidRPr="00FB60E5">
        <w:t>, M., Ali, R., Ritter, A., &amp; Cooke, R. (2005).</w:t>
      </w:r>
      <w:proofErr w:type="gramEnd"/>
      <w:r w:rsidRPr="00FB60E5">
        <w:t xml:space="preserve"> The characteristics of heroin users entering treatment: findings from the Australian Treatment Outcome Study (ATOS). Drug and Alcohol Review, 24(5), 411-418. </w:t>
      </w:r>
      <w:proofErr w:type="spellStart"/>
      <w:proofErr w:type="gramStart"/>
      <w:r w:rsidRPr="00FB60E5">
        <w:t>doi</w:t>
      </w:r>
      <w:proofErr w:type="spellEnd"/>
      <w:proofErr w:type="gramEnd"/>
      <w:r w:rsidRPr="00FB60E5">
        <w:t>: 10.1080/09595230500286039</w:t>
      </w:r>
      <w:bookmarkEnd w:id="351"/>
    </w:p>
    <w:p w14:paraId="38A475CB" w14:textId="77777777" w:rsidR="00225DFE" w:rsidRPr="00FB60E5" w:rsidRDefault="00225DFE" w:rsidP="00FB60E5">
      <w:pPr>
        <w:ind w:left="0"/>
      </w:pPr>
      <w:bookmarkStart w:id="352" w:name="_ENREF_47"/>
      <w:proofErr w:type="gramStart"/>
      <w:r w:rsidRPr="00FB60E5">
        <w:t>Scott, C., Dennis, M., &amp; Foss, M. (2005).</w:t>
      </w:r>
      <w:proofErr w:type="gramEnd"/>
      <w:r w:rsidRPr="00FB60E5">
        <w:t xml:space="preserve"> </w:t>
      </w:r>
      <w:proofErr w:type="gramStart"/>
      <w:r w:rsidRPr="00FB60E5">
        <w:t xml:space="preserve">Utilizing Recovery Management </w:t>
      </w:r>
      <w:proofErr w:type="spellStart"/>
      <w:r w:rsidRPr="00FB60E5">
        <w:t>Checkups</w:t>
      </w:r>
      <w:proofErr w:type="spellEnd"/>
      <w:r w:rsidRPr="00FB60E5">
        <w:t xml:space="preserve"> to shorten the cycle of relapse, treatment </w:t>
      </w:r>
      <w:proofErr w:type="spellStart"/>
      <w:r w:rsidRPr="00FB60E5">
        <w:t>reentry</w:t>
      </w:r>
      <w:proofErr w:type="spellEnd"/>
      <w:r w:rsidRPr="00FB60E5">
        <w:t>, and recovery.</w:t>
      </w:r>
      <w:proofErr w:type="gramEnd"/>
      <w:r w:rsidRPr="00FB60E5">
        <w:t xml:space="preserve"> Drug and Alcohol Dependence, 78(3), 325-338. </w:t>
      </w:r>
      <w:proofErr w:type="spellStart"/>
      <w:proofErr w:type="gramStart"/>
      <w:r w:rsidRPr="00FB60E5">
        <w:t>doi</w:t>
      </w:r>
      <w:proofErr w:type="spellEnd"/>
      <w:proofErr w:type="gramEnd"/>
      <w:r w:rsidRPr="00FB60E5">
        <w:t>: 10.1016/j.drugalcdep.2004.12.005</w:t>
      </w:r>
      <w:bookmarkEnd w:id="352"/>
    </w:p>
    <w:p w14:paraId="1DB0D9FF" w14:textId="77777777" w:rsidR="002C27A8" w:rsidRDefault="00075673" w:rsidP="00FB60E5">
      <w:pPr>
        <w:ind w:left="0"/>
      </w:pPr>
      <w:bookmarkStart w:id="353" w:name="_ENREF_50"/>
      <w:proofErr w:type="gramStart"/>
      <w:r w:rsidRPr="00FB60E5">
        <w:t>Simpson, D., &amp; Brown, B. (1999).</w:t>
      </w:r>
      <w:proofErr w:type="gramEnd"/>
      <w:r w:rsidRPr="00FB60E5">
        <w:t xml:space="preserve"> Special issue on treatment process and outcome studies from DATOS. </w:t>
      </w:r>
      <w:proofErr w:type="gramStart"/>
      <w:r w:rsidRPr="00FB60E5">
        <w:t>Drug and Alcohol Dependence, 57(2)</w:t>
      </w:r>
      <w:r w:rsidR="002C27A8">
        <w:t>.</w:t>
      </w:r>
      <w:proofErr w:type="gramEnd"/>
    </w:p>
    <w:p w14:paraId="0B3086F3" w14:textId="77777777" w:rsidR="002C27A8" w:rsidRDefault="00075673" w:rsidP="00FB60E5">
      <w:pPr>
        <w:ind w:left="0"/>
      </w:pPr>
      <w:bookmarkStart w:id="354" w:name="_ENREF_48"/>
      <w:r w:rsidRPr="00FB60E5">
        <w:t xml:space="preserve">Simpson, D. D. (2004). </w:t>
      </w:r>
      <w:proofErr w:type="gramStart"/>
      <w:r w:rsidRPr="00FB60E5">
        <w:t>A conceptual framework for drug treatment process and outcomes.</w:t>
      </w:r>
      <w:proofErr w:type="gramEnd"/>
      <w:r w:rsidRPr="00FB60E5">
        <w:t xml:space="preserve"> Substance Abuse Treatment, 27, 99-121</w:t>
      </w:r>
      <w:bookmarkEnd w:id="354"/>
      <w:r w:rsidR="002C27A8">
        <w:t>.</w:t>
      </w:r>
    </w:p>
    <w:p w14:paraId="38A475CE" w14:textId="1AA370F1" w:rsidR="00075673" w:rsidRPr="00FB60E5" w:rsidRDefault="00075673" w:rsidP="00FB60E5">
      <w:pPr>
        <w:ind w:left="0"/>
      </w:pPr>
      <w:bookmarkStart w:id="355" w:name="_ENREF_49"/>
      <w:proofErr w:type="gramStart"/>
      <w:r w:rsidRPr="00FB60E5">
        <w:t>Simpson, D. D., &amp; Sells, S. B. (1990).</w:t>
      </w:r>
      <w:proofErr w:type="gramEnd"/>
      <w:r w:rsidRPr="00FB60E5">
        <w:t xml:space="preserve"> </w:t>
      </w:r>
      <w:proofErr w:type="spellStart"/>
      <w:r w:rsidRPr="00FB60E5">
        <w:t>Opiod</w:t>
      </w:r>
      <w:proofErr w:type="spellEnd"/>
      <w:r w:rsidRPr="00FB60E5">
        <w:t xml:space="preserve"> addiction and treatment: A 12-year follow-up. Malabar, FL: Krieger.</w:t>
      </w:r>
      <w:bookmarkEnd w:id="355"/>
    </w:p>
    <w:p w14:paraId="1ED9EC91" w14:textId="77777777" w:rsidR="002C27A8" w:rsidRDefault="00075673" w:rsidP="00FB60E5">
      <w:pPr>
        <w:ind w:left="0"/>
      </w:pPr>
      <w:r w:rsidRPr="00FB60E5">
        <w:t>Simpson, D., &amp; Sells, S. (1983). Effectiveness for treatment of drug abuse: an overview of the DARP research program. Advances in Alcohol and Substance Abuse, 2, 7-29</w:t>
      </w:r>
      <w:r w:rsidR="002C27A8">
        <w:t>.</w:t>
      </w:r>
    </w:p>
    <w:p w14:paraId="1D83BBDC" w14:textId="77777777" w:rsidR="002C27A8" w:rsidRDefault="00225DFE" w:rsidP="00FB60E5">
      <w:pPr>
        <w:ind w:left="0"/>
      </w:pPr>
      <w:proofErr w:type="gramStart"/>
      <w:r w:rsidRPr="00FB60E5">
        <w:t xml:space="preserve">Skevington, S., </w:t>
      </w:r>
      <w:proofErr w:type="spellStart"/>
      <w:r w:rsidRPr="00FB60E5">
        <w:t>Lotfy</w:t>
      </w:r>
      <w:proofErr w:type="spellEnd"/>
      <w:r w:rsidRPr="00FB60E5">
        <w:t>, M., &amp; O'Connell, K. (2004).</w:t>
      </w:r>
      <w:proofErr w:type="gramEnd"/>
      <w:r w:rsidRPr="00FB60E5">
        <w:t xml:space="preserve"> The World Health Organization’s WHO</w:t>
      </w:r>
      <w:r w:rsidR="00EE7A8F" w:rsidRPr="00FB60E5">
        <w:t>QOL</w:t>
      </w:r>
      <w:r w:rsidRPr="00FB60E5">
        <w:t xml:space="preserve">-BREF quality of life assessment: Psychometric properties and results of the international field trial. </w:t>
      </w:r>
      <w:proofErr w:type="gramStart"/>
      <w:r w:rsidRPr="00FB60E5">
        <w:t>A Report from the WHO</w:t>
      </w:r>
      <w:r w:rsidR="00EE7A8F" w:rsidRPr="00FB60E5">
        <w:t>QOL</w:t>
      </w:r>
      <w:r w:rsidRPr="00FB60E5">
        <w:t xml:space="preserve"> Group.</w:t>
      </w:r>
      <w:proofErr w:type="gramEnd"/>
      <w:r w:rsidRPr="00FB60E5">
        <w:t xml:space="preserve"> Quality of Life Research, 13, 299-310</w:t>
      </w:r>
      <w:bookmarkEnd w:id="353"/>
      <w:r w:rsidR="002C27A8">
        <w:t>.</w:t>
      </w:r>
    </w:p>
    <w:p w14:paraId="6CEC4574" w14:textId="77777777" w:rsidR="002C27A8" w:rsidRDefault="00145301" w:rsidP="00FB60E5">
      <w:pPr>
        <w:ind w:left="0"/>
      </w:pPr>
      <w:bookmarkStart w:id="356" w:name="_ENREF_51"/>
      <w:proofErr w:type="spellStart"/>
      <w:r w:rsidRPr="00FB60E5">
        <w:t>Stavro</w:t>
      </w:r>
      <w:proofErr w:type="spellEnd"/>
      <w:r w:rsidRPr="00FB60E5">
        <w:t xml:space="preserve">, K., Pelletier, J., &amp; Potvin, S. (2013). </w:t>
      </w:r>
      <w:r w:rsidR="00225DFE" w:rsidRPr="00FB60E5">
        <w:t xml:space="preserve">Widespread and sustained cognitive deficits in alcoholism: a meta-analysis. Addict </w:t>
      </w:r>
      <w:proofErr w:type="spellStart"/>
      <w:r w:rsidR="00225DFE" w:rsidRPr="00FB60E5">
        <w:t>Biol</w:t>
      </w:r>
      <w:proofErr w:type="spellEnd"/>
      <w:r w:rsidR="00225DFE" w:rsidRPr="00FB60E5">
        <w:t>, 18(2), 203-213</w:t>
      </w:r>
      <w:bookmarkEnd w:id="356"/>
      <w:r w:rsidR="002C27A8">
        <w:t>.</w:t>
      </w:r>
    </w:p>
    <w:p w14:paraId="38A475D2" w14:textId="583E666D" w:rsidR="00225DFE" w:rsidRPr="00FB60E5" w:rsidRDefault="00225DFE" w:rsidP="00FB60E5">
      <w:pPr>
        <w:ind w:left="0"/>
      </w:pPr>
      <w:bookmarkStart w:id="357" w:name="_ENREF_52"/>
      <w:proofErr w:type="spellStart"/>
      <w:r w:rsidRPr="00FB60E5">
        <w:t>Teesson</w:t>
      </w:r>
      <w:proofErr w:type="spellEnd"/>
      <w:r w:rsidRPr="00FB60E5">
        <w:t xml:space="preserve">, M., Mills, K., Ross, J., </w:t>
      </w:r>
      <w:proofErr w:type="spellStart"/>
      <w:r w:rsidRPr="00FB60E5">
        <w:t>Darke</w:t>
      </w:r>
      <w:proofErr w:type="spellEnd"/>
      <w:r w:rsidRPr="00FB60E5">
        <w:t xml:space="preserve">, S., Williamson, A., &amp; </w:t>
      </w:r>
      <w:proofErr w:type="spellStart"/>
      <w:r w:rsidRPr="00FB60E5">
        <w:t>Havard</w:t>
      </w:r>
      <w:proofErr w:type="spellEnd"/>
      <w:r w:rsidRPr="00FB60E5">
        <w:t xml:space="preserve">, A. (2008). The impact of treatment on 3 years' outcome for heroin dependence: findings from the Australian Treatment Outcome Study (ATOS). Addiction, 103(1), 80-88. </w:t>
      </w:r>
      <w:proofErr w:type="spellStart"/>
      <w:proofErr w:type="gramStart"/>
      <w:r w:rsidRPr="00FB60E5">
        <w:t>doi</w:t>
      </w:r>
      <w:proofErr w:type="spellEnd"/>
      <w:proofErr w:type="gramEnd"/>
      <w:r w:rsidRPr="00FB60E5">
        <w:t>: 10.1111/j.1360-0443.2007.02029.x</w:t>
      </w:r>
      <w:bookmarkEnd w:id="357"/>
    </w:p>
    <w:p w14:paraId="38A475D3" w14:textId="77777777" w:rsidR="00075673" w:rsidRPr="00FB60E5" w:rsidRDefault="00075673" w:rsidP="00FB60E5">
      <w:pPr>
        <w:ind w:left="0"/>
      </w:pPr>
      <w:proofErr w:type="spellStart"/>
      <w:proofErr w:type="gramStart"/>
      <w:r w:rsidRPr="00FB60E5">
        <w:t>Teesson</w:t>
      </w:r>
      <w:proofErr w:type="spellEnd"/>
      <w:r w:rsidRPr="00FB60E5">
        <w:t>, M., Slade, T., &amp; Mills, K. (2009).</w:t>
      </w:r>
      <w:proofErr w:type="gramEnd"/>
      <w:r w:rsidRPr="00FB60E5">
        <w:t xml:space="preserve"> Comorbidity in Australia: Findings of the 2007 National Survey of Mental Health and Wellbeing. Australia and New Zealand Journal of Psychiatry 43 (7), 606-614</w:t>
      </w:r>
    </w:p>
    <w:p w14:paraId="336AF582" w14:textId="77777777" w:rsidR="002C27A8" w:rsidRDefault="00225DFE" w:rsidP="00FB60E5">
      <w:pPr>
        <w:ind w:left="0"/>
      </w:pPr>
      <w:bookmarkStart w:id="358" w:name="_ENREF_53"/>
      <w:proofErr w:type="spellStart"/>
      <w:proofErr w:type="gramStart"/>
      <w:r w:rsidRPr="00FB60E5">
        <w:t>Timko</w:t>
      </w:r>
      <w:proofErr w:type="spellEnd"/>
      <w:r w:rsidRPr="00FB60E5">
        <w:t xml:space="preserve">, C., </w:t>
      </w:r>
      <w:proofErr w:type="spellStart"/>
      <w:r w:rsidRPr="00FB60E5">
        <w:t>DeBenedetti</w:t>
      </w:r>
      <w:proofErr w:type="spellEnd"/>
      <w:r w:rsidRPr="00FB60E5">
        <w:t>, A., &amp; Billow, R. (2006).</w:t>
      </w:r>
      <w:proofErr w:type="gramEnd"/>
      <w:r w:rsidRPr="00FB60E5">
        <w:t xml:space="preserve"> </w:t>
      </w:r>
      <w:proofErr w:type="gramStart"/>
      <w:r w:rsidRPr="00FB60E5">
        <w:t>Intensive referral to 12 step self-help groups and 6-month substance disorder outcomes.</w:t>
      </w:r>
      <w:proofErr w:type="gramEnd"/>
      <w:r w:rsidRPr="00FB60E5">
        <w:t xml:space="preserve"> Addiction 101, 678-688</w:t>
      </w:r>
      <w:bookmarkEnd w:id="358"/>
      <w:r w:rsidR="002C27A8">
        <w:t>.</w:t>
      </w:r>
    </w:p>
    <w:p w14:paraId="584CB462" w14:textId="77777777" w:rsidR="002C27A8" w:rsidRDefault="00225DFE" w:rsidP="00FB60E5">
      <w:pPr>
        <w:ind w:left="0"/>
      </w:pPr>
      <w:bookmarkStart w:id="359" w:name="_ENREF_54"/>
      <w:proofErr w:type="spellStart"/>
      <w:proofErr w:type="gramStart"/>
      <w:r w:rsidRPr="00FB60E5">
        <w:t>Vanderplasschen</w:t>
      </w:r>
      <w:proofErr w:type="spellEnd"/>
      <w:r w:rsidRPr="00FB60E5">
        <w:t xml:space="preserve">, W., Rapp, R., Wolf, J., &amp; </w:t>
      </w:r>
      <w:proofErr w:type="spellStart"/>
      <w:r w:rsidRPr="00FB60E5">
        <w:t>Broekaert</w:t>
      </w:r>
      <w:proofErr w:type="spellEnd"/>
      <w:r w:rsidRPr="00FB60E5">
        <w:t>, E. (2004).</w:t>
      </w:r>
      <w:proofErr w:type="gramEnd"/>
      <w:r w:rsidRPr="00FB60E5">
        <w:t xml:space="preserve"> Comparative review of the development and implementation of case management for substance use disorders in North America and Europe. </w:t>
      </w:r>
      <w:proofErr w:type="spellStart"/>
      <w:r w:rsidRPr="00FB60E5">
        <w:t>Psychiatr</w:t>
      </w:r>
      <w:proofErr w:type="spellEnd"/>
      <w:r w:rsidRPr="00FB60E5">
        <w:t xml:space="preserve"> </w:t>
      </w:r>
      <w:proofErr w:type="spellStart"/>
      <w:r w:rsidRPr="00FB60E5">
        <w:t>Serv</w:t>
      </w:r>
      <w:proofErr w:type="spellEnd"/>
      <w:r w:rsidRPr="00FB60E5">
        <w:t>, 55(8), 913-922</w:t>
      </w:r>
      <w:bookmarkEnd w:id="359"/>
      <w:r w:rsidR="002C27A8">
        <w:t>.</w:t>
      </w:r>
    </w:p>
    <w:p w14:paraId="38A475D6" w14:textId="003A5147" w:rsidR="00225DFE" w:rsidRPr="00FB60E5" w:rsidRDefault="00225DFE" w:rsidP="00FB60E5">
      <w:pPr>
        <w:ind w:left="0"/>
      </w:pPr>
      <w:bookmarkStart w:id="360" w:name="_ENREF_55"/>
      <w:proofErr w:type="spellStart"/>
      <w:proofErr w:type="gramStart"/>
      <w:r w:rsidRPr="00FB60E5">
        <w:t>Vanderplasschen</w:t>
      </w:r>
      <w:proofErr w:type="spellEnd"/>
      <w:r w:rsidRPr="00FB60E5">
        <w:t xml:space="preserve">, W., </w:t>
      </w:r>
      <w:proofErr w:type="spellStart"/>
      <w:r w:rsidRPr="00FB60E5">
        <w:t>Vandevelde</w:t>
      </w:r>
      <w:proofErr w:type="spellEnd"/>
      <w:r w:rsidRPr="00FB60E5">
        <w:t xml:space="preserve">, S., &amp; </w:t>
      </w:r>
      <w:proofErr w:type="spellStart"/>
      <w:r w:rsidRPr="00FB60E5">
        <w:t>Broekaert</w:t>
      </w:r>
      <w:proofErr w:type="spellEnd"/>
      <w:r w:rsidRPr="00FB60E5">
        <w:t>, E. (2014).</w:t>
      </w:r>
      <w:proofErr w:type="gramEnd"/>
      <w:r w:rsidRPr="00FB60E5">
        <w:t xml:space="preserve"> Therapeutic communities for treating addictions in Europe: Evidence, current practices and future challenges. </w:t>
      </w:r>
      <w:proofErr w:type="gramStart"/>
      <w:r w:rsidRPr="00FB60E5">
        <w:t>In European Monitoring Centre for Drugs and Drug Addiction (Ed.).</w:t>
      </w:r>
      <w:proofErr w:type="gramEnd"/>
      <w:r w:rsidRPr="00FB60E5">
        <w:t xml:space="preserve"> Spain.</w:t>
      </w:r>
      <w:bookmarkEnd w:id="360"/>
    </w:p>
    <w:p w14:paraId="38A475D7" w14:textId="77777777" w:rsidR="00225DFE" w:rsidRPr="00FB60E5" w:rsidRDefault="00225DFE" w:rsidP="00FB60E5">
      <w:pPr>
        <w:ind w:left="0"/>
      </w:pPr>
      <w:bookmarkStart w:id="361" w:name="_ENREF_56"/>
      <w:proofErr w:type="gramStart"/>
      <w:r w:rsidRPr="00FB60E5">
        <w:t>Victorian Auditor-General.</w:t>
      </w:r>
      <w:proofErr w:type="gramEnd"/>
      <w:r w:rsidRPr="00FB60E5">
        <w:t xml:space="preserve"> </w:t>
      </w:r>
      <w:proofErr w:type="gramStart"/>
      <w:r w:rsidRPr="00FB60E5">
        <w:t>(2011). Managing Drug and Alcohol Prevention and Treatment Services.</w:t>
      </w:r>
      <w:proofErr w:type="gramEnd"/>
      <w:r w:rsidRPr="00FB60E5">
        <w:t xml:space="preserve"> Melbourne: State Government of Victoria.</w:t>
      </w:r>
      <w:bookmarkEnd w:id="361"/>
    </w:p>
    <w:p w14:paraId="74B55ECF" w14:textId="77777777" w:rsidR="002C27A8" w:rsidRDefault="00225DFE" w:rsidP="00FB60E5">
      <w:pPr>
        <w:ind w:left="0"/>
      </w:pPr>
      <w:bookmarkStart w:id="362" w:name="_ENREF_57"/>
      <w:proofErr w:type="spellStart"/>
      <w:r w:rsidRPr="00FB60E5">
        <w:t>Weisner</w:t>
      </w:r>
      <w:proofErr w:type="spellEnd"/>
      <w:r w:rsidRPr="00FB60E5">
        <w:t>, C. (1990). The alcohol treatment-seeking process from a problem perspective: Response to events. British Journal of Addiction, 85(5), 561-569</w:t>
      </w:r>
      <w:bookmarkEnd w:id="362"/>
      <w:r w:rsidR="002C27A8">
        <w:t>.</w:t>
      </w:r>
    </w:p>
    <w:p w14:paraId="758E1C34" w14:textId="77777777" w:rsidR="002C27A8" w:rsidRDefault="00225DFE" w:rsidP="00FB60E5">
      <w:pPr>
        <w:ind w:left="0"/>
      </w:pPr>
      <w:bookmarkStart w:id="363" w:name="_ENREF_58"/>
      <w:proofErr w:type="spellStart"/>
      <w:proofErr w:type="gramStart"/>
      <w:r w:rsidRPr="00FB60E5">
        <w:lastRenderedPageBreak/>
        <w:t>Weisner</w:t>
      </w:r>
      <w:proofErr w:type="spellEnd"/>
      <w:r w:rsidRPr="00FB60E5">
        <w:t xml:space="preserve">, C., </w:t>
      </w:r>
      <w:proofErr w:type="spellStart"/>
      <w:r w:rsidRPr="00FB60E5">
        <w:t>Delucchi</w:t>
      </w:r>
      <w:proofErr w:type="spellEnd"/>
      <w:r w:rsidRPr="00FB60E5">
        <w:t xml:space="preserve">, K., </w:t>
      </w:r>
      <w:proofErr w:type="spellStart"/>
      <w:r w:rsidRPr="00FB60E5">
        <w:t>Matzger</w:t>
      </w:r>
      <w:proofErr w:type="spellEnd"/>
      <w:r w:rsidRPr="00FB60E5">
        <w:t>, H., &amp; Schmidt, L. (2003).</w:t>
      </w:r>
      <w:proofErr w:type="gramEnd"/>
      <w:r w:rsidRPr="00FB60E5">
        <w:t xml:space="preserve"> </w:t>
      </w:r>
      <w:proofErr w:type="gramStart"/>
      <w:r w:rsidRPr="00FB60E5">
        <w:t>The role of community services and informal support on five-year drinking trajectories of alcohol dependent and problem drinkers.</w:t>
      </w:r>
      <w:proofErr w:type="gramEnd"/>
      <w:r w:rsidRPr="00FB60E5">
        <w:t xml:space="preserve"> Journal of Studies on Alcohol, 64, 862-873</w:t>
      </w:r>
      <w:bookmarkEnd w:id="363"/>
      <w:r w:rsidR="002C27A8">
        <w:t>.</w:t>
      </w:r>
    </w:p>
    <w:p w14:paraId="3C5B1207" w14:textId="77777777" w:rsidR="002C27A8" w:rsidRDefault="00225DFE" w:rsidP="00FB60E5">
      <w:pPr>
        <w:ind w:left="0"/>
      </w:pPr>
      <w:bookmarkStart w:id="364" w:name="_ENREF_59"/>
      <w:proofErr w:type="spellStart"/>
      <w:proofErr w:type="gramStart"/>
      <w:r w:rsidRPr="00FB60E5">
        <w:t>Weisner</w:t>
      </w:r>
      <w:proofErr w:type="spellEnd"/>
      <w:r w:rsidRPr="00FB60E5">
        <w:t xml:space="preserve">, C., </w:t>
      </w:r>
      <w:proofErr w:type="spellStart"/>
      <w:r w:rsidRPr="00FB60E5">
        <w:t>Hinman</w:t>
      </w:r>
      <w:proofErr w:type="spellEnd"/>
      <w:r w:rsidRPr="00FB60E5">
        <w:t xml:space="preserve">, A., Lu, Y., Chi, F. W., &amp; </w:t>
      </w:r>
      <w:proofErr w:type="spellStart"/>
      <w:r w:rsidRPr="00FB60E5">
        <w:t>Mertens</w:t>
      </w:r>
      <w:proofErr w:type="spellEnd"/>
      <w:r w:rsidRPr="00FB60E5">
        <w:t>, J. (2010).</w:t>
      </w:r>
      <w:proofErr w:type="gramEnd"/>
      <w:r w:rsidRPr="00FB60E5">
        <w:t xml:space="preserve"> Addiction treatment ultimatums and U.S. health reform: A case study. </w:t>
      </w:r>
      <w:proofErr w:type="spellStart"/>
      <w:r w:rsidRPr="00FB60E5">
        <w:t>Nordi</w:t>
      </w:r>
      <w:proofErr w:type="spellEnd"/>
      <w:r w:rsidRPr="00FB60E5">
        <w:t xml:space="preserve"> Studies on Alcohol and Drugs, 27(6), 685-698</w:t>
      </w:r>
      <w:bookmarkEnd w:id="364"/>
      <w:r w:rsidR="002C27A8">
        <w:t>.</w:t>
      </w:r>
    </w:p>
    <w:p w14:paraId="22A3E94C" w14:textId="77777777" w:rsidR="002C27A8" w:rsidRDefault="00225DFE" w:rsidP="00FB60E5">
      <w:pPr>
        <w:ind w:left="0"/>
      </w:pPr>
      <w:bookmarkStart w:id="365" w:name="_ENREF_60"/>
      <w:proofErr w:type="gramStart"/>
      <w:r w:rsidRPr="00FB60E5">
        <w:t>White, W. (2009).</w:t>
      </w:r>
      <w:proofErr w:type="gramEnd"/>
      <w:r w:rsidRPr="00FB60E5">
        <w:t xml:space="preserve"> </w:t>
      </w:r>
      <w:proofErr w:type="gramStart"/>
      <w:r w:rsidRPr="00FB60E5">
        <w:t>The mobilisation of community resources to support long-term addiction recovery.</w:t>
      </w:r>
      <w:proofErr w:type="gramEnd"/>
      <w:r w:rsidRPr="00FB60E5">
        <w:t xml:space="preserve"> J </w:t>
      </w:r>
      <w:proofErr w:type="spellStart"/>
      <w:r w:rsidRPr="00FB60E5">
        <w:t>Subst</w:t>
      </w:r>
      <w:proofErr w:type="spellEnd"/>
      <w:r w:rsidRPr="00FB60E5">
        <w:t xml:space="preserve"> Abuse Treat, 36, 146-158</w:t>
      </w:r>
      <w:bookmarkEnd w:id="365"/>
      <w:r w:rsidR="002C27A8">
        <w:t>.</w:t>
      </w:r>
    </w:p>
    <w:p w14:paraId="38A475DC" w14:textId="5178CED7" w:rsidR="00225DFE" w:rsidRPr="00FB60E5" w:rsidRDefault="007918BF" w:rsidP="00FB60E5">
      <w:pPr>
        <w:ind w:left="0"/>
      </w:pPr>
      <w:proofErr w:type="spellStart"/>
      <w:r w:rsidRPr="00FB60E5">
        <w:t>Zimet</w:t>
      </w:r>
      <w:proofErr w:type="spellEnd"/>
      <w:r w:rsidRPr="00FB60E5">
        <w:t xml:space="preserve">, G. D., </w:t>
      </w:r>
      <w:proofErr w:type="spellStart"/>
      <w:r w:rsidRPr="00FB60E5">
        <w:t>Dahlem</w:t>
      </w:r>
      <w:proofErr w:type="spellEnd"/>
      <w:r w:rsidRPr="00FB60E5">
        <w:t xml:space="preserve">, N. W., </w:t>
      </w:r>
      <w:proofErr w:type="spellStart"/>
      <w:r w:rsidRPr="00FB60E5">
        <w:t>Zimet</w:t>
      </w:r>
      <w:proofErr w:type="spellEnd"/>
      <w:r w:rsidRPr="00FB60E5">
        <w:t xml:space="preserve">, S. G., &amp; Farley, G. K. (1988). </w:t>
      </w:r>
      <w:proofErr w:type="gramStart"/>
      <w:r w:rsidRPr="00FB60E5">
        <w:t>The multidimensional scale of perceived social support.</w:t>
      </w:r>
      <w:proofErr w:type="gramEnd"/>
      <w:r w:rsidRPr="00FB60E5">
        <w:t xml:space="preserve"> Journal of Personality Assessment, 52(1), 30-41.</w:t>
      </w:r>
    </w:p>
    <w:sectPr w:rsidR="00225DFE" w:rsidRPr="00FB60E5" w:rsidSect="00836C52">
      <w:footerReference w:type="default" r:id="rId35"/>
      <w:pgSz w:w="11906" w:h="16838"/>
      <w:pgMar w:top="1440" w:right="1440" w:bottom="1440" w:left="1440" w:header="708" w:footer="59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8C4D1" w15:done="0"/>
  <w15:commentEx w15:paraId="2AF3574D" w15:done="0"/>
  <w15:commentEx w15:paraId="5468E27D" w15:done="0"/>
  <w15:commentEx w15:paraId="56C5B41E" w15:done="0"/>
  <w15:commentEx w15:paraId="799BD383" w15:done="0"/>
  <w15:commentEx w15:paraId="48759FC0" w15:done="0"/>
  <w15:commentEx w15:paraId="0A89E0A0" w15:done="0"/>
  <w15:commentEx w15:paraId="03513789" w15:done="0"/>
  <w15:commentEx w15:paraId="520665D8" w15:done="0"/>
  <w15:commentEx w15:paraId="332386FE" w15:done="0"/>
  <w15:commentEx w15:paraId="576E9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7601" w14:textId="77777777" w:rsidR="009A63CC" w:rsidRDefault="009A63CC" w:rsidP="00901D28">
      <w:pPr>
        <w:spacing w:after="0"/>
      </w:pPr>
      <w:r>
        <w:separator/>
      </w:r>
    </w:p>
  </w:endnote>
  <w:endnote w:type="continuationSeparator" w:id="0">
    <w:p w14:paraId="38A47602" w14:textId="77777777" w:rsidR="009A63CC" w:rsidRDefault="009A63CC" w:rsidP="00901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7603" w14:textId="77777777" w:rsidR="009A63CC" w:rsidRPr="002143E0" w:rsidRDefault="009A63CC" w:rsidP="00AB65E8">
    <w:pPr>
      <w:jc w:val="right"/>
      <w:rPr>
        <w:b/>
        <w:sz w:val="20"/>
        <w:szCs w:val="20"/>
      </w:rPr>
    </w:pPr>
    <w:r w:rsidRPr="002143E0">
      <w:rPr>
        <w:b/>
        <w:sz w:val="20"/>
        <w:szCs w:val="20"/>
      </w:rPr>
      <w:fldChar w:fldCharType="begin"/>
    </w:r>
    <w:r w:rsidRPr="002143E0">
      <w:rPr>
        <w:b/>
        <w:sz w:val="20"/>
        <w:szCs w:val="20"/>
      </w:rPr>
      <w:instrText xml:space="preserve"> PAGE   \* MERGEFORMAT </w:instrText>
    </w:r>
    <w:r w:rsidRPr="002143E0">
      <w:rPr>
        <w:b/>
        <w:sz w:val="20"/>
        <w:szCs w:val="20"/>
      </w:rPr>
      <w:fldChar w:fldCharType="separate"/>
    </w:r>
    <w:r>
      <w:rPr>
        <w:b/>
        <w:noProof/>
        <w:sz w:val="20"/>
        <w:szCs w:val="20"/>
      </w:rPr>
      <w:t>XV</w:t>
    </w:r>
    <w:r w:rsidRPr="002143E0">
      <w:rPr>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7606" w14:textId="77777777" w:rsidR="009A63CC" w:rsidRPr="002143E0" w:rsidRDefault="009A63CC" w:rsidP="00AB65E8">
    <w:pPr>
      <w:jc w:val="right"/>
      <w:rPr>
        <w:b/>
        <w:sz w:val="20"/>
        <w:szCs w:val="20"/>
      </w:rPr>
    </w:pPr>
    <w:r w:rsidRPr="002143E0">
      <w:rPr>
        <w:b/>
        <w:sz w:val="20"/>
        <w:szCs w:val="20"/>
      </w:rPr>
      <w:fldChar w:fldCharType="begin"/>
    </w:r>
    <w:r w:rsidRPr="002143E0">
      <w:rPr>
        <w:b/>
        <w:sz w:val="20"/>
        <w:szCs w:val="20"/>
      </w:rPr>
      <w:instrText xml:space="preserve"> PAGE   \* MERGEFORMAT </w:instrText>
    </w:r>
    <w:r w:rsidRPr="002143E0">
      <w:rPr>
        <w:b/>
        <w:sz w:val="20"/>
        <w:szCs w:val="20"/>
      </w:rPr>
      <w:fldChar w:fldCharType="separate"/>
    </w:r>
    <w:r w:rsidR="006E732F">
      <w:rPr>
        <w:b/>
        <w:noProof/>
        <w:sz w:val="20"/>
        <w:szCs w:val="20"/>
      </w:rPr>
      <w:t>1</w:t>
    </w:r>
    <w:r w:rsidRPr="002143E0">
      <w:rPr>
        <w:b/>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47607" w14:textId="77777777" w:rsidR="009A63CC" w:rsidRPr="002143E0" w:rsidRDefault="009A63CC" w:rsidP="00AB65E8">
    <w:pPr>
      <w:jc w:val="right"/>
      <w:rPr>
        <w:b/>
        <w:sz w:val="20"/>
        <w:szCs w:val="20"/>
      </w:rPr>
    </w:pPr>
    <w:r w:rsidRPr="002143E0">
      <w:rPr>
        <w:b/>
        <w:sz w:val="20"/>
        <w:szCs w:val="20"/>
      </w:rPr>
      <w:fldChar w:fldCharType="begin"/>
    </w:r>
    <w:r w:rsidRPr="002143E0">
      <w:rPr>
        <w:b/>
        <w:sz w:val="20"/>
        <w:szCs w:val="20"/>
      </w:rPr>
      <w:instrText xml:space="preserve"> PAGE   \* MERGEFORMAT </w:instrText>
    </w:r>
    <w:r w:rsidRPr="002143E0">
      <w:rPr>
        <w:b/>
        <w:sz w:val="20"/>
        <w:szCs w:val="20"/>
      </w:rPr>
      <w:fldChar w:fldCharType="separate"/>
    </w:r>
    <w:r w:rsidR="006E732F">
      <w:rPr>
        <w:b/>
        <w:noProof/>
        <w:sz w:val="20"/>
        <w:szCs w:val="20"/>
      </w:rPr>
      <w:t>141</w:t>
    </w:r>
    <w:r w:rsidRPr="002143E0">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475FF" w14:textId="77777777" w:rsidR="009A63CC" w:rsidRDefault="009A63CC" w:rsidP="00901D28">
      <w:pPr>
        <w:spacing w:after="0"/>
      </w:pPr>
      <w:r>
        <w:separator/>
      </w:r>
    </w:p>
  </w:footnote>
  <w:footnote w:type="continuationSeparator" w:id="0">
    <w:p w14:paraId="38A47600" w14:textId="77777777" w:rsidR="009A63CC" w:rsidRDefault="009A63CC" w:rsidP="00901D28">
      <w:pPr>
        <w:spacing w:after="0"/>
      </w:pPr>
      <w:r>
        <w:continuationSeparator/>
      </w:r>
    </w:p>
  </w:footnote>
  <w:footnote w:id="1">
    <w:p w14:paraId="38A47608" w14:textId="77777777" w:rsidR="009A63CC" w:rsidRDefault="009A63CC" w:rsidP="001C692B">
      <w:pPr>
        <w:pStyle w:val="FootnoteText"/>
      </w:pPr>
      <w:r w:rsidRPr="00984AEF">
        <w:rPr>
          <w:rStyle w:val="FootnoteReference"/>
        </w:rPr>
        <w:footnoteRef/>
      </w:r>
      <w:r w:rsidRPr="00984AEF">
        <w:t xml:space="preserve"> Mutual aid refers to peer-support groups where people with similar experiences help each other to manage or overcome issues and build a network of support. The most commonly a</w:t>
      </w:r>
      <w:r>
        <w:t xml:space="preserve">ttended mutual aid groups were </w:t>
      </w:r>
      <w:r w:rsidRPr="00984AEF">
        <w:t>Alcoholics Anonymous, Narcotics Anonymous, other 12-step meetings, SMART recovery or other recovery groups.</w:t>
      </w:r>
    </w:p>
  </w:footnote>
  <w:footnote w:id="2">
    <w:p w14:paraId="38A47609" w14:textId="2F0AA461" w:rsidR="009A63CC" w:rsidRPr="00BA6C75" w:rsidRDefault="009A63CC" w:rsidP="00A273D8">
      <w:pPr>
        <w:pStyle w:val="FootnoteText"/>
        <w:rPr>
          <w:rFonts w:eastAsia="Times New Roman"/>
          <w:bCs/>
        </w:rPr>
      </w:pPr>
      <w:r w:rsidRPr="00BA6C75">
        <w:rPr>
          <w:rStyle w:val="FootnoteReference"/>
        </w:rPr>
        <w:footnoteRef/>
      </w:r>
      <w:r w:rsidRPr="00BA6C75">
        <w:t xml:space="preserve"> The term recovery as used in this report is </w:t>
      </w:r>
      <w:r w:rsidRPr="00BA6C75">
        <w:rPr>
          <w:rFonts w:asciiTheme="minorHAnsi" w:eastAsia="Times New Roman" w:hAnsiTheme="minorHAnsi" w:cstheme="minorHAnsi"/>
          <w:bCs/>
        </w:rPr>
        <w:t>based</w:t>
      </w:r>
      <w:r>
        <w:rPr>
          <w:rFonts w:asciiTheme="minorHAnsi" w:eastAsia="Times New Roman" w:hAnsiTheme="minorHAnsi" w:cstheme="minorHAnsi"/>
          <w:bCs/>
        </w:rPr>
        <w:t xml:space="preserve"> on work conducted by the </w:t>
      </w:r>
      <w:r w:rsidRPr="00F16469">
        <w:rPr>
          <w:rFonts w:asciiTheme="minorHAnsi" w:eastAsia="Times New Roman" w:hAnsiTheme="minorHAnsi" w:cstheme="minorHAnsi"/>
          <w:bCs/>
        </w:rPr>
        <w:t>UK Drug Policy Commission</w:t>
      </w:r>
      <w:r>
        <w:rPr>
          <w:rFonts w:asciiTheme="minorHAnsi" w:eastAsia="Times New Roman" w:hAnsiTheme="minorHAnsi" w:cstheme="minorHAnsi"/>
          <w:bCs/>
        </w:rPr>
        <w:t xml:space="preserve">, which defined recovery as ‘voluntarily sustained control over substance use which maximises health and wellbeing, and participation in rights, roles and participation in society’. Controlled use in this context ‘means ‘comfortable and sustained freedom from compulsion to use’. For some this may mean abstinence, for others it may mean abstinence supported by prescribed medication and for others consistently moderate use of some substances (UKDPC, 2008, pp. 5-6). </w:t>
      </w:r>
    </w:p>
  </w:footnote>
  <w:footnote w:id="3">
    <w:p w14:paraId="38A4760A" w14:textId="77777777" w:rsidR="009A63CC" w:rsidRDefault="009A63CC" w:rsidP="00A33370">
      <w:pPr>
        <w:pStyle w:val="FootnoteText"/>
      </w:pPr>
      <w:r>
        <w:rPr>
          <w:rStyle w:val="FootnoteReference"/>
        </w:rPr>
        <w:footnoteRef/>
      </w:r>
      <w:r>
        <w:t xml:space="preserve"> At the time of the consultation the 2009/10 was most recent data available. </w:t>
      </w:r>
    </w:p>
  </w:footnote>
  <w:footnote w:id="4">
    <w:p w14:paraId="38A4760B" w14:textId="3D519047" w:rsidR="009A63CC" w:rsidRDefault="009A63CC">
      <w:pPr>
        <w:pStyle w:val="FootnoteText"/>
      </w:pPr>
      <w:r>
        <w:rPr>
          <w:rStyle w:val="FootnoteReference"/>
        </w:rPr>
        <w:footnoteRef/>
      </w:r>
      <w:r>
        <w:t xml:space="preserve"> At the time of the consultation the 2009/10 was most recent data available. 2011/12 data is used to weight the data in the Patient Pathways cohort in section 3.</w:t>
      </w:r>
    </w:p>
  </w:footnote>
  <w:footnote w:id="5">
    <w:p w14:paraId="38A4760C" w14:textId="77777777" w:rsidR="009A63CC" w:rsidRDefault="009A63CC">
      <w:pPr>
        <w:pStyle w:val="FootnoteText"/>
      </w:pPr>
      <w:r>
        <w:rPr>
          <w:rStyle w:val="FootnoteReference"/>
        </w:rPr>
        <w:footnoteRef/>
      </w:r>
      <w:r>
        <w:t xml:space="preserve"> For AOD services, detailed information included drug of concern, month of contact and referral source. Only total number of contacts was recorded for use of self-help and mutual aid programs and GP. For health and community services detailed information included month of contact and referral source and for justice system contacts the month of contact was recorded. </w:t>
      </w:r>
    </w:p>
  </w:footnote>
  <w:footnote w:id="6">
    <w:p w14:paraId="38A4760D" w14:textId="77777777" w:rsidR="009A63CC" w:rsidRDefault="009A63CC">
      <w:pPr>
        <w:pStyle w:val="FootnoteText"/>
      </w:pPr>
      <w:r>
        <w:rPr>
          <w:rStyle w:val="FootnoteReference"/>
        </w:rPr>
        <w:footnoteRef/>
      </w:r>
      <w:r>
        <w:t xml:space="preserve"> </w:t>
      </w:r>
      <w:r>
        <w:rPr>
          <w:lang w:val="en-US"/>
        </w:rPr>
        <w:t>p values refer to tests of null hypotheses for differences between the three PIT types (see methods section for statistical test used)</w:t>
      </w:r>
    </w:p>
  </w:footnote>
  <w:footnote w:id="7">
    <w:p w14:paraId="38A4760E" w14:textId="29C4DBB8" w:rsidR="009A63CC" w:rsidRPr="00BA6C75" w:rsidRDefault="009A63CC" w:rsidP="00422154">
      <w:pPr>
        <w:pStyle w:val="FootnoteText"/>
        <w:rPr>
          <w:rFonts w:eastAsia="Times New Roman"/>
          <w:bCs/>
        </w:rPr>
      </w:pPr>
      <w:r w:rsidRPr="00BA6C75">
        <w:rPr>
          <w:rStyle w:val="FootnoteReference"/>
        </w:rPr>
        <w:footnoteRef/>
      </w:r>
      <w:r w:rsidRPr="00BA6C75">
        <w:t xml:space="preserve"> The term recovery as used in this report is </w:t>
      </w:r>
      <w:r w:rsidRPr="00BA6C75">
        <w:rPr>
          <w:rFonts w:asciiTheme="minorHAnsi" w:eastAsia="Times New Roman" w:hAnsiTheme="minorHAnsi" w:cstheme="minorHAnsi"/>
          <w:bCs/>
        </w:rPr>
        <w:t>based</w:t>
      </w:r>
      <w:r>
        <w:rPr>
          <w:rFonts w:asciiTheme="minorHAnsi" w:eastAsia="Times New Roman" w:hAnsiTheme="minorHAnsi" w:cstheme="minorHAnsi"/>
          <w:bCs/>
        </w:rPr>
        <w:t xml:space="preserve"> on work conducted by the </w:t>
      </w:r>
      <w:r w:rsidRPr="00F16469">
        <w:rPr>
          <w:rFonts w:asciiTheme="minorHAnsi" w:eastAsia="Times New Roman" w:hAnsiTheme="minorHAnsi" w:cstheme="minorHAnsi"/>
          <w:bCs/>
        </w:rPr>
        <w:t>UK Drug Policy Commission</w:t>
      </w:r>
      <w:r>
        <w:rPr>
          <w:rFonts w:asciiTheme="minorHAnsi" w:eastAsia="Times New Roman" w:hAnsiTheme="minorHAnsi" w:cstheme="minorHAnsi"/>
          <w:bCs/>
        </w:rPr>
        <w:t xml:space="preserve">, which defined recovery as ‘voluntarily sustained control over substance use which maximises health and wellbeing, and participation in rights, roles and participation in society’. Controlled use in this context </w:t>
      </w:r>
      <w:proofErr w:type="gramStart"/>
      <w:r>
        <w:rPr>
          <w:rFonts w:asciiTheme="minorHAnsi" w:eastAsia="Times New Roman" w:hAnsiTheme="minorHAnsi" w:cstheme="minorHAnsi"/>
          <w:bCs/>
        </w:rPr>
        <w:t>‘means‘ comfortable</w:t>
      </w:r>
      <w:proofErr w:type="gramEnd"/>
      <w:r>
        <w:rPr>
          <w:rFonts w:asciiTheme="minorHAnsi" w:eastAsia="Times New Roman" w:hAnsiTheme="minorHAnsi" w:cstheme="minorHAnsi"/>
          <w:bCs/>
        </w:rPr>
        <w:t xml:space="preserve"> and sustained freedom from compulsion to use’. For some this may mean abstinence, for others it may mean abstinence supported by prescribed medication and for others consistently moderate use of some substances (UKDPC, 2008, pp. 5-6).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4F3"/>
    <w:multiLevelType w:val="hybridMultilevel"/>
    <w:tmpl w:val="501A741E"/>
    <w:lvl w:ilvl="0" w:tplc="B03A1696">
      <w:start w:val="1"/>
      <w:numFmt w:val="decimal"/>
      <w:lvlText w:val="%1."/>
      <w:lvlJc w:val="left"/>
      <w:pPr>
        <w:ind w:left="777" w:hanging="360"/>
      </w:pPr>
      <w:rPr>
        <w:rFonts w:hint="default"/>
        <w:color w:val="auto"/>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
    <w:nsid w:val="040B435C"/>
    <w:multiLevelType w:val="hybridMultilevel"/>
    <w:tmpl w:val="D0725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1B4058"/>
    <w:multiLevelType w:val="hybridMultilevel"/>
    <w:tmpl w:val="781E9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FA7FDC"/>
    <w:multiLevelType w:val="hybridMultilevel"/>
    <w:tmpl w:val="4C56DC9A"/>
    <w:lvl w:ilvl="0" w:tplc="9DECF506">
      <w:start w:val="1"/>
      <w:numFmt w:val="lowerLetter"/>
      <w:lvlText w:val="%1)"/>
      <w:lvlJc w:val="left"/>
      <w:pPr>
        <w:ind w:left="36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5C6D3F"/>
    <w:multiLevelType w:val="multilevel"/>
    <w:tmpl w:val="D4D22346"/>
    <w:styleLink w:val="Style1"/>
    <w:lvl w:ilvl="0">
      <w:start w:val="1"/>
      <w:numFmt w:val="lowerRoman"/>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C20AE"/>
    <w:multiLevelType w:val="hybridMultilevel"/>
    <w:tmpl w:val="D23E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CC7792"/>
    <w:multiLevelType w:val="multilevel"/>
    <w:tmpl w:val="0C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D30527"/>
    <w:multiLevelType w:val="hybridMultilevel"/>
    <w:tmpl w:val="D192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E17A25"/>
    <w:multiLevelType w:val="hybridMultilevel"/>
    <w:tmpl w:val="25E424F0"/>
    <w:lvl w:ilvl="0" w:tplc="3744A5E2">
      <w:start w:val="1"/>
      <w:numFmt w:val="decimal"/>
      <w:pStyle w:val="Numberedlist"/>
      <w:lvlText w:val="%1."/>
      <w:lvlJc w:val="left"/>
      <w:pPr>
        <w:ind w:left="720" w:hanging="360"/>
      </w:pPr>
      <w:rPr>
        <w:rFonts w:hint="default"/>
        <w:color w:val="auto"/>
      </w:rPr>
    </w:lvl>
    <w:lvl w:ilvl="1" w:tplc="53E6175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802E39"/>
    <w:multiLevelType w:val="hybridMultilevel"/>
    <w:tmpl w:val="64347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55146D"/>
    <w:multiLevelType w:val="hybridMultilevel"/>
    <w:tmpl w:val="82BCD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2F435B"/>
    <w:multiLevelType w:val="multilevel"/>
    <w:tmpl w:val="C2F6D8C4"/>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8407B9"/>
    <w:multiLevelType w:val="hybridMultilevel"/>
    <w:tmpl w:val="041037CA"/>
    <w:lvl w:ilvl="0" w:tplc="55309C70">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E45074"/>
    <w:multiLevelType w:val="hybridMultilevel"/>
    <w:tmpl w:val="5BCAEE9A"/>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CA07FC2"/>
    <w:multiLevelType w:val="multilevel"/>
    <w:tmpl w:val="121296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269719D"/>
    <w:multiLevelType w:val="hybridMultilevel"/>
    <w:tmpl w:val="CBA6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C22809"/>
    <w:multiLevelType w:val="hybridMultilevel"/>
    <w:tmpl w:val="06F43FBC"/>
    <w:lvl w:ilvl="0" w:tplc="0C090013">
      <w:start w:val="1"/>
      <w:numFmt w:val="upperRoman"/>
      <w:lvlText w:val="%1."/>
      <w:lvlJc w:val="right"/>
      <w:pPr>
        <w:ind w:left="720" w:hanging="360"/>
      </w:pPr>
    </w:lvl>
    <w:lvl w:ilvl="1" w:tplc="709EEDB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8821E2"/>
    <w:multiLevelType w:val="hybridMultilevel"/>
    <w:tmpl w:val="2396A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7B3BB5"/>
    <w:multiLevelType w:val="hybridMultilevel"/>
    <w:tmpl w:val="C02A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743050"/>
    <w:multiLevelType w:val="hybridMultilevel"/>
    <w:tmpl w:val="336C133A"/>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05620B3"/>
    <w:multiLevelType w:val="hybridMultilevel"/>
    <w:tmpl w:val="4DF4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CC265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42472E9"/>
    <w:multiLevelType w:val="hybridMultilevel"/>
    <w:tmpl w:val="43628164"/>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944738"/>
    <w:multiLevelType w:val="hybridMultilevel"/>
    <w:tmpl w:val="61D473F6"/>
    <w:lvl w:ilvl="0" w:tplc="B03A1696">
      <w:start w:val="1"/>
      <w:numFmt w:val="decimal"/>
      <w:lvlText w:val="%1."/>
      <w:lvlJc w:val="left"/>
      <w:pPr>
        <w:ind w:left="690" w:hanging="360"/>
      </w:pPr>
      <w:rPr>
        <w:rFonts w:hint="default"/>
        <w:color w:val="auto"/>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24">
    <w:nsid w:val="69930712"/>
    <w:multiLevelType w:val="hybridMultilevel"/>
    <w:tmpl w:val="EF3C6700"/>
    <w:lvl w:ilvl="0" w:tplc="0C090011">
      <w:start w:val="1"/>
      <w:numFmt w:val="decimal"/>
      <w:lvlText w:val="%1)"/>
      <w:lvlJc w:val="left"/>
      <w:pPr>
        <w:ind w:left="720" w:hanging="360"/>
      </w:pPr>
    </w:lvl>
    <w:lvl w:ilvl="1" w:tplc="1B76E7B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3E5E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4A322E"/>
    <w:multiLevelType w:val="hybridMultilevel"/>
    <w:tmpl w:val="961E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4E96711"/>
    <w:multiLevelType w:val="hybridMultilevel"/>
    <w:tmpl w:val="ABE60C38"/>
    <w:lvl w:ilvl="0" w:tplc="B03A169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D673769"/>
    <w:multiLevelType w:val="hybridMultilevel"/>
    <w:tmpl w:val="079E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9"/>
  </w:num>
  <w:num w:numId="5">
    <w:abstractNumId w:val="24"/>
  </w:num>
  <w:num w:numId="6">
    <w:abstractNumId w:val="21"/>
  </w:num>
  <w:num w:numId="7">
    <w:abstractNumId w:val="6"/>
  </w:num>
  <w:num w:numId="8">
    <w:abstractNumId w:val="26"/>
  </w:num>
  <w:num w:numId="9">
    <w:abstractNumId w:val="14"/>
  </w:num>
  <w:num w:numId="10">
    <w:abstractNumId w:val="20"/>
  </w:num>
  <w:num w:numId="11">
    <w:abstractNumId w:val="10"/>
  </w:num>
  <w:num w:numId="12">
    <w:abstractNumId w:val="15"/>
  </w:num>
  <w:num w:numId="13">
    <w:abstractNumId w:val="8"/>
  </w:num>
  <w:num w:numId="14">
    <w:abstractNumId w:val="28"/>
  </w:num>
  <w:num w:numId="15">
    <w:abstractNumId w:val="16"/>
  </w:num>
  <w:num w:numId="16">
    <w:abstractNumId w:val="12"/>
  </w:num>
  <w:num w:numId="17">
    <w:abstractNumId w:val="17"/>
  </w:num>
  <w:num w:numId="18">
    <w:abstractNumId w:val="2"/>
  </w:num>
  <w:num w:numId="19">
    <w:abstractNumId w:val="7"/>
  </w:num>
  <w:num w:numId="20">
    <w:abstractNumId w:val="14"/>
  </w:num>
  <w:num w:numId="21">
    <w:abstractNumId w:val="0"/>
  </w:num>
  <w:num w:numId="22">
    <w:abstractNumId w:val="18"/>
  </w:num>
  <w:num w:numId="23">
    <w:abstractNumId w:val="13"/>
  </w:num>
  <w:num w:numId="24">
    <w:abstractNumId w:val="3"/>
  </w:num>
  <w:num w:numId="25">
    <w:abstractNumId w:val="25"/>
  </w:num>
  <w:num w:numId="26">
    <w:abstractNumId w:val="23"/>
  </w:num>
  <w:num w:numId="27">
    <w:abstractNumId w:val="27"/>
  </w:num>
  <w:num w:numId="28">
    <w:abstractNumId w:val="22"/>
  </w:num>
  <w:num w:numId="29">
    <w:abstractNumId w:val="19"/>
  </w:num>
  <w:num w:numId="30">
    <w:abstractNumId w:val="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Grey">
    <w15:presenceInfo w15:providerId="None" w15:userId="Alex G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567"/>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01D28"/>
    <w:rsid w:val="0000052C"/>
    <w:rsid w:val="00001C98"/>
    <w:rsid w:val="000029B9"/>
    <w:rsid w:val="000048B7"/>
    <w:rsid w:val="00005668"/>
    <w:rsid w:val="0000588B"/>
    <w:rsid w:val="0000606F"/>
    <w:rsid w:val="00007E5B"/>
    <w:rsid w:val="000101C9"/>
    <w:rsid w:val="00010EE5"/>
    <w:rsid w:val="00011791"/>
    <w:rsid w:val="000128BD"/>
    <w:rsid w:val="0001311E"/>
    <w:rsid w:val="000144E0"/>
    <w:rsid w:val="000154DB"/>
    <w:rsid w:val="0001725B"/>
    <w:rsid w:val="000172AB"/>
    <w:rsid w:val="00020E22"/>
    <w:rsid w:val="00023516"/>
    <w:rsid w:val="000238A3"/>
    <w:rsid w:val="0002467D"/>
    <w:rsid w:val="00026DA6"/>
    <w:rsid w:val="0002796B"/>
    <w:rsid w:val="00027FE8"/>
    <w:rsid w:val="000311C5"/>
    <w:rsid w:val="0003130C"/>
    <w:rsid w:val="000339FC"/>
    <w:rsid w:val="00033AEC"/>
    <w:rsid w:val="00034F7A"/>
    <w:rsid w:val="00035DE1"/>
    <w:rsid w:val="00035F10"/>
    <w:rsid w:val="00041515"/>
    <w:rsid w:val="00042A7B"/>
    <w:rsid w:val="00042B28"/>
    <w:rsid w:val="00042CE9"/>
    <w:rsid w:val="00043611"/>
    <w:rsid w:val="00045020"/>
    <w:rsid w:val="00045FA3"/>
    <w:rsid w:val="00046CCA"/>
    <w:rsid w:val="00047F88"/>
    <w:rsid w:val="00050084"/>
    <w:rsid w:val="0005115F"/>
    <w:rsid w:val="000523CD"/>
    <w:rsid w:val="000524F1"/>
    <w:rsid w:val="00052650"/>
    <w:rsid w:val="000536AA"/>
    <w:rsid w:val="00053DA9"/>
    <w:rsid w:val="00053DF3"/>
    <w:rsid w:val="00054073"/>
    <w:rsid w:val="00055E9F"/>
    <w:rsid w:val="00056BB1"/>
    <w:rsid w:val="000608DA"/>
    <w:rsid w:val="00061D7B"/>
    <w:rsid w:val="00062E4B"/>
    <w:rsid w:val="000674F5"/>
    <w:rsid w:val="000674F8"/>
    <w:rsid w:val="00071415"/>
    <w:rsid w:val="00071C1C"/>
    <w:rsid w:val="00072449"/>
    <w:rsid w:val="0007260F"/>
    <w:rsid w:val="00073EFD"/>
    <w:rsid w:val="00075673"/>
    <w:rsid w:val="00077BF1"/>
    <w:rsid w:val="00080F80"/>
    <w:rsid w:val="00082A83"/>
    <w:rsid w:val="000836FB"/>
    <w:rsid w:val="0008370F"/>
    <w:rsid w:val="000849D7"/>
    <w:rsid w:val="00084E6F"/>
    <w:rsid w:val="00085AB3"/>
    <w:rsid w:val="00087D81"/>
    <w:rsid w:val="0009059B"/>
    <w:rsid w:val="000913E3"/>
    <w:rsid w:val="00092DFE"/>
    <w:rsid w:val="00093465"/>
    <w:rsid w:val="000934A0"/>
    <w:rsid w:val="00093AA7"/>
    <w:rsid w:val="000958E9"/>
    <w:rsid w:val="00097BB2"/>
    <w:rsid w:val="000A0A56"/>
    <w:rsid w:val="000A0C46"/>
    <w:rsid w:val="000A1966"/>
    <w:rsid w:val="000A2037"/>
    <w:rsid w:val="000A2E35"/>
    <w:rsid w:val="000A33D0"/>
    <w:rsid w:val="000A3C41"/>
    <w:rsid w:val="000A43C1"/>
    <w:rsid w:val="000A596B"/>
    <w:rsid w:val="000A6BC2"/>
    <w:rsid w:val="000B066C"/>
    <w:rsid w:val="000B12F7"/>
    <w:rsid w:val="000B1648"/>
    <w:rsid w:val="000B2CA7"/>
    <w:rsid w:val="000B3292"/>
    <w:rsid w:val="000B3F15"/>
    <w:rsid w:val="000B5AA7"/>
    <w:rsid w:val="000C049B"/>
    <w:rsid w:val="000C0F41"/>
    <w:rsid w:val="000C219E"/>
    <w:rsid w:val="000C2EEE"/>
    <w:rsid w:val="000C365B"/>
    <w:rsid w:val="000C463F"/>
    <w:rsid w:val="000C6CF3"/>
    <w:rsid w:val="000D23B7"/>
    <w:rsid w:val="000D2716"/>
    <w:rsid w:val="000D39AF"/>
    <w:rsid w:val="000D449F"/>
    <w:rsid w:val="000D548E"/>
    <w:rsid w:val="000D6334"/>
    <w:rsid w:val="000D65A0"/>
    <w:rsid w:val="000E1B8B"/>
    <w:rsid w:val="000E2FF2"/>
    <w:rsid w:val="000E5D11"/>
    <w:rsid w:val="000E64ED"/>
    <w:rsid w:val="000F03B0"/>
    <w:rsid w:val="000F03C3"/>
    <w:rsid w:val="000F12FB"/>
    <w:rsid w:val="000F3520"/>
    <w:rsid w:val="000F4F92"/>
    <w:rsid w:val="000F5501"/>
    <w:rsid w:val="000F56EE"/>
    <w:rsid w:val="000F5930"/>
    <w:rsid w:val="000F5E8E"/>
    <w:rsid w:val="000F60EE"/>
    <w:rsid w:val="000F67E6"/>
    <w:rsid w:val="000F7613"/>
    <w:rsid w:val="000F7EDF"/>
    <w:rsid w:val="0010098C"/>
    <w:rsid w:val="00101CC3"/>
    <w:rsid w:val="00102B9F"/>
    <w:rsid w:val="001037D8"/>
    <w:rsid w:val="001038B1"/>
    <w:rsid w:val="00103C93"/>
    <w:rsid w:val="0010450B"/>
    <w:rsid w:val="00104B19"/>
    <w:rsid w:val="0010545A"/>
    <w:rsid w:val="00105588"/>
    <w:rsid w:val="001066A5"/>
    <w:rsid w:val="001070AE"/>
    <w:rsid w:val="001075E9"/>
    <w:rsid w:val="00110066"/>
    <w:rsid w:val="001119C4"/>
    <w:rsid w:val="00111B8B"/>
    <w:rsid w:val="00114AEC"/>
    <w:rsid w:val="00116D50"/>
    <w:rsid w:val="0012123D"/>
    <w:rsid w:val="00121FFD"/>
    <w:rsid w:val="00124591"/>
    <w:rsid w:val="00125088"/>
    <w:rsid w:val="0012560F"/>
    <w:rsid w:val="00125ACF"/>
    <w:rsid w:val="0012602B"/>
    <w:rsid w:val="00127716"/>
    <w:rsid w:val="001302FA"/>
    <w:rsid w:val="00130A85"/>
    <w:rsid w:val="00130D5B"/>
    <w:rsid w:val="00130F13"/>
    <w:rsid w:val="00131B98"/>
    <w:rsid w:val="00132790"/>
    <w:rsid w:val="001344DB"/>
    <w:rsid w:val="001350AE"/>
    <w:rsid w:val="001352A4"/>
    <w:rsid w:val="00135569"/>
    <w:rsid w:val="00135D59"/>
    <w:rsid w:val="0013612E"/>
    <w:rsid w:val="001378E3"/>
    <w:rsid w:val="00141380"/>
    <w:rsid w:val="001432CF"/>
    <w:rsid w:val="00143486"/>
    <w:rsid w:val="00143847"/>
    <w:rsid w:val="00143D5F"/>
    <w:rsid w:val="00145301"/>
    <w:rsid w:val="00146551"/>
    <w:rsid w:val="00150608"/>
    <w:rsid w:val="00151364"/>
    <w:rsid w:val="00151CB5"/>
    <w:rsid w:val="001524FA"/>
    <w:rsid w:val="00152573"/>
    <w:rsid w:val="00152B2E"/>
    <w:rsid w:val="001572F8"/>
    <w:rsid w:val="00163009"/>
    <w:rsid w:val="00163632"/>
    <w:rsid w:val="00163BDB"/>
    <w:rsid w:val="00163EB6"/>
    <w:rsid w:val="001644A5"/>
    <w:rsid w:val="00166B26"/>
    <w:rsid w:val="001675C1"/>
    <w:rsid w:val="001715C3"/>
    <w:rsid w:val="001717F9"/>
    <w:rsid w:val="00172631"/>
    <w:rsid w:val="00173B16"/>
    <w:rsid w:val="001746AC"/>
    <w:rsid w:val="001758DB"/>
    <w:rsid w:val="0017612B"/>
    <w:rsid w:val="001769E9"/>
    <w:rsid w:val="00176CAE"/>
    <w:rsid w:val="0017759C"/>
    <w:rsid w:val="00181C36"/>
    <w:rsid w:val="00183A6D"/>
    <w:rsid w:val="00183A91"/>
    <w:rsid w:val="00183D73"/>
    <w:rsid w:val="00183E64"/>
    <w:rsid w:val="001845E1"/>
    <w:rsid w:val="00184C6B"/>
    <w:rsid w:val="00186522"/>
    <w:rsid w:val="0018682E"/>
    <w:rsid w:val="00186B82"/>
    <w:rsid w:val="00186FC8"/>
    <w:rsid w:val="00190EFE"/>
    <w:rsid w:val="00191FFB"/>
    <w:rsid w:val="001925E7"/>
    <w:rsid w:val="001934F3"/>
    <w:rsid w:val="00193ECB"/>
    <w:rsid w:val="00194304"/>
    <w:rsid w:val="00194BD9"/>
    <w:rsid w:val="00194F4E"/>
    <w:rsid w:val="00196323"/>
    <w:rsid w:val="00196F0F"/>
    <w:rsid w:val="0019731E"/>
    <w:rsid w:val="001A09AE"/>
    <w:rsid w:val="001A0F1E"/>
    <w:rsid w:val="001A14D1"/>
    <w:rsid w:val="001A1C23"/>
    <w:rsid w:val="001A2A6B"/>
    <w:rsid w:val="001A3FE2"/>
    <w:rsid w:val="001A4191"/>
    <w:rsid w:val="001A4407"/>
    <w:rsid w:val="001A5EE8"/>
    <w:rsid w:val="001B00AD"/>
    <w:rsid w:val="001B0327"/>
    <w:rsid w:val="001B2DDA"/>
    <w:rsid w:val="001B32BF"/>
    <w:rsid w:val="001B3557"/>
    <w:rsid w:val="001B38B8"/>
    <w:rsid w:val="001B3CBD"/>
    <w:rsid w:val="001B55F1"/>
    <w:rsid w:val="001B69D3"/>
    <w:rsid w:val="001B7FE5"/>
    <w:rsid w:val="001C18E1"/>
    <w:rsid w:val="001C20EC"/>
    <w:rsid w:val="001C3191"/>
    <w:rsid w:val="001C5272"/>
    <w:rsid w:val="001C56B4"/>
    <w:rsid w:val="001C692B"/>
    <w:rsid w:val="001D0DBB"/>
    <w:rsid w:val="001D14D8"/>
    <w:rsid w:val="001D199B"/>
    <w:rsid w:val="001D4A46"/>
    <w:rsid w:val="001D4F5A"/>
    <w:rsid w:val="001D611E"/>
    <w:rsid w:val="001D7D9B"/>
    <w:rsid w:val="001D7EE1"/>
    <w:rsid w:val="001E002C"/>
    <w:rsid w:val="001E0F3F"/>
    <w:rsid w:val="001E1748"/>
    <w:rsid w:val="001E1EB7"/>
    <w:rsid w:val="001E2C84"/>
    <w:rsid w:val="001E79F7"/>
    <w:rsid w:val="001F0928"/>
    <w:rsid w:val="001F182C"/>
    <w:rsid w:val="001F2298"/>
    <w:rsid w:val="001F26CB"/>
    <w:rsid w:val="001F3A1A"/>
    <w:rsid w:val="001F3B57"/>
    <w:rsid w:val="001F4767"/>
    <w:rsid w:val="001F585F"/>
    <w:rsid w:val="001F70EA"/>
    <w:rsid w:val="001F78B8"/>
    <w:rsid w:val="002024D0"/>
    <w:rsid w:val="00202EDE"/>
    <w:rsid w:val="00203268"/>
    <w:rsid w:val="00203800"/>
    <w:rsid w:val="00203EA3"/>
    <w:rsid w:val="00204D5F"/>
    <w:rsid w:val="002066D2"/>
    <w:rsid w:val="00206A2C"/>
    <w:rsid w:val="00207211"/>
    <w:rsid w:val="00207C96"/>
    <w:rsid w:val="00211764"/>
    <w:rsid w:val="002143E0"/>
    <w:rsid w:val="00214785"/>
    <w:rsid w:val="00215700"/>
    <w:rsid w:val="00216374"/>
    <w:rsid w:val="002177E5"/>
    <w:rsid w:val="00220B36"/>
    <w:rsid w:val="00221374"/>
    <w:rsid w:val="002215A5"/>
    <w:rsid w:val="00222B97"/>
    <w:rsid w:val="002232DC"/>
    <w:rsid w:val="0022341D"/>
    <w:rsid w:val="00223A0D"/>
    <w:rsid w:val="00224CA6"/>
    <w:rsid w:val="00225DB6"/>
    <w:rsid w:val="00225DFE"/>
    <w:rsid w:val="002260AF"/>
    <w:rsid w:val="00233079"/>
    <w:rsid w:val="0023449D"/>
    <w:rsid w:val="00234B01"/>
    <w:rsid w:val="0023508E"/>
    <w:rsid w:val="002358B5"/>
    <w:rsid w:val="00235CBD"/>
    <w:rsid w:val="0023610B"/>
    <w:rsid w:val="00240E2C"/>
    <w:rsid w:val="00241E30"/>
    <w:rsid w:val="002426C2"/>
    <w:rsid w:val="002431E7"/>
    <w:rsid w:val="0024358E"/>
    <w:rsid w:val="002435BD"/>
    <w:rsid w:val="00243A06"/>
    <w:rsid w:val="00244491"/>
    <w:rsid w:val="002461E6"/>
    <w:rsid w:val="002461FE"/>
    <w:rsid w:val="00246A73"/>
    <w:rsid w:val="00247AC7"/>
    <w:rsid w:val="002506E4"/>
    <w:rsid w:val="00250ADE"/>
    <w:rsid w:val="00251604"/>
    <w:rsid w:val="00254ADB"/>
    <w:rsid w:val="00260F44"/>
    <w:rsid w:val="0026107A"/>
    <w:rsid w:val="00263BB3"/>
    <w:rsid w:val="002646C4"/>
    <w:rsid w:val="00265102"/>
    <w:rsid w:val="002651CB"/>
    <w:rsid w:val="00265514"/>
    <w:rsid w:val="0026754A"/>
    <w:rsid w:val="002719CE"/>
    <w:rsid w:val="0027206A"/>
    <w:rsid w:val="00272BC3"/>
    <w:rsid w:val="00272F1E"/>
    <w:rsid w:val="00273D28"/>
    <w:rsid w:val="0027445D"/>
    <w:rsid w:val="00275241"/>
    <w:rsid w:val="00276CB9"/>
    <w:rsid w:val="0027718C"/>
    <w:rsid w:val="002811B7"/>
    <w:rsid w:val="00281822"/>
    <w:rsid w:val="00281C2B"/>
    <w:rsid w:val="00281E3D"/>
    <w:rsid w:val="00285510"/>
    <w:rsid w:val="002856CC"/>
    <w:rsid w:val="00286749"/>
    <w:rsid w:val="002877DE"/>
    <w:rsid w:val="002914B8"/>
    <w:rsid w:val="00291B21"/>
    <w:rsid w:val="00291B23"/>
    <w:rsid w:val="00292952"/>
    <w:rsid w:val="00293C18"/>
    <w:rsid w:val="002A0656"/>
    <w:rsid w:val="002A0669"/>
    <w:rsid w:val="002A0755"/>
    <w:rsid w:val="002A0E00"/>
    <w:rsid w:val="002A170D"/>
    <w:rsid w:val="002A187B"/>
    <w:rsid w:val="002A1E4F"/>
    <w:rsid w:val="002A4CE3"/>
    <w:rsid w:val="002A7C0B"/>
    <w:rsid w:val="002A7D29"/>
    <w:rsid w:val="002B00C3"/>
    <w:rsid w:val="002B043C"/>
    <w:rsid w:val="002B3DEF"/>
    <w:rsid w:val="002B5E76"/>
    <w:rsid w:val="002B673A"/>
    <w:rsid w:val="002B7EB3"/>
    <w:rsid w:val="002C043A"/>
    <w:rsid w:val="002C09A4"/>
    <w:rsid w:val="002C10F4"/>
    <w:rsid w:val="002C1604"/>
    <w:rsid w:val="002C27A8"/>
    <w:rsid w:val="002C4F4A"/>
    <w:rsid w:val="002C6705"/>
    <w:rsid w:val="002C7190"/>
    <w:rsid w:val="002D0669"/>
    <w:rsid w:val="002D0D87"/>
    <w:rsid w:val="002D1BDB"/>
    <w:rsid w:val="002D2B1D"/>
    <w:rsid w:val="002D3053"/>
    <w:rsid w:val="002D34D7"/>
    <w:rsid w:val="002D402C"/>
    <w:rsid w:val="002D436B"/>
    <w:rsid w:val="002D4FA8"/>
    <w:rsid w:val="002D588D"/>
    <w:rsid w:val="002D60E8"/>
    <w:rsid w:val="002D7A79"/>
    <w:rsid w:val="002D7EA4"/>
    <w:rsid w:val="002E070C"/>
    <w:rsid w:val="002E07AF"/>
    <w:rsid w:val="002E0BB1"/>
    <w:rsid w:val="002E0E4B"/>
    <w:rsid w:val="002E164C"/>
    <w:rsid w:val="002E223C"/>
    <w:rsid w:val="002E54D0"/>
    <w:rsid w:val="002E78B3"/>
    <w:rsid w:val="002F096F"/>
    <w:rsid w:val="002F27C1"/>
    <w:rsid w:val="002F2CA8"/>
    <w:rsid w:val="002F3076"/>
    <w:rsid w:val="002F56C5"/>
    <w:rsid w:val="002F63D3"/>
    <w:rsid w:val="002F6DD3"/>
    <w:rsid w:val="002F7C61"/>
    <w:rsid w:val="003011EE"/>
    <w:rsid w:val="003015AC"/>
    <w:rsid w:val="0030175B"/>
    <w:rsid w:val="00301C94"/>
    <w:rsid w:val="0030497C"/>
    <w:rsid w:val="00304FB1"/>
    <w:rsid w:val="00306214"/>
    <w:rsid w:val="003141B9"/>
    <w:rsid w:val="003147FC"/>
    <w:rsid w:val="0031485C"/>
    <w:rsid w:val="003152F6"/>
    <w:rsid w:val="003156F0"/>
    <w:rsid w:val="00317A14"/>
    <w:rsid w:val="00317CA2"/>
    <w:rsid w:val="0032262E"/>
    <w:rsid w:val="00322954"/>
    <w:rsid w:val="00322E50"/>
    <w:rsid w:val="00324854"/>
    <w:rsid w:val="0032497F"/>
    <w:rsid w:val="00325199"/>
    <w:rsid w:val="003258AA"/>
    <w:rsid w:val="003274EA"/>
    <w:rsid w:val="00327BB0"/>
    <w:rsid w:val="00327E19"/>
    <w:rsid w:val="00330815"/>
    <w:rsid w:val="00334983"/>
    <w:rsid w:val="0033632A"/>
    <w:rsid w:val="00336CF1"/>
    <w:rsid w:val="00336F46"/>
    <w:rsid w:val="00340424"/>
    <w:rsid w:val="00340919"/>
    <w:rsid w:val="00342103"/>
    <w:rsid w:val="00342248"/>
    <w:rsid w:val="0034476C"/>
    <w:rsid w:val="003450A5"/>
    <w:rsid w:val="0034684A"/>
    <w:rsid w:val="003478D1"/>
    <w:rsid w:val="003500D9"/>
    <w:rsid w:val="003512E7"/>
    <w:rsid w:val="0035213E"/>
    <w:rsid w:val="00353DB8"/>
    <w:rsid w:val="00354832"/>
    <w:rsid w:val="00355E59"/>
    <w:rsid w:val="00357531"/>
    <w:rsid w:val="00357958"/>
    <w:rsid w:val="00357C9D"/>
    <w:rsid w:val="0036116A"/>
    <w:rsid w:val="00361483"/>
    <w:rsid w:val="00362A00"/>
    <w:rsid w:val="00363C53"/>
    <w:rsid w:val="00364271"/>
    <w:rsid w:val="003654AD"/>
    <w:rsid w:val="003663D6"/>
    <w:rsid w:val="00370978"/>
    <w:rsid w:val="003717D2"/>
    <w:rsid w:val="003721FC"/>
    <w:rsid w:val="00372F37"/>
    <w:rsid w:val="00373971"/>
    <w:rsid w:val="00374FBD"/>
    <w:rsid w:val="00376554"/>
    <w:rsid w:val="00381191"/>
    <w:rsid w:val="0038185E"/>
    <w:rsid w:val="00382D22"/>
    <w:rsid w:val="00383718"/>
    <w:rsid w:val="003869C6"/>
    <w:rsid w:val="00390528"/>
    <w:rsid w:val="00391547"/>
    <w:rsid w:val="003918CA"/>
    <w:rsid w:val="0039205D"/>
    <w:rsid w:val="00393EE8"/>
    <w:rsid w:val="003948F1"/>
    <w:rsid w:val="003A033E"/>
    <w:rsid w:val="003A0345"/>
    <w:rsid w:val="003A248C"/>
    <w:rsid w:val="003A28D3"/>
    <w:rsid w:val="003A34A7"/>
    <w:rsid w:val="003A57F4"/>
    <w:rsid w:val="003A647F"/>
    <w:rsid w:val="003A705B"/>
    <w:rsid w:val="003B5EDA"/>
    <w:rsid w:val="003B792D"/>
    <w:rsid w:val="003C0380"/>
    <w:rsid w:val="003C0760"/>
    <w:rsid w:val="003C0868"/>
    <w:rsid w:val="003C21FE"/>
    <w:rsid w:val="003C2544"/>
    <w:rsid w:val="003C2A4D"/>
    <w:rsid w:val="003C2B34"/>
    <w:rsid w:val="003C2BD9"/>
    <w:rsid w:val="003C2DC4"/>
    <w:rsid w:val="003C39F1"/>
    <w:rsid w:val="003C46C9"/>
    <w:rsid w:val="003C4A5A"/>
    <w:rsid w:val="003C52C7"/>
    <w:rsid w:val="003C5E06"/>
    <w:rsid w:val="003C6166"/>
    <w:rsid w:val="003C7B56"/>
    <w:rsid w:val="003D0862"/>
    <w:rsid w:val="003D430B"/>
    <w:rsid w:val="003D6910"/>
    <w:rsid w:val="003D7769"/>
    <w:rsid w:val="003E1904"/>
    <w:rsid w:val="003E52DF"/>
    <w:rsid w:val="003E6188"/>
    <w:rsid w:val="003E6237"/>
    <w:rsid w:val="003E6E1F"/>
    <w:rsid w:val="003F09E6"/>
    <w:rsid w:val="003F1E69"/>
    <w:rsid w:val="003F215D"/>
    <w:rsid w:val="003F3393"/>
    <w:rsid w:val="003F3E02"/>
    <w:rsid w:val="003F5BD4"/>
    <w:rsid w:val="003F612A"/>
    <w:rsid w:val="00400514"/>
    <w:rsid w:val="00403FF1"/>
    <w:rsid w:val="00404F13"/>
    <w:rsid w:val="004052C0"/>
    <w:rsid w:val="00406E27"/>
    <w:rsid w:val="00407C8B"/>
    <w:rsid w:val="0041034E"/>
    <w:rsid w:val="00410E52"/>
    <w:rsid w:val="00413BF2"/>
    <w:rsid w:val="00414421"/>
    <w:rsid w:val="00417248"/>
    <w:rsid w:val="00420EA0"/>
    <w:rsid w:val="004212FD"/>
    <w:rsid w:val="00422154"/>
    <w:rsid w:val="004225DD"/>
    <w:rsid w:val="0042427B"/>
    <w:rsid w:val="00425194"/>
    <w:rsid w:val="00425E20"/>
    <w:rsid w:val="0042666C"/>
    <w:rsid w:val="004279E6"/>
    <w:rsid w:val="00430F99"/>
    <w:rsid w:val="00431EC7"/>
    <w:rsid w:val="00433B1E"/>
    <w:rsid w:val="004343AC"/>
    <w:rsid w:val="00435C2B"/>
    <w:rsid w:val="00441CBB"/>
    <w:rsid w:val="00443399"/>
    <w:rsid w:val="0044359A"/>
    <w:rsid w:val="00443661"/>
    <w:rsid w:val="004453F1"/>
    <w:rsid w:val="00445FC3"/>
    <w:rsid w:val="004474F7"/>
    <w:rsid w:val="004508E7"/>
    <w:rsid w:val="00450A84"/>
    <w:rsid w:val="004513B9"/>
    <w:rsid w:val="004516BD"/>
    <w:rsid w:val="004533A7"/>
    <w:rsid w:val="00453599"/>
    <w:rsid w:val="00453C3F"/>
    <w:rsid w:val="00453CD0"/>
    <w:rsid w:val="00454634"/>
    <w:rsid w:val="00455131"/>
    <w:rsid w:val="00455459"/>
    <w:rsid w:val="00456C7E"/>
    <w:rsid w:val="00457CD3"/>
    <w:rsid w:val="00460387"/>
    <w:rsid w:val="00461563"/>
    <w:rsid w:val="004630D1"/>
    <w:rsid w:val="004662E0"/>
    <w:rsid w:val="004663DC"/>
    <w:rsid w:val="00466AF8"/>
    <w:rsid w:val="00471551"/>
    <w:rsid w:val="004717CF"/>
    <w:rsid w:val="004738B7"/>
    <w:rsid w:val="00474195"/>
    <w:rsid w:val="0047604B"/>
    <w:rsid w:val="00477B2F"/>
    <w:rsid w:val="0048043A"/>
    <w:rsid w:val="00480B77"/>
    <w:rsid w:val="00483248"/>
    <w:rsid w:val="00483B23"/>
    <w:rsid w:val="00484FC9"/>
    <w:rsid w:val="00485060"/>
    <w:rsid w:val="0049139B"/>
    <w:rsid w:val="00492AD6"/>
    <w:rsid w:val="00495B2E"/>
    <w:rsid w:val="00495DD0"/>
    <w:rsid w:val="00497BD4"/>
    <w:rsid w:val="00497DBF"/>
    <w:rsid w:val="004A0148"/>
    <w:rsid w:val="004A1D69"/>
    <w:rsid w:val="004A4027"/>
    <w:rsid w:val="004A58DA"/>
    <w:rsid w:val="004A643F"/>
    <w:rsid w:val="004A6E5C"/>
    <w:rsid w:val="004B0D23"/>
    <w:rsid w:val="004B16B2"/>
    <w:rsid w:val="004B1935"/>
    <w:rsid w:val="004B45A4"/>
    <w:rsid w:val="004B4AC9"/>
    <w:rsid w:val="004B5CD4"/>
    <w:rsid w:val="004B667C"/>
    <w:rsid w:val="004B6B7E"/>
    <w:rsid w:val="004B6B9A"/>
    <w:rsid w:val="004B7394"/>
    <w:rsid w:val="004C07BA"/>
    <w:rsid w:val="004C08BB"/>
    <w:rsid w:val="004C163A"/>
    <w:rsid w:val="004C17BA"/>
    <w:rsid w:val="004C1BE9"/>
    <w:rsid w:val="004C2817"/>
    <w:rsid w:val="004C33F0"/>
    <w:rsid w:val="004C3682"/>
    <w:rsid w:val="004C4A7E"/>
    <w:rsid w:val="004D1045"/>
    <w:rsid w:val="004D2799"/>
    <w:rsid w:val="004D413A"/>
    <w:rsid w:val="004D4572"/>
    <w:rsid w:val="004D50CE"/>
    <w:rsid w:val="004D6D51"/>
    <w:rsid w:val="004E02E3"/>
    <w:rsid w:val="004E342C"/>
    <w:rsid w:val="004E450E"/>
    <w:rsid w:val="004E480B"/>
    <w:rsid w:val="004E4FA0"/>
    <w:rsid w:val="004E5373"/>
    <w:rsid w:val="004E559F"/>
    <w:rsid w:val="004F02B3"/>
    <w:rsid w:val="004F3B68"/>
    <w:rsid w:val="004F4BD6"/>
    <w:rsid w:val="004F5CA5"/>
    <w:rsid w:val="004F6578"/>
    <w:rsid w:val="004F6913"/>
    <w:rsid w:val="004F6D5F"/>
    <w:rsid w:val="00500201"/>
    <w:rsid w:val="00500A1C"/>
    <w:rsid w:val="00501DCB"/>
    <w:rsid w:val="005035F6"/>
    <w:rsid w:val="0050576E"/>
    <w:rsid w:val="00505A69"/>
    <w:rsid w:val="00505C4F"/>
    <w:rsid w:val="00505F6B"/>
    <w:rsid w:val="005066AD"/>
    <w:rsid w:val="00506A51"/>
    <w:rsid w:val="00506D04"/>
    <w:rsid w:val="00506DE9"/>
    <w:rsid w:val="005070F6"/>
    <w:rsid w:val="00507D67"/>
    <w:rsid w:val="005100EE"/>
    <w:rsid w:val="00510A06"/>
    <w:rsid w:val="00513D36"/>
    <w:rsid w:val="005140B6"/>
    <w:rsid w:val="00515DB3"/>
    <w:rsid w:val="00516DA3"/>
    <w:rsid w:val="005217F3"/>
    <w:rsid w:val="005218E7"/>
    <w:rsid w:val="00523AF8"/>
    <w:rsid w:val="00524AB2"/>
    <w:rsid w:val="00524C20"/>
    <w:rsid w:val="005254F0"/>
    <w:rsid w:val="00526DF5"/>
    <w:rsid w:val="0052746B"/>
    <w:rsid w:val="00531D47"/>
    <w:rsid w:val="00532778"/>
    <w:rsid w:val="00533B92"/>
    <w:rsid w:val="00534411"/>
    <w:rsid w:val="00534751"/>
    <w:rsid w:val="0053550E"/>
    <w:rsid w:val="00537095"/>
    <w:rsid w:val="00537743"/>
    <w:rsid w:val="00540F94"/>
    <w:rsid w:val="005411C8"/>
    <w:rsid w:val="00541C92"/>
    <w:rsid w:val="00542036"/>
    <w:rsid w:val="00542401"/>
    <w:rsid w:val="00543725"/>
    <w:rsid w:val="005439BF"/>
    <w:rsid w:val="00543AF0"/>
    <w:rsid w:val="00544143"/>
    <w:rsid w:val="00544633"/>
    <w:rsid w:val="00544733"/>
    <w:rsid w:val="005447F7"/>
    <w:rsid w:val="005453A1"/>
    <w:rsid w:val="00545C63"/>
    <w:rsid w:val="00546BBB"/>
    <w:rsid w:val="00547272"/>
    <w:rsid w:val="00550678"/>
    <w:rsid w:val="00550992"/>
    <w:rsid w:val="00551D0F"/>
    <w:rsid w:val="00552239"/>
    <w:rsid w:val="00553530"/>
    <w:rsid w:val="0055356D"/>
    <w:rsid w:val="00553C43"/>
    <w:rsid w:val="00554F84"/>
    <w:rsid w:val="005559DB"/>
    <w:rsid w:val="00555A5E"/>
    <w:rsid w:val="0055726E"/>
    <w:rsid w:val="005576C2"/>
    <w:rsid w:val="00557A65"/>
    <w:rsid w:val="00560215"/>
    <w:rsid w:val="005608E0"/>
    <w:rsid w:val="00561263"/>
    <w:rsid w:val="00561930"/>
    <w:rsid w:val="00561C06"/>
    <w:rsid w:val="00562CD0"/>
    <w:rsid w:val="0056409F"/>
    <w:rsid w:val="005647E3"/>
    <w:rsid w:val="00565048"/>
    <w:rsid w:val="0056566F"/>
    <w:rsid w:val="005664EF"/>
    <w:rsid w:val="00567776"/>
    <w:rsid w:val="005719A1"/>
    <w:rsid w:val="00571FC8"/>
    <w:rsid w:val="005722FC"/>
    <w:rsid w:val="005723E2"/>
    <w:rsid w:val="00573920"/>
    <w:rsid w:val="00573D34"/>
    <w:rsid w:val="00574C59"/>
    <w:rsid w:val="005757F4"/>
    <w:rsid w:val="005758BE"/>
    <w:rsid w:val="00576961"/>
    <w:rsid w:val="005777D6"/>
    <w:rsid w:val="00580CE7"/>
    <w:rsid w:val="0058271B"/>
    <w:rsid w:val="005837E3"/>
    <w:rsid w:val="00584ABC"/>
    <w:rsid w:val="00590A60"/>
    <w:rsid w:val="00590E62"/>
    <w:rsid w:val="005930C7"/>
    <w:rsid w:val="0059497B"/>
    <w:rsid w:val="005958CF"/>
    <w:rsid w:val="00595F14"/>
    <w:rsid w:val="005A05E1"/>
    <w:rsid w:val="005A0C62"/>
    <w:rsid w:val="005A1DC9"/>
    <w:rsid w:val="005A2C99"/>
    <w:rsid w:val="005A36A8"/>
    <w:rsid w:val="005A3C04"/>
    <w:rsid w:val="005A5028"/>
    <w:rsid w:val="005B07CB"/>
    <w:rsid w:val="005B2F9A"/>
    <w:rsid w:val="005B3259"/>
    <w:rsid w:val="005B40FD"/>
    <w:rsid w:val="005B4859"/>
    <w:rsid w:val="005B5CFE"/>
    <w:rsid w:val="005B77C0"/>
    <w:rsid w:val="005C0476"/>
    <w:rsid w:val="005C09CB"/>
    <w:rsid w:val="005C1D65"/>
    <w:rsid w:val="005C292C"/>
    <w:rsid w:val="005C31F3"/>
    <w:rsid w:val="005C3B83"/>
    <w:rsid w:val="005C5066"/>
    <w:rsid w:val="005C6ECB"/>
    <w:rsid w:val="005C7C60"/>
    <w:rsid w:val="005D05A6"/>
    <w:rsid w:val="005D0750"/>
    <w:rsid w:val="005D114A"/>
    <w:rsid w:val="005D211F"/>
    <w:rsid w:val="005D3B63"/>
    <w:rsid w:val="005D419C"/>
    <w:rsid w:val="005D4BDC"/>
    <w:rsid w:val="005D4F10"/>
    <w:rsid w:val="005D5CA6"/>
    <w:rsid w:val="005D68A0"/>
    <w:rsid w:val="005D7B0D"/>
    <w:rsid w:val="005E1029"/>
    <w:rsid w:val="005E10CB"/>
    <w:rsid w:val="005E2AC5"/>
    <w:rsid w:val="005E2BE0"/>
    <w:rsid w:val="005E3170"/>
    <w:rsid w:val="005E3DE5"/>
    <w:rsid w:val="005E4BA1"/>
    <w:rsid w:val="005E57E8"/>
    <w:rsid w:val="005E589A"/>
    <w:rsid w:val="005E640F"/>
    <w:rsid w:val="005E662E"/>
    <w:rsid w:val="005E711C"/>
    <w:rsid w:val="005F0379"/>
    <w:rsid w:val="005F195C"/>
    <w:rsid w:val="005F1ED4"/>
    <w:rsid w:val="005F2C86"/>
    <w:rsid w:val="005F3075"/>
    <w:rsid w:val="005F5581"/>
    <w:rsid w:val="005F6687"/>
    <w:rsid w:val="005F6E7E"/>
    <w:rsid w:val="005F7856"/>
    <w:rsid w:val="006013F9"/>
    <w:rsid w:val="00605A3A"/>
    <w:rsid w:val="00605F98"/>
    <w:rsid w:val="00606B4C"/>
    <w:rsid w:val="0060739A"/>
    <w:rsid w:val="00607AAF"/>
    <w:rsid w:val="00607AE1"/>
    <w:rsid w:val="00610031"/>
    <w:rsid w:val="006103F5"/>
    <w:rsid w:val="006126D9"/>
    <w:rsid w:val="00612768"/>
    <w:rsid w:val="006128EF"/>
    <w:rsid w:val="00614386"/>
    <w:rsid w:val="00615C30"/>
    <w:rsid w:val="006168D6"/>
    <w:rsid w:val="00621883"/>
    <w:rsid w:val="00621FE5"/>
    <w:rsid w:val="00623807"/>
    <w:rsid w:val="0062393D"/>
    <w:rsid w:val="006244F5"/>
    <w:rsid w:val="00624E1C"/>
    <w:rsid w:val="0062528D"/>
    <w:rsid w:val="006252EC"/>
    <w:rsid w:val="006266DF"/>
    <w:rsid w:val="00626783"/>
    <w:rsid w:val="00627062"/>
    <w:rsid w:val="0062762F"/>
    <w:rsid w:val="00630FA9"/>
    <w:rsid w:val="00632561"/>
    <w:rsid w:val="00634017"/>
    <w:rsid w:val="00635397"/>
    <w:rsid w:val="00637C6E"/>
    <w:rsid w:val="00640149"/>
    <w:rsid w:val="00640277"/>
    <w:rsid w:val="00640E0E"/>
    <w:rsid w:val="00642490"/>
    <w:rsid w:val="00642ACB"/>
    <w:rsid w:val="00642D3E"/>
    <w:rsid w:val="006430F8"/>
    <w:rsid w:val="006433D5"/>
    <w:rsid w:val="00643B0E"/>
    <w:rsid w:val="00646317"/>
    <w:rsid w:val="00650D57"/>
    <w:rsid w:val="00651252"/>
    <w:rsid w:val="00652024"/>
    <w:rsid w:val="0065203E"/>
    <w:rsid w:val="00652A32"/>
    <w:rsid w:val="00653B20"/>
    <w:rsid w:val="0065428A"/>
    <w:rsid w:val="00657ACA"/>
    <w:rsid w:val="0066086E"/>
    <w:rsid w:val="00662D12"/>
    <w:rsid w:val="0066455D"/>
    <w:rsid w:val="00665668"/>
    <w:rsid w:val="006714E3"/>
    <w:rsid w:val="006720BC"/>
    <w:rsid w:val="00672757"/>
    <w:rsid w:val="00672F91"/>
    <w:rsid w:val="006747B5"/>
    <w:rsid w:val="00675A0A"/>
    <w:rsid w:val="00675C0F"/>
    <w:rsid w:val="00676D87"/>
    <w:rsid w:val="00676E44"/>
    <w:rsid w:val="00680E9A"/>
    <w:rsid w:val="0068230F"/>
    <w:rsid w:val="006836FC"/>
    <w:rsid w:val="006838AB"/>
    <w:rsid w:val="00683FC5"/>
    <w:rsid w:val="00685AFF"/>
    <w:rsid w:val="00690473"/>
    <w:rsid w:val="00690998"/>
    <w:rsid w:val="00693C1A"/>
    <w:rsid w:val="0069414C"/>
    <w:rsid w:val="00695555"/>
    <w:rsid w:val="00695B43"/>
    <w:rsid w:val="00695CAB"/>
    <w:rsid w:val="006A230D"/>
    <w:rsid w:val="006A2E1D"/>
    <w:rsid w:val="006A6987"/>
    <w:rsid w:val="006A69CB"/>
    <w:rsid w:val="006B0688"/>
    <w:rsid w:val="006B0919"/>
    <w:rsid w:val="006B2686"/>
    <w:rsid w:val="006B2DA2"/>
    <w:rsid w:val="006B3160"/>
    <w:rsid w:val="006B3743"/>
    <w:rsid w:val="006B4524"/>
    <w:rsid w:val="006B513F"/>
    <w:rsid w:val="006B7082"/>
    <w:rsid w:val="006B7EE6"/>
    <w:rsid w:val="006C1810"/>
    <w:rsid w:val="006C20AB"/>
    <w:rsid w:val="006C324D"/>
    <w:rsid w:val="006C4481"/>
    <w:rsid w:val="006C50D8"/>
    <w:rsid w:val="006C6043"/>
    <w:rsid w:val="006C6D1D"/>
    <w:rsid w:val="006D071B"/>
    <w:rsid w:val="006D0C2E"/>
    <w:rsid w:val="006D0E23"/>
    <w:rsid w:val="006D1FD5"/>
    <w:rsid w:val="006D29AE"/>
    <w:rsid w:val="006D3F1A"/>
    <w:rsid w:val="006D5897"/>
    <w:rsid w:val="006D5BBD"/>
    <w:rsid w:val="006D5CFB"/>
    <w:rsid w:val="006D68E6"/>
    <w:rsid w:val="006D6D43"/>
    <w:rsid w:val="006D7277"/>
    <w:rsid w:val="006D7D5F"/>
    <w:rsid w:val="006E0FEA"/>
    <w:rsid w:val="006E2012"/>
    <w:rsid w:val="006E22A3"/>
    <w:rsid w:val="006E247E"/>
    <w:rsid w:val="006E38B3"/>
    <w:rsid w:val="006E3A16"/>
    <w:rsid w:val="006E5906"/>
    <w:rsid w:val="006E5D03"/>
    <w:rsid w:val="006E6797"/>
    <w:rsid w:val="006E6A3A"/>
    <w:rsid w:val="006E732F"/>
    <w:rsid w:val="006E7AD6"/>
    <w:rsid w:val="006E7C94"/>
    <w:rsid w:val="006F054D"/>
    <w:rsid w:val="006F1E44"/>
    <w:rsid w:val="006F2062"/>
    <w:rsid w:val="006F2EF2"/>
    <w:rsid w:val="006F3330"/>
    <w:rsid w:val="006F5D48"/>
    <w:rsid w:val="006F61BA"/>
    <w:rsid w:val="006F70E3"/>
    <w:rsid w:val="006F77B8"/>
    <w:rsid w:val="007013A7"/>
    <w:rsid w:val="007013AE"/>
    <w:rsid w:val="007022B0"/>
    <w:rsid w:val="00703297"/>
    <w:rsid w:val="00704170"/>
    <w:rsid w:val="007046AE"/>
    <w:rsid w:val="007050C8"/>
    <w:rsid w:val="00707BB1"/>
    <w:rsid w:val="00715310"/>
    <w:rsid w:val="00715F2B"/>
    <w:rsid w:val="0071715D"/>
    <w:rsid w:val="00721B17"/>
    <w:rsid w:val="00722EA9"/>
    <w:rsid w:val="00723CA9"/>
    <w:rsid w:val="00723D30"/>
    <w:rsid w:val="00724661"/>
    <w:rsid w:val="00724728"/>
    <w:rsid w:val="00725504"/>
    <w:rsid w:val="00725512"/>
    <w:rsid w:val="00726753"/>
    <w:rsid w:val="00727386"/>
    <w:rsid w:val="00727B57"/>
    <w:rsid w:val="00730521"/>
    <w:rsid w:val="00731926"/>
    <w:rsid w:val="0073207C"/>
    <w:rsid w:val="007322A4"/>
    <w:rsid w:val="00732848"/>
    <w:rsid w:val="00733BE1"/>
    <w:rsid w:val="0073426C"/>
    <w:rsid w:val="00734645"/>
    <w:rsid w:val="0073483E"/>
    <w:rsid w:val="007351DF"/>
    <w:rsid w:val="007353B4"/>
    <w:rsid w:val="00736B46"/>
    <w:rsid w:val="0073758B"/>
    <w:rsid w:val="00737DA7"/>
    <w:rsid w:val="00740B9D"/>
    <w:rsid w:val="00740DE1"/>
    <w:rsid w:val="00741055"/>
    <w:rsid w:val="00743054"/>
    <w:rsid w:val="007431B4"/>
    <w:rsid w:val="0075042E"/>
    <w:rsid w:val="00750850"/>
    <w:rsid w:val="00750AEC"/>
    <w:rsid w:val="0075238D"/>
    <w:rsid w:val="007528C5"/>
    <w:rsid w:val="00752BCC"/>
    <w:rsid w:val="00754047"/>
    <w:rsid w:val="00754ACF"/>
    <w:rsid w:val="00754CEE"/>
    <w:rsid w:val="0075743E"/>
    <w:rsid w:val="00760040"/>
    <w:rsid w:val="0076202F"/>
    <w:rsid w:val="00764210"/>
    <w:rsid w:val="00764C9E"/>
    <w:rsid w:val="0076617E"/>
    <w:rsid w:val="007666FA"/>
    <w:rsid w:val="00766D3F"/>
    <w:rsid w:val="007703E9"/>
    <w:rsid w:val="007713E9"/>
    <w:rsid w:val="00772169"/>
    <w:rsid w:val="007729AA"/>
    <w:rsid w:val="00773781"/>
    <w:rsid w:val="00774861"/>
    <w:rsid w:val="00776137"/>
    <w:rsid w:val="00777A81"/>
    <w:rsid w:val="00777F47"/>
    <w:rsid w:val="00780999"/>
    <w:rsid w:val="00781055"/>
    <w:rsid w:val="0078590B"/>
    <w:rsid w:val="0078600D"/>
    <w:rsid w:val="00786648"/>
    <w:rsid w:val="00790ACB"/>
    <w:rsid w:val="00791095"/>
    <w:rsid w:val="007918BF"/>
    <w:rsid w:val="007925F3"/>
    <w:rsid w:val="00794DDF"/>
    <w:rsid w:val="007967D4"/>
    <w:rsid w:val="007969C0"/>
    <w:rsid w:val="007A0415"/>
    <w:rsid w:val="007A0E47"/>
    <w:rsid w:val="007A1032"/>
    <w:rsid w:val="007A21C4"/>
    <w:rsid w:val="007A2B16"/>
    <w:rsid w:val="007A2DD1"/>
    <w:rsid w:val="007A3A31"/>
    <w:rsid w:val="007A4CA5"/>
    <w:rsid w:val="007A5058"/>
    <w:rsid w:val="007A52C6"/>
    <w:rsid w:val="007A69E1"/>
    <w:rsid w:val="007A6F7B"/>
    <w:rsid w:val="007A756F"/>
    <w:rsid w:val="007B1190"/>
    <w:rsid w:val="007B176C"/>
    <w:rsid w:val="007B22D2"/>
    <w:rsid w:val="007B2AEE"/>
    <w:rsid w:val="007B41BB"/>
    <w:rsid w:val="007B48FC"/>
    <w:rsid w:val="007B7602"/>
    <w:rsid w:val="007B7DC2"/>
    <w:rsid w:val="007C161F"/>
    <w:rsid w:val="007C1878"/>
    <w:rsid w:val="007C2F4C"/>
    <w:rsid w:val="007C3BD6"/>
    <w:rsid w:val="007C4B59"/>
    <w:rsid w:val="007C4DE4"/>
    <w:rsid w:val="007C5CD8"/>
    <w:rsid w:val="007C72BF"/>
    <w:rsid w:val="007C76F1"/>
    <w:rsid w:val="007C7811"/>
    <w:rsid w:val="007C7975"/>
    <w:rsid w:val="007C7FDB"/>
    <w:rsid w:val="007D344E"/>
    <w:rsid w:val="007D400F"/>
    <w:rsid w:val="007D5CD8"/>
    <w:rsid w:val="007D7091"/>
    <w:rsid w:val="007D7462"/>
    <w:rsid w:val="007D799F"/>
    <w:rsid w:val="007E2F4A"/>
    <w:rsid w:val="007E5920"/>
    <w:rsid w:val="007E6A16"/>
    <w:rsid w:val="007E7985"/>
    <w:rsid w:val="007F0225"/>
    <w:rsid w:val="007F0B30"/>
    <w:rsid w:val="007F10C6"/>
    <w:rsid w:val="007F2301"/>
    <w:rsid w:val="007F2711"/>
    <w:rsid w:val="007F29B1"/>
    <w:rsid w:val="007F2E2E"/>
    <w:rsid w:val="007F3439"/>
    <w:rsid w:val="007F4579"/>
    <w:rsid w:val="007F5389"/>
    <w:rsid w:val="007F54D5"/>
    <w:rsid w:val="007F568F"/>
    <w:rsid w:val="007F5BFA"/>
    <w:rsid w:val="007F6457"/>
    <w:rsid w:val="007F70EF"/>
    <w:rsid w:val="007F71E0"/>
    <w:rsid w:val="008011CC"/>
    <w:rsid w:val="00801471"/>
    <w:rsid w:val="00801814"/>
    <w:rsid w:val="00802065"/>
    <w:rsid w:val="0080207E"/>
    <w:rsid w:val="00804900"/>
    <w:rsid w:val="00804A98"/>
    <w:rsid w:val="00805034"/>
    <w:rsid w:val="008061B3"/>
    <w:rsid w:val="00806DDE"/>
    <w:rsid w:val="008078FC"/>
    <w:rsid w:val="008101A8"/>
    <w:rsid w:val="008106CC"/>
    <w:rsid w:val="0081231B"/>
    <w:rsid w:val="0081286C"/>
    <w:rsid w:val="00813CF0"/>
    <w:rsid w:val="0081439B"/>
    <w:rsid w:val="00816A7C"/>
    <w:rsid w:val="008214EB"/>
    <w:rsid w:val="00821CDC"/>
    <w:rsid w:val="0082209D"/>
    <w:rsid w:val="0082223B"/>
    <w:rsid w:val="00822E51"/>
    <w:rsid w:val="00822F39"/>
    <w:rsid w:val="008246AE"/>
    <w:rsid w:val="00824B01"/>
    <w:rsid w:val="008267E5"/>
    <w:rsid w:val="00826903"/>
    <w:rsid w:val="008269E1"/>
    <w:rsid w:val="008274DA"/>
    <w:rsid w:val="00827DE6"/>
    <w:rsid w:val="008306B8"/>
    <w:rsid w:val="00832FA8"/>
    <w:rsid w:val="00833552"/>
    <w:rsid w:val="00834193"/>
    <w:rsid w:val="00834650"/>
    <w:rsid w:val="00836C52"/>
    <w:rsid w:val="0084031D"/>
    <w:rsid w:val="0084203E"/>
    <w:rsid w:val="0084445E"/>
    <w:rsid w:val="0084455C"/>
    <w:rsid w:val="008450ED"/>
    <w:rsid w:val="008456E2"/>
    <w:rsid w:val="008459ED"/>
    <w:rsid w:val="00845AC6"/>
    <w:rsid w:val="00845E12"/>
    <w:rsid w:val="008474EB"/>
    <w:rsid w:val="00850B9F"/>
    <w:rsid w:val="00850BEC"/>
    <w:rsid w:val="00851091"/>
    <w:rsid w:val="00851224"/>
    <w:rsid w:val="00851BB2"/>
    <w:rsid w:val="008526E1"/>
    <w:rsid w:val="0085425F"/>
    <w:rsid w:val="00855013"/>
    <w:rsid w:val="0085575A"/>
    <w:rsid w:val="0085618F"/>
    <w:rsid w:val="00856947"/>
    <w:rsid w:val="00856F70"/>
    <w:rsid w:val="00857231"/>
    <w:rsid w:val="0085749E"/>
    <w:rsid w:val="00857DBB"/>
    <w:rsid w:val="00860685"/>
    <w:rsid w:val="00860A89"/>
    <w:rsid w:val="00862D75"/>
    <w:rsid w:val="00864028"/>
    <w:rsid w:val="00864305"/>
    <w:rsid w:val="0086605E"/>
    <w:rsid w:val="00870229"/>
    <w:rsid w:val="0087237F"/>
    <w:rsid w:val="00872CA8"/>
    <w:rsid w:val="00872E49"/>
    <w:rsid w:val="00874715"/>
    <w:rsid w:val="008758D0"/>
    <w:rsid w:val="0087617E"/>
    <w:rsid w:val="00877126"/>
    <w:rsid w:val="00877C8C"/>
    <w:rsid w:val="008806F9"/>
    <w:rsid w:val="008825DF"/>
    <w:rsid w:val="00882917"/>
    <w:rsid w:val="00883313"/>
    <w:rsid w:val="00883963"/>
    <w:rsid w:val="00883B07"/>
    <w:rsid w:val="00884518"/>
    <w:rsid w:val="00885902"/>
    <w:rsid w:val="008873CE"/>
    <w:rsid w:val="008879D7"/>
    <w:rsid w:val="00891E9E"/>
    <w:rsid w:val="008920DB"/>
    <w:rsid w:val="0089243D"/>
    <w:rsid w:val="00892871"/>
    <w:rsid w:val="00892DAF"/>
    <w:rsid w:val="00893A9C"/>
    <w:rsid w:val="00895610"/>
    <w:rsid w:val="0089581C"/>
    <w:rsid w:val="00895DD0"/>
    <w:rsid w:val="00896E57"/>
    <w:rsid w:val="00896EA0"/>
    <w:rsid w:val="008A04E2"/>
    <w:rsid w:val="008A0AA4"/>
    <w:rsid w:val="008A2FF3"/>
    <w:rsid w:val="008A3425"/>
    <w:rsid w:val="008A3649"/>
    <w:rsid w:val="008A3AB6"/>
    <w:rsid w:val="008A4184"/>
    <w:rsid w:val="008A5FAE"/>
    <w:rsid w:val="008B2FFB"/>
    <w:rsid w:val="008B3431"/>
    <w:rsid w:val="008B3A2E"/>
    <w:rsid w:val="008B55FD"/>
    <w:rsid w:val="008B6687"/>
    <w:rsid w:val="008B6C59"/>
    <w:rsid w:val="008B7019"/>
    <w:rsid w:val="008C03AA"/>
    <w:rsid w:val="008C07CC"/>
    <w:rsid w:val="008C12E1"/>
    <w:rsid w:val="008C1AD7"/>
    <w:rsid w:val="008C214D"/>
    <w:rsid w:val="008C2667"/>
    <w:rsid w:val="008C40B2"/>
    <w:rsid w:val="008C4F63"/>
    <w:rsid w:val="008C51B2"/>
    <w:rsid w:val="008C5819"/>
    <w:rsid w:val="008C7691"/>
    <w:rsid w:val="008C7777"/>
    <w:rsid w:val="008D189D"/>
    <w:rsid w:val="008D2576"/>
    <w:rsid w:val="008D2CC2"/>
    <w:rsid w:val="008D30A5"/>
    <w:rsid w:val="008D3541"/>
    <w:rsid w:val="008D36E6"/>
    <w:rsid w:val="008D4140"/>
    <w:rsid w:val="008D4DE6"/>
    <w:rsid w:val="008D5C6F"/>
    <w:rsid w:val="008D6EEB"/>
    <w:rsid w:val="008E0DB9"/>
    <w:rsid w:val="008E0FD3"/>
    <w:rsid w:val="008E1353"/>
    <w:rsid w:val="008E37C2"/>
    <w:rsid w:val="008E4633"/>
    <w:rsid w:val="008E49A0"/>
    <w:rsid w:val="008E4EFA"/>
    <w:rsid w:val="008E4F6A"/>
    <w:rsid w:val="008E5C38"/>
    <w:rsid w:val="008E7BE8"/>
    <w:rsid w:val="008E7DB7"/>
    <w:rsid w:val="008F3778"/>
    <w:rsid w:val="008F4ADE"/>
    <w:rsid w:val="008F4E32"/>
    <w:rsid w:val="008F4E87"/>
    <w:rsid w:val="008F4F9C"/>
    <w:rsid w:val="008F60C4"/>
    <w:rsid w:val="008F6C40"/>
    <w:rsid w:val="008F785D"/>
    <w:rsid w:val="00900592"/>
    <w:rsid w:val="00901126"/>
    <w:rsid w:val="00901D28"/>
    <w:rsid w:val="00902674"/>
    <w:rsid w:val="00902782"/>
    <w:rsid w:val="00903AA8"/>
    <w:rsid w:val="0090598A"/>
    <w:rsid w:val="009061BD"/>
    <w:rsid w:val="00906445"/>
    <w:rsid w:val="0090708D"/>
    <w:rsid w:val="00907B14"/>
    <w:rsid w:val="0091180D"/>
    <w:rsid w:val="00912F4C"/>
    <w:rsid w:val="00914924"/>
    <w:rsid w:val="009173FA"/>
    <w:rsid w:val="009179DC"/>
    <w:rsid w:val="009202AE"/>
    <w:rsid w:val="009218C4"/>
    <w:rsid w:val="00921BAF"/>
    <w:rsid w:val="009231ED"/>
    <w:rsid w:val="009234E1"/>
    <w:rsid w:val="009247BC"/>
    <w:rsid w:val="00924C6E"/>
    <w:rsid w:val="0092504F"/>
    <w:rsid w:val="009261E9"/>
    <w:rsid w:val="00926621"/>
    <w:rsid w:val="0092685D"/>
    <w:rsid w:val="00927F36"/>
    <w:rsid w:val="00930223"/>
    <w:rsid w:val="00930417"/>
    <w:rsid w:val="00930D64"/>
    <w:rsid w:val="00930D94"/>
    <w:rsid w:val="00934CA1"/>
    <w:rsid w:val="0093522B"/>
    <w:rsid w:val="0093557B"/>
    <w:rsid w:val="00937351"/>
    <w:rsid w:val="00937656"/>
    <w:rsid w:val="00937ADC"/>
    <w:rsid w:val="00941255"/>
    <w:rsid w:val="009415A2"/>
    <w:rsid w:val="009437BB"/>
    <w:rsid w:val="0094395C"/>
    <w:rsid w:val="00945411"/>
    <w:rsid w:val="0094678E"/>
    <w:rsid w:val="009478C9"/>
    <w:rsid w:val="0095137E"/>
    <w:rsid w:val="00951D1B"/>
    <w:rsid w:val="00952EF1"/>
    <w:rsid w:val="00956DB5"/>
    <w:rsid w:val="00957DA2"/>
    <w:rsid w:val="00961645"/>
    <w:rsid w:val="009630D8"/>
    <w:rsid w:val="0096704F"/>
    <w:rsid w:val="00967BBD"/>
    <w:rsid w:val="0097076C"/>
    <w:rsid w:val="00971E53"/>
    <w:rsid w:val="00972B3E"/>
    <w:rsid w:val="009755D2"/>
    <w:rsid w:val="0097580E"/>
    <w:rsid w:val="0097586E"/>
    <w:rsid w:val="00976D0D"/>
    <w:rsid w:val="009776FF"/>
    <w:rsid w:val="009779C3"/>
    <w:rsid w:val="009807E0"/>
    <w:rsid w:val="00980B18"/>
    <w:rsid w:val="0098170D"/>
    <w:rsid w:val="00981D9D"/>
    <w:rsid w:val="0098373C"/>
    <w:rsid w:val="00984AEF"/>
    <w:rsid w:val="00985872"/>
    <w:rsid w:val="0098641F"/>
    <w:rsid w:val="00986D57"/>
    <w:rsid w:val="0098717A"/>
    <w:rsid w:val="00992DC4"/>
    <w:rsid w:val="00993536"/>
    <w:rsid w:val="00993A9C"/>
    <w:rsid w:val="00994CA2"/>
    <w:rsid w:val="00995C90"/>
    <w:rsid w:val="00995D37"/>
    <w:rsid w:val="00997ADB"/>
    <w:rsid w:val="009A15F4"/>
    <w:rsid w:val="009A32C4"/>
    <w:rsid w:val="009A35D0"/>
    <w:rsid w:val="009A5A2D"/>
    <w:rsid w:val="009A5B3F"/>
    <w:rsid w:val="009A63CC"/>
    <w:rsid w:val="009A7459"/>
    <w:rsid w:val="009A7876"/>
    <w:rsid w:val="009A7A85"/>
    <w:rsid w:val="009B0ACE"/>
    <w:rsid w:val="009B0C37"/>
    <w:rsid w:val="009B2423"/>
    <w:rsid w:val="009B465C"/>
    <w:rsid w:val="009B46CF"/>
    <w:rsid w:val="009B49B3"/>
    <w:rsid w:val="009B5612"/>
    <w:rsid w:val="009B5776"/>
    <w:rsid w:val="009B7363"/>
    <w:rsid w:val="009C0E1E"/>
    <w:rsid w:val="009C11A7"/>
    <w:rsid w:val="009C2FDB"/>
    <w:rsid w:val="009C6DA4"/>
    <w:rsid w:val="009C7F71"/>
    <w:rsid w:val="009D1DE2"/>
    <w:rsid w:val="009D2825"/>
    <w:rsid w:val="009D2D7E"/>
    <w:rsid w:val="009D35BF"/>
    <w:rsid w:val="009D3A88"/>
    <w:rsid w:val="009D49F2"/>
    <w:rsid w:val="009D4C3E"/>
    <w:rsid w:val="009D5847"/>
    <w:rsid w:val="009D6482"/>
    <w:rsid w:val="009E1555"/>
    <w:rsid w:val="009E2862"/>
    <w:rsid w:val="009E3D83"/>
    <w:rsid w:val="009E42FC"/>
    <w:rsid w:val="009E462E"/>
    <w:rsid w:val="009E47ED"/>
    <w:rsid w:val="009E524A"/>
    <w:rsid w:val="009E5E7E"/>
    <w:rsid w:val="009F0120"/>
    <w:rsid w:val="009F0887"/>
    <w:rsid w:val="009F09AB"/>
    <w:rsid w:val="009F30FB"/>
    <w:rsid w:val="009F32C4"/>
    <w:rsid w:val="009F4972"/>
    <w:rsid w:val="009F4FC2"/>
    <w:rsid w:val="009F7A38"/>
    <w:rsid w:val="00A03F8A"/>
    <w:rsid w:val="00A06EBD"/>
    <w:rsid w:val="00A0703A"/>
    <w:rsid w:val="00A072C4"/>
    <w:rsid w:val="00A10176"/>
    <w:rsid w:val="00A10181"/>
    <w:rsid w:val="00A10255"/>
    <w:rsid w:val="00A1071F"/>
    <w:rsid w:val="00A10869"/>
    <w:rsid w:val="00A111FF"/>
    <w:rsid w:val="00A126E3"/>
    <w:rsid w:val="00A12A41"/>
    <w:rsid w:val="00A12BDF"/>
    <w:rsid w:val="00A13E3A"/>
    <w:rsid w:val="00A162B7"/>
    <w:rsid w:val="00A165B7"/>
    <w:rsid w:val="00A171A5"/>
    <w:rsid w:val="00A178B6"/>
    <w:rsid w:val="00A20FB8"/>
    <w:rsid w:val="00A215B6"/>
    <w:rsid w:val="00A23538"/>
    <w:rsid w:val="00A242DD"/>
    <w:rsid w:val="00A25C86"/>
    <w:rsid w:val="00A26035"/>
    <w:rsid w:val="00A273D8"/>
    <w:rsid w:val="00A27AF7"/>
    <w:rsid w:val="00A27AFA"/>
    <w:rsid w:val="00A31021"/>
    <w:rsid w:val="00A316C8"/>
    <w:rsid w:val="00A31A44"/>
    <w:rsid w:val="00A33370"/>
    <w:rsid w:val="00A40466"/>
    <w:rsid w:val="00A41444"/>
    <w:rsid w:val="00A42A42"/>
    <w:rsid w:val="00A42BAA"/>
    <w:rsid w:val="00A43475"/>
    <w:rsid w:val="00A436B8"/>
    <w:rsid w:val="00A44DE7"/>
    <w:rsid w:val="00A4515C"/>
    <w:rsid w:val="00A47209"/>
    <w:rsid w:val="00A505F6"/>
    <w:rsid w:val="00A50DA0"/>
    <w:rsid w:val="00A511E7"/>
    <w:rsid w:val="00A522DA"/>
    <w:rsid w:val="00A52F42"/>
    <w:rsid w:val="00A531AF"/>
    <w:rsid w:val="00A533B2"/>
    <w:rsid w:val="00A539EC"/>
    <w:rsid w:val="00A53C78"/>
    <w:rsid w:val="00A54C55"/>
    <w:rsid w:val="00A56513"/>
    <w:rsid w:val="00A56745"/>
    <w:rsid w:val="00A568C5"/>
    <w:rsid w:val="00A56A89"/>
    <w:rsid w:val="00A56D46"/>
    <w:rsid w:val="00A57BB8"/>
    <w:rsid w:val="00A62E01"/>
    <w:rsid w:val="00A64CC4"/>
    <w:rsid w:val="00A655B2"/>
    <w:rsid w:val="00A65E6F"/>
    <w:rsid w:val="00A667F2"/>
    <w:rsid w:val="00A67067"/>
    <w:rsid w:val="00A67984"/>
    <w:rsid w:val="00A67AC9"/>
    <w:rsid w:val="00A67E44"/>
    <w:rsid w:val="00A7124A"/>
    <w:rsid w:val="00A7130A"/>
    <w:rsid w:val="00A733D3"/>
    <w:rsid w:val="00A73567"/>
    <w:rsid w:val="00A73705"/>
    <w:rsid w:val="00A7420B"/>
    <w:rsid w:val="00A765B7"/>
    <w:rsid w:val="00A76835"/>
    <w:rsid w:val="00A76D7B"/>
    <w:rsid w:val="00A76E90"/>
    <w:rsid w:val="00A775B9"/>
    <w:rsid w:val="00A77C10"/>
    <w:rsid w:val="00A80D68"/>
    <w:rsid w:val="00A82655"/>
    <w:rsid w:val="00A833F2"/>
    <w:rsid w:val="00A83DA9"/>
    <w:rsid w:val="00A853CE"/>
    <w:rsid w:val="00A86CE1"/>
    <w:rsid w:val="00A87C88"/>
    <w:rsid w:val="00A902DA"/>
    <w:rsid w:val="00A907FC"/>
    <w:rsid w:val="00A90A88"/>
    <w:rsid w:val="00A93A75"/>
    <w:rsid w:val="00A93CBE"/>
    <w:rsid w:val="00A96696"/>
    <w:rsid w:val="00A96D18"/>
    <w:rsid w:val="00A97168"/>
    <w:rsid w:val="00A97774"/>
    <w:rsid w:val="00AA03DA"/>
    <w:rsid w:val="00AA06B8"/>
    <w:rsid w:val="00AA2F44"/>
    <w:rsid w:val="00AA342F"/>
    <w:rsid w:val="00AA605A"/>
    <w:rsid w:val="00AA677F"/>
    <w:rsid w:val="00AA748F"/>
    <w:rsid w:val="00AB04D9"/>
    <w:rsid w:val="00AB27F1"/>
    <w:rsid w:val="00AB347C"/>
    <w:rsid w:val="00AB4343"/>
    <w:rsid w:val="00AB4959"/>
    <w:rsid w:val="00AB5136"/>
    <w:rsid w:val="00AB65E8"/>
    <w:rsid w:val="00AB7330"/>
    <w:rsid w:val="00AC0223"/>
    <w:rsid w:val="00AC0921"/>
    <w:rsid w:val="00AC1336"/>
    <w:rsid w:val="00AC22EB"/>
    <w:rsid w:val="00AC2775"/>
    <w:rsid w:val="00AC2FC1"/>
    <w:rsid w:val="00AC39B2"/>
    <w:rsid w:val="00AC491D"/>
    <w:rsid w:val="00AC56E7"/>
    <w:rsid w:val="00AC65F4"/>
    <w:rsid w:val="00AC7E2E"/>
    <w:rsid w:val="00AD0EEB"/>
    <w:rsid w:val="00AD22AE"/>
    <w:rsid w:val="00AD59F1"/>
    <w:rsid w:val="00AD69B6"/>
    <w:rsid w:val="00AD6AF0"/>
    <w:rsid w:val="00AD6CA1"/>
    <w:rsid w:val="00AD6D40"/>
    <w:rsid w:val="00AD7544"/>
    <w:rsid w:val="00AE0DDD"/>
    <w:rsid w:val="00AE3404"/>
    <w:rsid w:val="00AE3A5F"/>
    <w:rsid w:val="00AE6010"/>
    <w:rsid w:val="00AE65A3"/>
    <w:rsid w:val="00AE67A6"/>
    <w:rsid w:val="00AE67E5"/>
    <w:rsid w:val="00AE7079"/>
    <w:rsid w:val="00AF1AB9"/>
    <w:rsid w:val="00AF2310"/>
    <w:rsid w:val="00AF2A4D"/>
    <w:rsid w:val="00AF2BF0"/>
    <w:rsid w:val="00AF3830"/>
    <w:rsid w:val="00AF4B41"/>
    <w:rsid w:val="00AF5CB7"/>
    <w:rsid w:val="00AF5CC8"/>
    <w:rsid w:val="00AF5E75"/>
    <w:rsid w:val="00AF65EF"/>
    <w:rsid w:val="00AF6CC7"/>
    <w:rsid w:val="00AF6D9B"/>
    <w:rsid w:val="00AF7C01"/>
    <w:rsid w:val="00B0141C"/>
    <w:rsid w:val="00B037B5"/>
    <w:rsid w:val="00B04F01"/>
    <w:rsid w:val="00B05932"/>
    <w:rsid w:val="00B05A37"/>
    <w:rsid w:val="00B0735A"/>
    <w:rsid w:val="00B0749B"/>
    <w:rsid w:val="00B115C2"/>
    <w:rsid w:val="00B11DEE"/>
    <w:rsid w:val="00B122CD"/>
    <w:rsid w:val="00B12B11"/>
    <w:rsid w:val="00B13357"/>
    <w:rsid w:val="00B13401"/>
    <w:rsid w:val="00B140BB"/>
    <w:rsid w:val="00B143A8"/>
    <w:rsid w:val="00B14E65"/>
    <w:rsid w:val="00B14ED5"/>
    <w:rsid w:val="00B16ABA"/>
    <w:rsid w:val="00B16B06"/>
    <w:rsid w:val="00B171E1"/>
    <w:rsid w:val="00B17C86"/>
    <w:rsid w:val="00B17D09"/>
    <w:rsid w:val="00B2296D"/>
    <w:rsid w:val="00B22F65"/>
    <w:rsid w:val="00B232A3"/>
    <w:rsid w:val="00B23FC2"/>
    <w:rsid w:val="00B249AF"/>
    <w:rsid w:val="00B25A9F"/>
    <w:rsid w:val="00B26369"/>
    <w:rsid w:val="00B271C9"/>
    <w:rsid w:val="00B27533"/>
    <w:rsid w:val="00B31DCB"/>
    <w:rsid w:val="00B31F23"/>
    <w:rsid w:val="00B32796"/>
    <w:rsid w:val="00B34C16"/>
    <w:rsid w:val="00B4049D"/>
    <w:rsid w:val="00B40A34"/>
    <w:rsid w:val="00B40B7B"/>
    <w:rsid w:val="00B41B68"/>
    <w:rsid w:val="00B425CD"/>
    <w:rsid w:val="00B436FF"/>
    <w:rsid w:val="00B44154"/>
    <w:rsid w:val="00B44EF2"/>
    <w:rsid w:val="00B46CA2"/>
    <w:rsid w:val="00B47369"/>
    <w:rsid w:val="00B473EE"/>
    <w:rsid w:val="00B50E9C"/>
    <w:rsid w:val="00B51043"/>
    <w:rsid w:val="00B53AD0"/>
    <w:rsid w:val="00B5483B"/>
    <w:rsid w:val="00B54DD6"/>
    <w:rsid w:val="00B55BFE"/>
    <w:rsid w:val="00B57E59"/>
    <w:rsid w:val="00B62A47"/>
    <w:rsid w:val="00B64E15"/>
    <w:rsid w:val="00B65014"/>
    <w:rsid w:val="00B66E46"/>
    <w:rsid w:val="00B67129"/>
    <w:rsid w:val="00B7032F"/>
    <w:rsid w:val="00B711EE"/>
    <w:rsid w:val="00B71782"/>
    <w:rsid w:val="00B724E5"/>
    <w:rsid w:val="00B73964"/>
    <w:rsid w:val="00B73C8D"/>
    <w:rsid w:val="00B75E62"/>
    <w:rsid w:val="00B77911"/>
    <w:rsid w:val="00B80D89"/>
    <w:rsid w:val="00B81A3C"/>
    <w:rsid w:val="00B81F85"/>
    <w:rsid w:val="00B8332A"/>
    <w:rsid w:val="00B83433"/>
    <w:rsid w:val="00B842BB"/>
    <w:rsid w:val="00B84700"/>
    <w:rsid w:val="00B8487A"/>
    <w:rsid w:val="00B85D5E"/>
    <w:rsid w:val="00B87500"/>
    <w:rsid w:val="00B87520"/>
    <w:rsid w:val="00B9000D"/>
    <w:rsid w:val="00B9046B"/>
    <w:rsid w:val="00B90486"/>
    <w:rsid w:val="00B90705"/>
    <w:rsid w:val="00B94A96"/>
    <w:rsid w:val="00B95C96"/>
    <w:rsid w:val="00B95EC6"/>
    <w:rsid w:val="00B96F07"/>
    <w:rsid w:val="00BA0016"/>
    <w:rsid w:val="00BA241F"/>
    <w:rsid w:val="00BA2521"/>
    <w:rsid w:val="00BA34BC"/>
    <w:rsid w:val="00BA3D7C"/>
    <w:rsid w:val="00BA6C75"/>
    <w:rsid w:val="00BA7F21"/>
    <w:rsid w:val="00BB076B"/>
    <w:rsid w:val="00BB0AF1"/>
    <w:rsid w:val="00BB0C49"/>
    <w:rsid w:val="00BB0E5E"/>
    <w:rsid w:val="00BB1085"/>
    <w:rsid w:val="00BB36CA"/>
    <w:rsid w:val="00BB4147"/>
    <w:rsid w:val="00BB4F84"/>
    <w:rsid w:val="00BB5074"/>
    <w:rsid w:val="00BB51B1"/>
    <w:rsid w:val="00BB6F7F"/>
    <w:rsid w:val="00BB7FA5"/>
    <w:rsid w:val="00BC03BF"/>
    <w:rsid w:val="00BC1330"/>
    <w:rsid w:val="00BC14F1"/>
    <w:rsid w:val="00BC273E"/>
    <w:rsid w:val="00BC2E61"/>
    <w:rsid w:val="00BC54BE"/>
    <w:rsid w:val="00BC6A59"/>
    <w:rsid w:val="00BC7441"/>
    <w:rsid w:val="00BD215A"/>
    <w:rsid w:val="00BD27D3"/>
    <w:rsid w:val="00BD2BFC"/>
    <w:rsid w:val="00BD3EFE"/>
    <w:rsid w:val="00BD64B0"/>
    <w:rsid w:val="00BD7221"/>
    <w:rsid w:val="00BD7BD8"/>
    <w:rsid w:val="00BE1819"/>
    <w:rsid w:val="00BE2338"/>
    <w:rsid w:val="00BE2A7B"/>
    <w:rsid w:val="00BE3C94"/>
    <w:rsid w:val="00BE3D19"/>
    <w:rsid w:val="00BE3D5D"/>
    <w:rsid w:val="00BE46A1"/>
    <w:rsid w:val="00BE46A5"/>
    <w:rsid w:val="00BF0228"/>
    <w:rsid w:val="00BF0C62"/>
    <w:rsid w:val="00BF5005"/>
    <w:rsid w:val="00C00224"/>
    <w:rsid w:val="00C00508"/>
    <w:rsid w:val="00C00FAB"/>
    <w:rsid w:val="00C01F78"/>
    <w:rsid w:val="00C01F89"/>
    <w:rsid w:val="00C02DA9"/>
    <w:rsid w:val="00C035C3"/>
    <w:rsid w:val="00C03DCC"/>
    <w:rsid w:val="00C04418"/>
    <w:rsid w:val="00C048A5"/>
    <w:rsid w:val="00C0499A"/>
    <w:rsid w:val="00C055B1"/>
    <w:rsid w:val="00C07124"/>
    <w:rsid w:val="00C0797D"/>
    <w:rsid w:val="00C107AF"/>
    <w:rsid w:val="00C12ACD"/>
    <w:rsid w:val="00C13AF7"/>
    <w:rsid w:val="00C1561E"/>
    <w:rsid w:val="00C15FF5"/>
    <w:rsid w:val="00C17139"/>
    <w:rsid w:val="00C1715C"/>
    <w:rsid w:val="00C1744E"/>
    <w:rsid w:val="00C17EFB"/>
    <w:rsid w:val="00C17FFB"/>
    <w:rsid w:val="00C2194D"/>
    <w:rsid w:val="00C22479"/>
    <w:rsid w:val="00C2291C"/>
    <w:rsid w:val="00C22E91"/>
    <w:rsid w:val="00C2662D"/>
    <w:rsid w:val="00C30F90"/>
    <w:rsid w:val="00C31AD6"/>
    <w:rsid w:val="00C32613"/>
    <w:rsid w:val="00C36065"/>
    <w:rsid w:val="00C369A8"/>
    <w:rsid w:val="00C36F2C"/>
    <w:rsid w:val="00C36F68"/>
    <w:rsid w:val="00C425C2"/>
    <w:rsid w:val="00C445C4"/>
    <w:rsid w:val="00C44A85"/>
    <w:rsid w:val="00C4508A"/>
    <w:rsid w:val="00C4586A"/>
    <w:rsid w:val="00C52342"/>
    <w:rsid w:val="00C5357E"/>
    <w:rsid w:val="00C53DE4"/>
    <w:rsid w:val="00C573A7"/>
    <w:rsid w:val="00C604CB"/>
    <w:rsid w:val="00C61572"/>
    <w:rsid w:val="00C61B72"/>
    <w:rsid w:val="00C62309"/>
    <w:rsid w:val="00C6267B"/>
    <w:rsid w:val="00C641F7"/>
    <w:rsid w:val="00C64EBA"/>
    <w:rsid w:val="00C6619A"/>
    <w:rsid w:val="00C664FA"/>
    <w:rsid w:val="00C66843"/>
    <w:rsid w:val="00C6799D"/>
    <w:rsid w:val="00C679A2"/>
    <w:rsid w:val="00C70910"/>
    <w:rsid w:val="00C70C50"/>
    <w:rsid w:val="00C725CA"/>
    <w:rsid w:val="00C72BA9"/>
    <w:rsid w:val="00C73573"/>
    <w:rsid w:val="00C74382"/>
    <w:rsid w:val="00C76533"/>
    <w:rsid w:val="00C77464"/>
    <w:rsid w:val="00C77F22"/>
    <w:rsid w:val="00C808EB"/>
    <w:rsid w:val="00C80FA9"/>
    <w:rsid w:val="00C81E0D"/>
    <w:rsid w:val="00C85B93"/>
    <w:rsid w:val="00C86081"/>
    <w:rsid w:val="00C869F7"/>
    <w:rsid w:val="00C8727A"/>
    <w:rsid w:val="00C87FB7"/>
    <w:rsid w:val="00C904CC"/>
    <w:rsid w:val="00C906A5"/>
    <w:rsid w:val="00C90A76"/>
    <w:rsid w:val="00C90C7B"/>
    <w:rsid w:val="00C92282"/>
    <w:rsid w:val="00C93474"/>
    <w:rsid w:val="00C93BE2"/>
    <w:rsid w:val="00C94049"/>
    <w:rsid w:val="00C94D31"/>
    <w:rsid w:val="00C955AF"/>
    <w:rsid w:val="00C975D2"/>
    <w:rsid w:val="00CA036B"/>
    <w:rsid w:val="00CA0650"/>
    <w:rsid w:val="00CA1189"/>
    <w:rsid w:val="00CA164A"/>
    <w:rsid w:val="00CA2393"/>
    <w:rsid w:val="00CA409D"/>
    <w:rsid w:val="00CA4A83"/>
    <w:rsid w:val="00CA4CCD"/>
    <w:rsid w:val="00CA7A5A"/>
    <w:rsid w:val="00CA7A60"/>
    <w:rsid w:val="00CB1217"/>
    <w:rsid w:val="00CB1276"/>
    <w:rsid w:val="00CB15F9"/>
    <w:rsid w:val="00CB164C"/>
    <w:rsid w:val="00CB168C"/>
    <w:rsid w:val="00CB22D2"/>
    <w:rsid w:val="00CB25DB"/>
    <w:rsid w:val="00CB32C5"/>
    <w:rsid w:val="00CB3991"/>
    <w:rsid w:val="00CB3D98"/>
    <w:rsid w:val="00CB608D"/>
    <w:rsid w:val="00CC05D6"/>
    <w:rsid w:val="00CC0C05"/>
    <w:rsid w:val="00CC1E35"/>
    <w:rsid w:val="00CC3BB2"/>
    <w:rsid w:val="00CC49E7"/>
    <w:rsid w:val="00CC4F26"/>
    <w:rsid w:val="00CC5368"/>
    <w:rsid w:val="00CC597A"/>
    <w:rsid w:val="00CC7B45"/>
    <w:rsid w:val="00CD0137"/>
    <w:rsid w:val="00CD0B7A"/>
    <w:rsid w:val="00CD1D95"/>
    <w:rsid w:val="00CD2BD3"/>
    <w:rsid w:val="00CD3795"/>
    <w:rsid w:val="00CD3B07"/>
    <w:rsid w:val="00CD6B7D"/>
    <w:rsid w:val="00CE1BF0"/>
    <w:rsid w:val="00CE2962"/>
    <w:rsid w:val="00CE2C8E"/>
    <w:rsid w:val="00CE3956"/>
    <w:rsid w:val="00CE5925"/>
    <w:rsid w:val="00CE60C6"/>
    <w:rsid w:val="00CE651A"/>
    <w:rsid w:val="00CF0884"/>
    <w:rsid w:val="00CF0B02"/>
    <w:rsid w:val="00CF3AA4"/>
    <w:rsid w:val="00CF3BA2"/>
    <w:rsid w:val="00CF4495"/>
    <w:rsid w:val="00CF4C1A"/>
    <w:rsid w:val="00CF58CD"/>
    <w:rsid w:val="00CF6710"/>
    <w:rsid w:val="00D0179E"/>
    <w:rsid w:val="00D03276"/>
    <w:rsid w:val="00D03AD2"/>
    <w:rsid w:val="00D050C8"/>
    <w:rsid w:val="00D07807"/>
    <w:rsid w:val="00D07904"/>
    <w:rsid w:val="00D07EDC"/>
    <w:rsid w:val="00D121B6"/>
    <w:rsid w:val="00D13083"/>
    <w:rsid w:val="00D133FB"/>
    <w:rsid w:val="00D13F2D"/>
    <w:rsid w:val="00D15BE7"/>
    <w:rsid w:val="00D15EAE"/>
    <w:rsid w:val="00D167C6"/>
    <w:rsid w:val="00D16B49"/>
    <w:rsid w:val="00D17CAD"/>
    <w:rsid w:val="00D17DD7"/>
    <w:rsid w:val="00D17F81"/>
    <w:rsid w:val="00D17FDA"/>
    <w:rsid w:val="00D2094E"/>
    <w:rsid w:val="00D2234B"/>
    <w:rsid w:val="00D226A7"/>
    <w:rsid w:val="00D24468"/>
    <w:rsid w:val="00D254F4"/>
    <w:rsid w:val="00D260C2"/>
    <w:rsid w:val="00D26B24"/>
    <w:rsid w:val="00D27010"/>
    <w:rsid w:val="00D3128F"/>
    <w:rsid w:val="00D33231"/>
    <w:rsid w:val="00D34D43"/>
    <w:rsid w:val="00D37193"/>
    <w:rsid w:val="00D3719B"/>
    <w:rsid w:val="00D3722B"/>
    <w:rsid w:val="00D4145D"/>
    <w:rsid w:val="00D4443C"/>
    <w:rsid w:val="00D44B58"/>
    <w:rsid w:val="00D45157"/>
    <w:rsid w:val="00D46B9E"/>
    <w:rsid w:val="00D50D6E"/>
    <w:rsid w:val="00D51944"/>
    <w:rsid w:val="00D53247"/>
    <w:rsid w:val="00D53EC0"/>
    <w:rsid w:val="00D55432"/>
    <w:rsid w:val="00D554D2"/>
    <w:rsid w:val="00D557B2"/>
    <w:rsid w:val="00D55D25"/>
    <w:rsid w:val="00D57802"/>
    <w:rsid w:val="00D60ABB"/>
    <w:rsid w:val="00D610FF"/>
    <w:rsid w:val="00D6183A"/>
    <w:rsid w:val="00D64A0C"/>
    <w:rsid w:val="00D65450"/>
    <w:rsid w:val="00D655CC"/>
    <w:rsid w:val="00D66329"/>
    <w:rsid w:val="00D669BE"/>
    <w:rsid w:val="00D66E8E"/>
    <w:rsid w:val="00D6776A"/>
    <w:rsid w:val="00D70106"/>
    <w:rsid w:val="00D701A9"/>
    <w:rsid w:val="00D70DCF"/>
    <w:rsid w:val="00D70EBD"/>
    <w:rsid w:val="00D72123"/>
    <w:rsid w:val="00D72DE9"/>
    <w:rsid w:val="00D72E09"/>
    <w:rsid w:val="00D749E8"/>
    <w:rsid w:val="00D756C5"/>
    <w:rsid w:val="00D76919"/>
    <w:rsid w:val="00D814AC"/>
    <w:rsid w:val="00D8193A"/>
    <w:rsid w:val="00D82411"/>
    <w:rsid w:val="00D826E2"/>
    <w:rsid w:val="00D82C02"/>
    <w:rsid w:val="00D84304"/>
    <w:rsid w:val="00D846BF"/>
    <w:rsid w:val="00D853DE"/>
    <w:rsid w:val="00D860B8"/>
    <w:rsid w:val="00D86878"/>
    <w:rsid w:val="00D87E99"/>
    <w:rsid w:val="00D921D9"/>
    <w:rsid w:val="00D92556"/>
    <w:rsid w:val="00D92E6D"/>
    <w:rsid w:val="00D92F7E"/>
    <w:rsid w:val="00D93312"/>
    <w:rsid w:val="00D93C47"/>
    <w:rsid w:val="00D94930"/>
    <w:rsid w:val="00D9651F"/>
    <w:rsid w:val="00D96FAC"/>
    <w:rsid w:val="00D97B81"/>
    <w:rsid w:val="00DA04EA"/>
    <w:rsid w:val="00DA0DA0"/>
    <w:rsid w:val="00DA1FAE"/>
    <w:rsid w:val="00DA21B4"/>
    <w:rsid w:val="00DA442C"/>
    <w:rsid w:val="00DA7A34"/>
    <w:rsid w:val="00DB0399"/>
    <w:rsid w:val="00DB160B"/>
    <w:rsid w:val="00DB17B5"/>
    <w:rsid w:val="00DB347F"/>
    <w:rsid w:val="00DB55DC"/>
    <w:rsid w:val="00DB763C"/>
    <w:rsid w:val="00DB7B18"/>
    <w:rsid w:val="00DB7E35"/>
    <w:rsid w:val="00DC0AE2"/>
    <w:rsid w:val="00DC23A0"/>
    <w:rsid w:val="00DC24EA"/>
    <w:rsid w:val="00DC2B4E"/>
    <w:rsid w:val="00DC3C45"/>
    <w:rsid w:val="00DC4032"/>
    <w:rsid w:val="00DC403A"/>
    <w:rsid w:val="00DC4CAD"/>
    <w:rsid w:val="00DC7CB6"/>
    <w:rsid w:val="00DD1695"/>
    <w:rsid w:val="00DD3DCE"/>
    <w:rsid w:val="00DD4269"/>
    <w:rsid w:val="00DD5519"/>
    <w:rsid w:val="00DD568F"/>
    <w:rsid w:val="00DD7195"/>
    <w:rsid w:val="00DD7BE7"/>
    <w:rsid w:val="00DD7C2C"/>
    <w:rsid w:val="00DE06CC"/>
    <w:rsid w:val="00DE09B7"/>
    <w:rsid w:val="00DE139D"/>
    <w:rsid w:val="00DE1420"/>
    <w:rsid w:val="00DE51DE"/>
    <w:rsid w:val="00DE558D"/>
    <w:rsid w:val="00DE677C"/>
    <w:rsid w:val="00DF23B5"/>
    <w:rsid w:val="00DF354C"/>
    <w:rsid w:val="00DF4E2B"/>
    <w:rsid w:val="00DF4F77"/>
    <w:rsid w:val="00DF5346"/>
    <w:rsid w:val="00DF5DCB"/>
    <w:rsid w:val="00DF74D1"/>
    <w:rsid w:val="00DF7DB1"/>
    <w:rsid w:val="00DF7F07"/>
    <w:rsid w:val="00E0054E"/>
    <w:rsid w:val="00E03673"/>
    <w:rsid w:val="00E048FC"/>
    <w:rsid w:val="00E057D2"/>
    <w:rsid w:val="00E0718C"/>
    <w:rsid w:val="00E07331"/>
    <w:rsid w:val="00E117CD"/>
    <w:rsid w:val="00E150CA"/>
    <w:rsid w:val="00E175B0"/>
    <w:rsid w:val="00E2076B"/>
    <w:rsid w:val="00E21E20"/>
    <w:rsid w:val="00E2731C"/>
    <w:rsid w:val="00E3222D"/>
    <w:rsid w:val="00E322FF"/>
    <w:rsid w:val="00E34313"/>
    <w:rsid w:val="00E35F7A"/>
    <w:rsid w:val="00E36F2D"/>
    <w:rsid w:val="00E373EA"/>
    <w:rsid w:val="00E40621"/>
    <w:rsid w:val="00E41BCC"/>
    <w:rsid w:val="00E43E62"/>
    <w:rsid w:val="00E4420D"/>
    <w:rsid w:val="00E44A5B"/>
    <w:rsid w:val="00E44C9E"/>
    <w:rsid w:val="00E457C0"/>
    <w:rsid w:val="00E45AAA"/>
    <w:rsid w:val="00E45B4B"/>
    <w:rsid w:val="00E502E4"/>
    <w:rsid w:val="00E518C4"/>
    <w:rsid w:val="00E5323A"/>
    <w:rsid w:val="00E534DD"/>
    <w:rsid w:val="00E53FC1"/>
    <w:rsid w:val="00E562EB"/>
    <w:rsid w:val="00E57103"/>
    <w:rsid w:val="00E60056"/>
    <w:rsid w:val="00E6080A"/>
    <w:rsid w:val="00E61828"/>
    <w:rsid w:val="00E63F81"/>
    <w:rsid w:val="00E6495D"/>
    <w:rsid w:val="00E64F2E"/>
    <w:rsid w:val="00E650DC"/>
    <w:rsid w:val="00E67705"/>
    <w:rsid w:val="00E71BA6"/>
    <w:rsid w:val="00E71F32"/>
    <w:rsid w:val="00E727C9"/>
    <w:rsid w:val="00E72FB4"/>
    <w:rsid w:val="00E73EB1"/>
    <w:rsid w:val="00E75C62"/>
    <w:rsid w:val="00E7797D"/>
    <w:rsid w:val="00E8056F"/>
    <w:rsid w:val="00E859E7"/>
    <w:rsid w:val="00E86E6C"/>
    <w:rsid w:val="00E903E9"/>
    <w:rsid w:val="00E90B4E"/>
    <w:rsid w:val="00E911FE"/>
    <w:rsid w:val="00E9133F"/>
    <w:rsid w:val="00E936FA"/>
    <w:rsid w:val="00E94F1A"/>
    <w:rsid w:val="00E95023"/>
    <w:rsid w:val="00E96989"/>
    <w:rsid w:val="00E977AF"/>
    <w:rsid w:val="00E97A91"/>
    <w:rsid w:val="00EA157D"/>
    <w:rsid w:val="00EA1856"/>
    <w:rsid w:val="00EA23E3"/>
    <w:rsid w:val="00EA26CC"/>
    <w:rsid w:val="00EA317B"/>
    <w:rsid w:val="00EA4330"/>
    <w:rsid w:val="00EA46A1"/>
    <w:rsid w:val="00EA63D2"/>
    <w:rsid w:val="00EA711B"/>
    <w:rsid w:val="00EB02D4"/>
    <w:rsid w:val="00EB291E"/>
    <w:rsid w:val="00EB2B97"/>
    <w:rsid w:val="00EB2E33"/>
    <w:rsid w:val="00EB318C"/>
    <w:rsid w:val="00EB5549"/>
    <w:rsid w:val="00EB5D89"/>
    <w:rsid w:val="00EB67EE"/>
    <w:rsid w:val="00EC046C"/>
    <w:rsid w:val="00EC058F"/>
    <w:rsid w:val="00EC30E5"/>
    <w:rsid w:val="00EC6F31"/>
    <w:rsid w:val="00EC7445"/>
    <w:rsid w:val="00ED2009"/>
    <w:rsid w:val="00ED407C"/>
    <w:rsid w:val="00ED462F"/>
    <w:rsid w:val="00ED5D85"/>
    <w:rsid w:val="00ED6366"/>
    <w:rsid w:val="00ED77FC"/>
    <w:rsid w:val="00EE0132"/>
    <w:rsid w:val="00EE2366"/>
    <w:rsid w:val="00EE2D27"/>
    <w:rsid w:val="00EE2E65"/>
    <w:rsid w:val="00EE3208"/>
    <w:rsid w:val="00EE4130"/>
    <w:rsid w:val="00EE4C37"/>
    <w:rsid w:val="00EE544F"/>
    <w:rsid w:val="00EE586D"/>
    <w:rsid w:val="00EE5C01"/>
    <w:rsid w:val="00EE64CE"/>
    <w:rsid w:val="00EE6B50"/>
    <w:rsid w:val="00EE6F15"/>
    <w:rsid w:val="00EE72C3"/>
    <w:rsid w:val="00EE7A8F"/>
    <w:rsid w:val="00EE7F63"/>
    <w:rsid w:val="00EF0B0F"/>
    <w:rsid w:val="00EF1138"/>
    <w:rsid w:val="00EF27AB"/>
    <w:rsid w:val="00EF27DF"/>
    <w:rsid w:val="00EF3C87"/>
    <w:rsid w:val="00EF3CE7"/>
    <w:rsid w:val="00EF40FC"/>
    <w:rsid w:val="00EF463D"/>
    <w:rsid w:val="00EF4E4E"/>
    <w:rsid w:val="00EF4EE3"/>
    <w:rsid w:val="00EF5EE7"/>
    <w:rsid w:val="00EF61D6"/>
    <w:rsid w:val="00EF62C1"/>
    <w:rsid w:val="00EF67BE"/>
    <w:rsid w:val="00F00243"/>
    <w:rsid w:val="00F00331"/>
    <w:rsid w:val="00F0076B"/>
    <w:rsid w:val="00F00A3B"/>
    <w:rsid w:val="00F014B1"/>
    <w:rsid w:val="00F02EE4"/>
    <w:rsid w:val="00F030F7"/>
    <w:rsid w:val="00F0333E"/>
    <w:rsid w:val="00F037AD"/>
    <w:rsid w:val="00F0437E"/>
    <w:rsid w:val="00F04565"/>
    <w:rsid w:val="00F06325"/>
    <w:rsid w:val="00F11187"/>
    <w:rsid w:val="00F12C1D"/>
    <w:rsid w:val="00F13610"/>
    <w:rsid w:val="00F15C80"/>
    <w:rsid w:val="00F16FE6"/>
    <w:rsid w:val="00F20941"/>
    <w:rsid w:val="00F209EE"/>
    <w:rsid w:val="00F20CCC"/>
    <w:rsid w:val="00F20D55"/>
    <w:rsid w:val="00F20D61"/>
    <w:rsid w:val="00F21E39"/>
    <w:rsid w:val="00F24987"/>
    <w:rsid w:val="00F24B8E"/>
    <w:rsid w:val="00F2557B"/>
    <w:rsid w:val="00F257B0"/>
    <w:rsid w:val="00F25C09"/>
    <w:rsid w:val="00F26197"/>
    <w:rsid w:val="00F2647B"/>
    <w:rsid w:val="00F302E1"/>
    <w:rsid w:val="00F30ADC"/>
    <w:rsid w:val="00F30CA5"/>
    <w:rsid w:val="00F31F01"/>
    <w:rsid w:val="00F3342D"/>
    <w:rsid w:val="00F35D54"/>
    <w:rsid w:val="00F35DB0"/>
    <w:rsid w:val="00F35F74"/>
    <w:rsid w:val="00F36133"/>
    <w:rsid w:val="00F36225"/>
    <w:rsid w:val="00F36F7B"/>
    <w:rsid w:val="00F3703E"/>
    <w:rsid w:val="00F371DF"/>
    <w:rsid w:val="00F40524"/>
    <w:rsid w:val="00F4145F"/>
    <w:rsid w:val="00F42910"/>
    <w:rsid w:val="00F42E78"/>
    <w:rsid w:val="00F43B95"/>
    <w:rsid w:val="00F44610"/>
    <w:rsid w:val="00F45366"/>
    <w:rsid w:val="00F45708"/>
    <w:rsid w:val="00F45E30"/>
    <w:rsid w:val="00F460EA"/>
    <w:rsid w:val="00F501F7"/>
    <w:rsid w:val="00F50823"/>
    <w:rsid w:val="00F52A8F"/>
    <w:rsid w:val="00F55665"/>
    <w:rsid w:val="00F55F1B"/>
    <w:rsid w:val="00F563A9"/>
    <w:rsid w:val="00F57B42"/>
    <w:rsid w:val="00F6382F"/>
    <w:rsid w:val="00F64097"/>
    <w:rsid w:val="00F67691"/>
    <w:rsid w:val="00F70468"/>
    <w:rsid w:val="00F7156A"/>
    <w:rsid w:val="00F74091"/>
    <w:rsid w:val="00F77E3B"/>
    <w:rsid w:val="00F80EF8"/>
    <w:rsid w:val="00F81A7D"/>
    <w:rsid w:val="00F8264D"/>
    <w:rsid w:val="00F82675"/>
    <w:rsid w:val="00F826F7"/>
    <w:rsid w:val="00F83C82"/>
    <w:rsid w:val="00F84762"/>
    <w:rsid w:val="00F8526D"/>
    <w:rsid w:val="00F85B25"/>
    <w:rsid w:val="00F85EE6"/>
    <w:rsid w:val="00F86D67"/>
    <w:rsid w:val="00F90581"/>
    <w:rsid w:val="00F9110B"/>
    <w:rsid w:val="00F92138"/>
    <w:rsid w:val="00F926FF"/>
    <w:rsid w:val="00F933B9"/>
    <w:rsid w:val="00F958C0"/>
    <w:rsid w:val="00FA0968"/>
    <w:rsid w:val="00FA2458"/>
    <w:rsid w:val="00FA2E06"/>
    <w:rsid w:val="00FA4534"/>
    <w:rsid w:val="00FA49C4"/>
    <w:rsid w:val="00FA516F"/>
    <w:rsid w:val="00FA5FFA"/>
    <w:rsid w:val="00FA6540"/>
    <w:rsid w:val="00FA7ACF"/>
    <w:rsid w:val="00FB0368"/>
    <w:rsid w:val="00FB1FF2"/>
    <w:rsid w:val="00FB20DC"/>
    <w:rsid w:val="00FB2AF3"/>
    <w:rsid w:val="00FB2CE6"/>
    <w:rsid w:val="00FB35E9"/>
    <w:rsid w:val="00FB5A38"/>
    <w:rsid w:val="00FB60E5"/>
    <w:rsid w:val="00FB63CD"/>
    <w:rsid w:val="00FC031F"/>
    <w:rsid w:val="00FC060B"/>
    <w:rsid w:val="00FC2DF0"/>
    <w:rsid w:val="00FC2F89"/>
    <w:rsid w:val="00FC3745"/>
    <w:rsid w:val="00FC63F8"/>
    <w:rsid w:val="00FC746F"/>
    <w:rsid w:val="00FC75ED"/>
    <w:rsid w:val="00FD2002"/>
    <w:rsid w:val="00FD389B"/>
    <w:rsid w:val="00FD4269"/>
    <w:rsid w:val="00FD48F2"/>
    <w:rsid w:val="00FD4EBF"/>
    <w:rsid w:val="00FD5371"/>
    <w:rsid w:val="00FD58DF"/>
    <w:rsid w:val="00FD6208"/>
    <w:rsid w:val="00FD6C26"/>
    <w:rsid w:val="00FD7C1D"/>
    <w:rsid w:val="00FE1DDA"/>
    <w:rsid w:val="00FE1EB8"/>
    <w:rsid w:val="00FE3E27"/>
    <w:rsid w:val="00FE4CCC"/>
    <w:rsid w:val="00FE523A"/>
    <w:rsid w:val="00FE6018"/>
    <w:rsid w:val="00FE67F4"/>
    <w:rsid w:val="00FF18F4"/>
    <w:rsid w:val="00FF19D3"/>
    <w:rsid w:val="00FF21E3"/>
    <w:rsid w:val="00FF4A78"/>
    <w:rsid w:val="00FF4E5F"/>
    <w:rsid w:val="00FF5019"/>
    <w:rsid w:val="00FF5766"/>
    <w:rsid w:val="00FF5DD5"/>
    <w:rsid w:val="00FF6543"/>
    <w:rsid w:val="00FF7133"/>
    <w:rsid w:val="00FF73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8A4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AU" w:eastAsia="en-US" w:bidi="ar-SA"/>
      </w:rPr>
    </w:rPrDefault>
    <w:pPrDefault>
      <w:pPr>
        <w:spacing w:before="120" w:after="12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16"/>
    <w:rPr>
      <w:sz w:val="24"/>
    </w:rPr>
  </w:style>
  <w:style w:type="paragraph" w:styleId="Heading1">
    <w:name w:val="heading 1"/>
    <w:basedOn w:val="Normal"/>
    <w:next w:val="Normal"/>
    <w:link w:val="Heading1Char"/>
    <w:uiPriority w:val="9"/>
    <w:rsid w:val="009231ED"/>
    <w:pPr>
      <w:keepNext/>
      <w:keepLines/>
      <w:pageBreakBefore/>
      <w:ind w:left="0"/>
      <w:outlineLvl w:val="0"/>
    </w:pPr>
    <w:rPr>
      <w:rFonts w:eastAsiaTheme="majorEastAsia" w:cstheme="majorBidi"/>
      <w:b/>
      <w:bCs/>
      <w:noProof/>
      <w:sz w:val="44"/>
      <w:szCs w:val="44"/>
      <w:lang w:val="en-GB"/>
    </w:rPr>
  </w:style>
  <w:style w:type="paragraph" w:styleId="Heading2">
    <w:name w:val="heading 2"/>
    <w:basedOn w:val="Heading1"/>
    <w:next w:val="Normal"/>
    <w:link w:val="Heading2Char"/>
    <w:uiPriority w:val="9"/>
    <w:unhideWhenUsed/>
    <w:rsid w:val="0071715D"/>
    <w:pPr>
      <w:keepLines w:val="0"/>
      <w:pageBreakBefore w:val="0"/>
      <w:outlineLvl w:val="1"/>
    </w:pPr>
    <w:rPr>
      <w:bCs w:val="0"/>
      <w:sz w:val="28"/>
      <w:szCs w:val="26"/>
    </w:rPr>
  </w:style>
  <w:style w:type="paragraph" w:styleId="Heading3">
    <w:name w:val="heading 3"/>
    <w:next w:val="Normal"/>
    <w:link w:val="Heading3Char"/>
    <w:uiPriority w:val="9"/>
    <w:unhideWhenUsed/>
    <w:qFormat/>
    <w:rsid w:val="00C4508A"/>
    <w:pPr>
      <w:keepNext/>
      <w:keepLines/>
      <w:spacing w:before="200" w:after="0" w:line="276" w:lineRule="auto"/>
      <w:ind w:left="0"/>
      <w:outlineLvl w:val="2"/>
    </w:pPr>
    <w:rPr>
      <w:rFonts w:eastAsiaTheme="majorEastAsia" w:cstheme="majorBidi"/>
      <w:bCs/>
      <w:i/>
      <w:noProof/>
      <w:color w:val="17365D" w:themeColor="text2" w:themeShade="BF"/>
      <w:sz w:val="26"/>
      <w:szCs w:val="20"/>
      <w:lang w:val="en-GB"/>
    </w:rPr>
  </w:style>
  <w:style w:type="paragraph" w:styleId="Heading4">
    <w:name w:val="heading 4"/>
    <w:basedOn w:val="Heading3"/>
    <w:next w:val="Normal"/>
    <w:link w:val="Heading4Char"/>
    <w:uiPriority w:val="9"/>
    <w:unhideWhenUsed/>
    <w:qFormat/>
    <w:rsid w:val="00F926FF"/>
    <w:pPr>
      <w:spacing w:before="120" w:line="240" w:lineRule="auto"/>
      <w:outlineLvl w:val="3"/>
    </w:pPr>
    <w:rPr>
      <w:bCs w:val="0"/>
      <w:iCs/>
      <w:sz w:val="22"/>
    </w:rPr>
  </w:style>
  <w:style w:type="paragraph" w:styleId="Heading5">
    <w:name w:val="heading 5"/>
    <w:basedOn w:val="Normal"/>
    <w:next w:val="Normal"/>
    <w:link w:val="Heading5Char"/>
    <w:uiPriority w:val="9"/>
    <w:unhideWhenUsed/>
    <w:qFormat/>
    <w:rsid w:val="00B90486"/>
    <w:pPr>
      <w:keepNext/>
      <w:keepLines/>
      <w:spacing w:before="200" w:after="0" w:line="276" w:lineRule="auto"/>
      <w:ind w:left="0"/>
      <w:outlineLvl w:val="4"/>
    </w:pPr>
    <w:rPr>
      <w:rFonts w:asciiTheme="minorHAnsi" w:eastAsiaTheme="majorEastAsia" w:hAnsiTheme="minorHAnsi" w:cstheme="majorBidi"/>
      <w:color w:val="1F497D" w:themeColor="text2"/>
      <w:szCs w:val="20"/>
    </w:rPr>
  </w:style>
  <w:style w:type="paragraph" w:styleId="Heading6">
    <w:name w:val="heading 6"/>
    <w:basedOn w:val="Normal"/>
    <w:next w:val="Normal"/>
    <w:link w:val="Heading6Char"/>
    <w:uiPriority w:val="9"/>
    <w:unhideWhenUsed/>
    <w:qFormat/>
    <w:rsid w:val="00FB60E5"/>
    <w:pPr>
      <w:keepNext/>
      <w:keepLines/>
      <w:spacing w:before="200" w:after="0" w:line="276" w:lineRule="auto"/>
      <w:ind w:left="0"/>
      <w:outlineLvl w:val="5"/>
    </w:pPr>
    <w:rPr>
      <w:rFonts w:ascii="Cambria" w:eastAsiaTheme="majorEastAsia" w:hAnsi="Cambria" w:cstheme="majorBidi"/>
      <w:i/>
      <w:iCs/>
      <w:color w:val="243F60"/>
      <w:sz w:val="20"/>
      <w:szCs w:val="20"/>
    </w:rPr>
  </w:style>
  <w:style w:type="paragraph" w:styleId="Heading7">
    <w:name w:val="heading 7"/>
    <w:basedOn w:val="Normal"/>
    <w:next w:val="Normal"/>
    <w:link w:val="Heading7Char"/>
    <w:uiPriority w:val="9"/>
    <w:unhideWhenUsed/>
    <w:qFormat/>
    <w:rsid w:val="00FB60E5"/>
    <w:pPr>
      <w:keepNext/>
      <w:keepLines/>
      <w:spacing w:before="200" w:after="0" w:line="276" w:lineRule="auto"/>
      <w:ind w:left="0"/>
      <w:outlineLvl w:val="6"/>
    </w:pPr>
    <w:rPr>
      <w:rFonts w:ascii="Cambria" w:eastAsiaTheme="majorEastAsia" w:hAnsi="Cambria" w:cstheme="majorBidi"/>
      <w:i/>
      <w:iCs/>
      <w:color w:val="404040"/>
      <w:sz w:val="20"/>
      <w:szCs w:val="20"/>
    </w:rPr>
  </w:style>
  <w:style w:type="paragraph" w:styleId="Heading8">
    <w:name w:val="heading 8"/>
    <w:basedOn w:val="Normal"/>
    <w:next w:val="Normal"/>
    <w:link w:val="Heading8Char"/>
    <w:uiPriority w:val="9"/>
    <w:unhideWhenUsed/>
    <w:qFormat/>
    <w:rsid w:val="00FB60E5"/>
    <w:pPr>
      <w:keepNext/>
      <w:keepLines/>
      <w:spacing w:before="200" w:after="0" w:line="276" w:lineRule="auto"/>
      <w:ind w:left="0"/>
      <w:outlineLvl w:val="7"/>
    </w:pPr>
    <w:rPr>
      <w:rFonts w:ascii="Cambria" w:eastAsiaTheme="majorEastAsia" w:hAnsi="Cambria" w:cstheme="majorBidi"/>
      <w:color w:val="404040"/>
      <w:sz w:val="20"/>
      <w:szCs w:val="20"/>
    </w:rPr>
  </w:style>
  <w:style w:type="paragraph" w:styleId="Heading9">
    <w:name w:val="heading 9"/>
    <w:basedOn w:val="Normal"/>
    <w:next w:val="Normal"/>
    <w:link w:val="Heading9Char"/>
    <w:uiPriority w:val="9"/>
    <w:unhideWhenUsed/>
    <w:qFormat/>
    <w:rsid w:val="00FB60E5"/>
    <w:pPr>
      <w:keepNext/>
      <w:keepLines/>
      <w:spacing w:before="200" w:after="0" w:line="276" w:lineRule="auto"/>
      <w:ind w:left="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31ED"/>
    <w:rPr>
      <w:rFonts w:eastAsiaTheme="majorEastAsia" w:cstheme="majorBidi"/>
      <w:b/>
      <w:bCs/>
      <w:noProof/>
      <w:sz w:val="44"/>
      <w:szCs w:val="44"/>
      <w:lang w:val="en-GB"/>
    </w:rPr>
  </w:style>
  <w:style w:type="character" w:customStyle="1" w:styleId="Heading2Char">
    <w:name w:val="Heading 2 Char"/>
    <w:link w:val="Heading2"/>
    <w:uiPriority w:val="9"/>
    <w:rsid w:val="009231ED"/>
    <w:rPr>
      <w:rFonts w:eastAsiaTheme="majorEastAsia" w:cstheme="majorBidi"/>
      <w:b/>
      <w:noProof/>
      <w:sz w:val="28"/>
      <w:szCs w:val="26"/>
      <w:lang w:val="en-GB"/>
    </w:rPr>
  </w:style>
  <w:style w:type="character" w:customStyle="1" w:styleId="Heading3Char">
    <w:name w:val="Heading 3 Char"/>
    <w:link w:val="Heading3"/>
    <w:uiPriority w:val="9"/>
    <w:rsid w:val="00C4508A"/>
    <w:rPr>
      <w:rFonts w:eastAsiaTheme="majorEastAsia" w:cstheme="majorBidi"/>
      <w:bCs/>
      <w:i/>
      <w:noProof/>
      <w:color w:val="17365D" w:themeColor="text2" w:themeShade="BF"/>
      <w:sz w:val="26"/>
      <w:szCs w:val="20"/>
      <w:lang w:val="en-GB"/>
    </w:rPr>
  </w:style>
  <w:style w:type="character" w:customStyle="1" w:styleId="Heading4Char">
    <w:name w:val="Heading 4 Char"/>
    <w:link w:val="Heading4"/>
    <w:uiPriority w:val="9"/>
    <w:rsid w:val="00F926FF"/>
    <w:rPr>
      <w:rFonts w:eastAsiaTheme="majorEastAsia" w:cstheme="majorBidi"/>
      <w:b/>
      <w:i/>
      <w:iCs/>
      <w:noProof/>
      <w:szCs w:val="20"/>
      <w:lang w:val="en-GB"/>
    </w:rPr>
  </w:style>
  <w:style w:type="character" w:customStyle="1" w:styleId="Heading5Char">
    <w:name w:val="Heading 5 Char"/>
    <w:link w:val="Heading5"/>
    <w:uiPriority w:val="9"/>
    <w:rsid w:val="00B90486"/>
    <w:rPr>
      <w:rFonts w:asciiTheme="minorHAnsi" w:eastAsiaTheme="majorEastAsia" w:hAnsiTheme="minorHAnsi" w:cstheme="majorBidi"/>
      <w:color w:val="1F497D" w:themeColor="text2"/>
      <w:sz w:val="24"/>
      <w:szCs w:val="20"/>
    </w:rPr>
  </w:style>
  <w:style w:type="character" w:customStyle="1" w:styleId="Heading6Char">
    <w:name w:val="Heading 6 Char"/>
    <w:link w:val="Heading6"/>
    <w:uiPriority w:val="9"/>
    <w:rsid w:val="00FB60E5"/>
    <w:rPr>
      <w:rFonts w:ascii="Cambria" w:eastAsiaTheme="majorEastAsia" w:hAnsi="Cambria" w:cstheme="majorBidi"/>
      <w:i/>
      <w:iCs/>
      <w:color w:val="243F60"/>
      <w:sz w:val="20"/>
      <w:szCs w:val="20"/>
    </w:rPr>
  </w:style>
  <w:style w:type="character" w:customStyle="1" w:styleId="Heading7Char">
    <w:name w:val="Heading 7 Char"/>
    <w:link w:val="Heading7"/>
    <w:uiPriority w:val="9"/>
    <w:rsid w:val="00FB60E5"/>
    <w:rPr>
      <w:rFonts w:ascii="Cambria" w:eastAsiaTheme="majorEastAsia" w:hAnsi="Cambria" w:cstheme="majorBidi"/>
      <w:i/>
      <w:iCs/>
      <w:color w:val="404040"/>
      <w:sz w:val="20"/>
      <w:szCs w:val="20"/>
    </w:rPr>
  </w:style>
  <w:style w:type="character" w:customStyle="1" w:styleId="Heading8Char">
    <w:name w:val="Heading 8 Char"/>
    <w:link w:val="Heading8"/>
    <w:uiPriority w:val="9"/>
    <w:rsid w:val="00FB60E5"/>
    <w:rPr>
      <w:rFonts w:ascii="Cambria" w:eastAsiaTheme="majorEastAsia" w:hAnsi="Cambria" w:cstheme="majorBidi"/>
      <w:color w:val="404040"/>
      <w:sz w:val="20"/>
      <w:szCs w:val="20"/>
    </w:rPr>
  </w:style>
  <w:style w:type="character" w:customStyle="1" w:styleId="Heading9Char">
    <w:name w:val="Heading 9 Char"/>
    <w:link w:val="Heading9"/>
    <w:uiPriority w:val="9"/>
    <w:rsid w:val="00FB60E5"/>
    <w:rPr>
      <w:rFonts w:ascii="Cambria" w:eastAsiaTheme="majorEastAsia" w:hAnsi="Cambria" w:cstheme="majorBidi"/>
      <w:i/>
      <w:iCs/>
      <w:color w:val="404040"/>
      <w:sz w:val="20"/>
      <w:szCs w:val="20"/>
    </w:rPr>
  </w:style>
  <w:style w:type="character" w:styleId="Strong">
    <w:name w:val="Strong"/>
    <w:uiPriority w:val="22"/>
    <w:qFormat/>
    <w:rsid w:val="00B90486"/>
    <w:rPr>
      <w:rFonts w:ascii="Calibri" w:hAnsi="Calibri"/>
      <w:b/>
      <w:sz w:val="22"/>
    </w:rPr>
  </w:style>
  <w:style w:type="character" w:styleId="CommentReference">
    <w:name w:val="annotation reference"/>
    <w:uiPriority w:val="99"/>
    <w:semiHidden/>
    <w:unhideWhenUsed/>
    <w:rsid w:val="00901D28"/>
    <w:rPr>
      <w:sz w:val="16"/>
      <w:szCs w:val="16"/>
    </w:rPr>
  </w:style>
  <w:style w:type="paragraph" w:styleId="Quote">
    <w:name w:val="Quote"/>
    <w:basedOn w:val="Normal"/>
    <w:next w:val="Normal"/>
    <w:link w:val="QuoteChar"/>
    <w:uiPriority w:val="29"/>
    <w:qFormat/>
    <w:rsid w:val="0071715D"/>
    <w:pPr>
      <w:spacing w:after="200" w:line="276" w:lineRule="auto"/>
      <w:ind w:left="170"/>
    </w:pPr>
    <w:rPr>
      <w:rFonts w:eastAsia="Calibri"/>
      <w:i/>
      <w:iCs/>
      <w:color w:val="000000" w:themeColor="text1"/>
    </w:rPr>
  </w:style>
  <w:style w:type="character" w:customStyle="1" w:styleId="QuoteChar">
    <w:name w:val="Quote Char"/>
    <w:basedOn w:val="DefaultParagraphFont"/>
    <w:link w:val="Quote"/>
    <w:uiPriority w:val="29"/>
    <w:rsid w:val="0071715D"/>
    <w:rPr>
      <w:rFonts w:eastAsia="Calibri"/>
      <w:i/>
      <w:iCs/>
      <w:color w:val="000000" w:themeColor="text1"/>
    </w:rPr>
  </w:style>
  <w:style w:type="paragraph" w:styleId="BalloonText">
    <w:name w:val="Balloon Text"/>
    <w:basedOn w:val="Normal"/>
    <w:link w:val="BalloonTextChar"/>
    <w:uiPriority w:val="99"/>
    <w:semiHidden/>
    <w:unhideWhenUsed/>
    <w:rsid w:val="00901D28"/>
    <w:pPr>
      <w:spacing w:after="0"/>
    </w:pPr>
    <w:rPr>
      <w:rFonts w:ascii="Tahoma" w:hAnsi="Tahoma"/>
      <w:sz w:val="16"/>
      <w:szCs w:val="16"/>
    </w:rPr>
  </w:style>
  <w:style w:type="character" w:customStyle="1" w:styleId="BalloonTextChar">
    <w:name w:val="Balloon Text Char"/>
    <w:link w:val="BalloonText"/>
    <w:uiPriority w:val="99"/>
    <w:semiHidden/>
    <w:rsid w:val="00901D28"/>
    <w:rPr>
      <w:rFonts w:ascii="Tahoma" w:eastAsia="Calibri" w:hAnsi="Tahoma" w:cs="Times New Roman"/>
      <w:sz w:val="16"/>
      <w:szCs w:val="16"/>
    </w:rPr>
  </w:style>
  <w:style w:type="paragraph" w:styleId="Caption">
    <w:name w:val="caption"/>
    <w:basedOn w:val="Normal"/>
    <w:next w:val="Normal"/>
    <w:uiPriority w:val="35"/>
    <w:unhideWhenUsed/>
    <w:qFormat/>
    <w:rsid w:val="00340424"/>
    <w:pPr>
      <w:keepNext/>
      <w:spacing w:after="40"/>
      <w:ind w:left="0"/>
    </w:pPr>
    <w:rPr>
      <w:rFonts w:eastAsia="Calibri"/>
      <w:b/>
      <w:bCs/>
      <w:sz w:val="22"/>
      <w:szCs w:val="18"/>
    </w:rPr>
  </w:style>
  <w:style w:type="character" w:styleId="SubtleEmphasis">
    <w:name w:val="Subtle Emphasis"/>
    <w:basedOn w:val="DefaultParagraphFont"/>
    <w:uiPriority w:val="19"/>
    <w:qFormat/>
    <w:rsid w:val="00B0749B"/>
    <w:rPr>
      <w:rFonts w:ascii="Calibri" w:hAnsi="Calibri"/>
      <w:i/>
      <w:iCs/>
      <w:color w:val="auto"/>
      <w:sz w:val="24"/>
    </w:rPr>
  </w:style>
  <w:style w:type="paragraph" w:styleId="TOCHeading">
    <w:name w:val="TOC Heading"/>
    <w:basedOn w:val="Heading1"/>
    <w:next w:val="Normal"/>
    <w:uiPriority w:val="39"/>
    <w:unhideWhenUsed/>
    <w:qFormat/>
    <w:rsid w:val="00FB60E5"/>
    <w:pPr>
      <w:spacing w:before="480" w:after="0"/>
      <w:outlineLvl w:val="9"/>
    </w:pPr>
    <w:rPr>
      <w:rFonts w:ascii="Cambria" w:hAnsi="Cambria"/>
      <w:color w:val="365F91"/>
      <w:sz w:val="28"/>
      <w:lang w:val="en-US"/>
    </w:rPr>
  </w:style>
  <w:style w:type="paragraph" w:styleId="TOC1">
    <w:name w:val="toc 1"/>
    <w:basedOn w:val="Normal"/>
    <w:next w:val="Normal"/>
    <w:autoRedefine/>
    <w:uiPriority w:val="39"/>
    <w:unhideWhenUsed/>
    <w:qFormat/>
    <w:rsid w:val="00FB60E5"/>
    <w:pPr>
      <w:tabs>
        <w:tab w:val="right" w:leader="dot" w:pos="9016"/>
      </w:tabs>
      <w:spacing w:after="100" w:line="276" w:lineRule="auto"/>
      <w:ind w:left="0"/>
    </w:pPr>
    <w:rPr>
      <w:rFonts w:eastAsia="Calibri"/>
      <w:b/>
      <w:noProof/>
    </w:rPr>
  </w:style>
  <w:style w:type="paragraph" w:styleId="TOC2">
    <w:name w:val="toc 2"/>
    <w:basedOn w:val="Normal"/>
    <w:next w:val="Normal"/>
    <w:autoRedefine/>
    <w:uiPriority w:val="39"/>
    <w:unhideWhenUsed/>
    <w:qFormat/>
    <w:rsid w:val="00FB60E5"/>
    <w:pPr>
      <w:tabs>
        <w:tab w:val="right" w:leader="dot" w:pos="9016"/>
      </w:tabs>
      <w:spacing w:after="100" w:line="276" w:lineRule="auto"/>
      <w:ind w:left="221"/>
    </w:pPr>
    <w:rPr>
      <w:rFonts w:eastAsia="Calibri"/>
    </w:rPr>
  </w:style>
  <w:style w:type="character" w:styleId="Hyperlink">
    <w:name w:val="Hyperlink"/>
    <w:uiPriority w:val="99"/>
    <w:unhideWhenUsed/>
    <w:rsid w:val="00901D28"/>
    <w:rPr>
      <w:color w:val="0000FF"/>
      <w:u w:val="single"/>
    </w:rPr>
  </w:style>
  <w:style w:type="paragraph" w:styleId="FootnoteText">
    <w:name w:val="footnote text"/>
    <w:basedOn w:val="Normal"/>
    <w:link w:val="FootnoteTextChar"/>
    <w:uiPriority w:val="99"/>
    <w:unhideWhenUsed/>
    <w:rsid w:val="00882917"/>
    <w:pPr>
      <w:spacing w:before="0" w:after="0"/>
      <w:ind w:left="0"/>
    </w:pPr>
    <w:rPr>
      <w:sz w:val="20"/>
      <w:szCs w:val="20"/>
    </w:rPr>
  </w:style>
  <w:style w:type="character" w:customStyle="1" w:styleId="FootnoteTextChar">
    <w:name w:val="Footnote Text Char"/>
    <w:link w:val="FootnoteText"/>
    <w:uiPriority w:val="99"/>
    <w:rsid w:val="00882917"/>
    <w:rPr>
      <w:sz w:val="20"/>
      <w:szCs w:val="20"/>
    </w:rPr>
  </w:style>
  <w:style w:type="character" w:styleId="FootnoteReference">
    <w:name w:val="footnote reference"/>
    <w:uiPriority w:val="99"/>
    <w:unhideWhenUsed/>
    <w:rsid w:val="005F195C"/>
    <w:rPr>
      <w:rFonts w:ascii="Calibri" w:hAnsi="Calibri"/>
      <w:b w:val="0"/>
      <w:i w:val="0"/>
      <w:sz w:val="22"/>
      <w:vertAlign w:val="superscript"/>
    </w:rPr>
  </w:style>
  <w:style w:type="paragraph" w:styleId="Header">
    <w:name w:val="header"/>
    <w:basedOn w:val="Normal"/>
    <w:link w:val="HeaderChar"/>
    <w:uiPriority w:val="99"/>
    <w:unhideWhenUsed/>
    <w:rsid w:val="001B3CBD"/>
    <w:pPr>
      <w:keepNext/>
      <w:pageBreakBefore/>
      <w:tabs>
        <w:tab w:val="center" w:pos="4513"/>
        <w:tab w:val="right" w:pos="9026"/>
      </w:tabs>
      <w:ind w:left="0"/>
    </w:pPr>
    <w:rPr>
      <w:b/>
      <w:sz w:val="32"/>
    </w:rPr>
  </w:style>
  <w:style w:type="character" w:customStyle="1" w:styleId="HeaderChar">
    <w:name w:val="Header Char"/>
    <w:basedOn w:val="DefaultParagraphFont"/>
    <w:link w:val="Header"/>
    <w:uiPriority w:val="99"/>
    <w:rsid w:val="001B3CBD"/>
    <w:rPr>
      <w:b/>
      <w:sz w:val="32"/>
    </w:rPr>
  </w:style>
  <w:style w:type="paragraph" w:styleId="TOC3">
    <w:name w:val="toc 3"/>
    <w:basedOn w:val="Normal"/>
    <w:next w:val="Normal"/>
    <w:autoRedefine/>
    <w:uiPriority w:val="39"/>
    <w:unhideWhenUsed/>
    <w:qFormat/>
    <w:rsid w:val="00FB60E5"/>
    <w:pPr>
      <w:spacing w:after="100" w:line="276" w:lineRule="auto"/>
      <w:ind w:left="440"/>
    </w:pPr>
    <w:rPr>
      <w:rFonts w:eastAsia="Times New Roman"/>
      <w:lang w:val="en-US"/>
    </w:rPr>
  </w:style>
  <w:style w:type="table" w:styleId="TableGrid">
    <w:name w:val="Table Grid"/>
    <w:basedOn w:val="TableNormal"/>
    <w:uiPriority w:val="59"/>
    <w:rsid w:val="00901D28"/>
    <w:pPr>
      <w:spacing w:after="0"/>
      <w:ind w:left="0"/>
    </w:pPr>
    <w:rPr>
      <w:rFonts w:eastAsia="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Normal"/>
    <w:next w:val="Normal"/>
    <w:link w:val="CommentSubjectChar"/>
    <w:uiPriority w:val="99"/>
    <w:semiHidden/>
    <w:unhideWhenUsed/>
    <w:rsid w:val="00B9046B"/>
    <w:rPr>
      <w:b/>
      <w:bCs/>
      <w:sz w:val="20"/>
      <w:szCs w:val="20"/>
    </w:rPr>
  </w:style>
  <w:style w:type="character" w:customStyle="1" w:styleId="CommentSubjectChar">
    <w:name w:val="Comment Subject Char"/>
    <w:link w:val="CommentSubject"/>
    <w:uiPriority w:val="99"/>
    <w:semiHidden/>
    <w:rsid w:val="00901D28"/>
    <w:rPr>
      <w:rFonts w:ascii="Calibri" w:eastAsia="Calibri" w:hAnsi="Calibri" w:cs="Times New Roman"/>
      <w:b/>
      <w:bCs/>
      <w:sz w:val="20"/>
      <w:szCs w:val="20"/>
    </w:rPr>
  </w:style>
  <w:style w:type="paragraph" w:styleId="ListParagraph">
    <w:name w:val="List Paragraph"/>
    <w:basedOn w:val="Normal"/>
    <w:link w:val="ListParagraphChar"/>
    <w:uiPriority w:val="34"/>
    <w:qFormat/>
    <w:rsid w:val="00B0749B"/>
    <w:pPr>
      <w:spacing w:after="40"/>
      <w:ind w:left="720"/>
    </w:pPr>
    <w:rPr>
      <w:rFonts w:eastAsia="Calibri"/>
    </w:rPr>
  </w:style>
  <w:style w:type="numbering" w:customStyle="1" w:styleId="Style1">
    <w:name w:val="Style1"/>
    <w:uiPriority w:val="99"/>
    <w:rsid w:val="00901D28"/>
    <w:pPr>
      <w:numPr>
        <w:numId w:val="1"/>
      </w:numPr>
    </w:pPr>
  </w:style>
  <w:style w:type="paragraph" w:styleId="TableofFigures">
    <w:name w:val="table of figures"/>
    <w:basedOn w:val="Normal"/>
    <w:next w:val="Normal"/>
    <w:uiPriority w:val="99"/>
    <w:unhideWhenUsed/>
    <w:rsid w:val="00901D28"/>
  </w:style>
  <w:style w:type="paragraph" w:styleId="Revision">
    <w:name w:val="Revision"/>
    <w:hidden/>
    <w:uiPriority w:val="99"/>
    <w:semiHidden/>
    <w:rsid w:val="00901D28"/>
    <w:pPr>
      <w:spacing w:after="0"/>
      <w:ind w:left="0"/>
    </w:pPr>
    <w:rPr>
      <w:rFonts w:eastAsia="Calibri" w:cs="Times New Roman"/>
    </w:rPr>
  </w:style>
  <w:style w:type="character" w:styleId="BookTitle">
    <w:name w:val="Book Title"/>
    <w:uiPriority w:val="33"/>
    <w:qFormat/>
    <w:rsid w:val="00FB60E5"/>
    <w:rPr>
      <w:b/>
      <w:bCs/>
      <w:smallCaps/>
      <w:spacing w:val="5"/>
    </w:rPr>
  </w:style>
  <w:style w:type="paragraph" w:styleId="BodyText">
    <w:name w:val="Body Text"/>
    <w:basedOn w:val="Normal"/>
    <w:link w:val="BodyTextChar"/>
    <w:rsid w:val="00827DE6"/>
    <w:pPr>
      <w:spacing w:after="0"/>
      <w:jc w:val="center"/>
    </w:pPr>
    <w:rPr>
      <w:rFonts w:eastAsia="Times New Roman"/>
      <w:sz w:val="32"/>
      <w:szCs w:val="20"/>
      <w:lang w:val="en-US"/>
    </w:rPr>
  </w:style>
  <w:style w:type="character" w:customStyle="1" w:styleId="BodyTextChar">
    <w:name w:val="Body Text Char"/>
    <w:link w:val="BodyText"/>
    <w:rsid w:val="00827DE6"/>
    <w:rPr>
      <w:rFonts w:eastAsia="Times New Roman"/>
      <w:sz w:val="32"/>
      <w:szCs w:val="20"/>
      <w:lang w:val="en-US"/>
    </w:rPr>
  </w:style>
  <w:style w:type="character" w:styleId="IntenseEmphasis">
    <w:name w:val="Intense Emphasis"/>
    <w:uiPriority w:val="21"/>
    <w:qFormat/>
    <w:rsid w:val="00827DE6"/>
    <w:rPr>
      <w:rFonts w:asciiTheme="minorHAnsi" w:hAnsiTheme="minorHAnsi"/>
      <w:b/>
      <w:bCs/>
      <w:i w:val="0"/>
      <w:iCs/>
      <w:color w:val="auto"/>
      <w:sz w:val="40"/>
    </w:rPr>
  </w:style>
  <w:style w:type="character" w:customStyle="1" w:styleId="DocumentMapChar">
    <w:name w:val="Document Map Char"/>
    <w:aliases w:val=" Char Char"/>
    <w:link w:val="DocumentMap"/>
    <w:uiPriority w:val="99"/>
    <w:semiHidden/>
    <w:rsid w:val="00901D28"/>
    <w:rPr>
      <w:rFonts w:ascii="Tahoma" w:hAnsi="Tahoma"/>
      <w:sz w:val="16"/>
      <w:szCs w:val="16"/>
    </w:rPr>
  </w:style>
  <w:style w:type="paragraph" w:styleId="DocumentMap">
    <w:name w:val="Document Map"/>
    <w:aliases w:val=" Char"/>
    <w:basedOn w:val="Normal"/>
    <w:link w:val="DocumentMapChar"/>
    <w:uiPriority w:val="99"/>
    <w:semiHidden/>
    <w:unhideWhenUsed/>
    <w:rsid w:val="00901D28"/>
    <w:pPr>
      <w:spacing w:after="0"/>
    </w:pPr>
    <w:rPr>
      <w:rFonts w:ascii="Tahoma" w:hAnsi="Tahoma"/>
      <w:sz w:val="16"/>
      <w:szCs w:val="16"/>
    </w:rPr>
  </w:style>
  <w:style w:type="character" w:customStyle="1" w:styleId="DocumentMapChar1">
    <w:name w:val="Document Map Char1"/>
    <w:uiPriority w:val="99"/>
    <w:semiHidden/>
    <w:rsid w:val="00901D28"/>
    <w:rPr>
      <w:rFonts w:ascii="Tahoma" w:hAnsi="Tahoma" w:cs="Tahoma"/>
      <w:sz w:val="16"/>
      <w:szCs w:val="16"/>
    </w:rPr>
  </w:style>
  <w:style w:type="paragraph" w:customStyle="1" w:styleId="tabletext">
    <w:name w:val="table text"/>
    <w:basedOn w:val="Normal"/>
    <w:rsid w:val="00BC273E"/>
    <w:pPr>
      <w:overflowPunct w:val="0"/>
      <w:autoSpaceDE w:val="0"/>
      <w:autoSpaceDN w:val="0"/>
      <w:adjustRightInd w:val="0"/>
      <w:spacing w:before="0" w:after="0"/>
      <w:ind w:left="0"/>
      <w:textAlignment w:val="baseline"/>
    </w:pPr>
    <w:rPr>
      <w:rFonts w:eastAsia="SimSun"/>
      <w:sz w:val="22"/>
      <w:szCs w:val="20"/>
    </w:rPr>
  </w:style>
  <w:style w:type="character" w:customStyle="1" w:styleId="BodyText2Char">
    <w:name w:val="Body Text 2 Char"/>
    <w:link w:val="BodyText2"/>
    <w:semiHidden/>
    <w:rsid w:val="00901D28"/>
    <w:rPr>
      <w:rFonts w:ascii="Times New Roman" w:eastAsia="SimSun" w:hAnsi="Times New Roman"/>
      <w:sz w:val="24"/>
      <w:szCs w:val="24"/>
      <w:lang w:val="en-US" w:eastAsia="zh-CN"/>
    </w:rPr>
  </w:style>
  <w:style w:type="paragraph" w:styleId="BodyText2">
    <w:name w:val="Body Text 2"/>
    <w:basedOn w:val="Normal"/>
    <w:link w:val="BodyText2Char"/>
    <w:semiHidden/>
    <w:rsid w:val="00901D28"/>
    <w:pPr>
      <w:spacing w:line="480" w:lineRule="auto"/>
    </w:pPr>
    <w:rPr>
      <w:rFonts w:ascii="Times New Roman" w:eastAsia="SimSun" w:hAnsi="Times New Roman"/>
      <w:szCs w:val="24"/>
      <w:lang w:val="en-US" w:eastAsia="zh-CN"/>
    </w:rPr>
  </w:style>
  <w:style w:type="character" w:customStyle="1" w:styleId="BodyText2Char1">
    <w:name w:val="Body Text 2 Char1"/>
    <w:basedOn w:val="DefaultParagraphFont"/>
    <w:uiPriority w:val="99"/>
    <w:semiHidden/>
    <w:rsid w:val="00901D28"/>
  </w:style>
  <w:style w:type="paragraph" w:styleId="EndnoteText">
    <w:name w:val="endnote text"/>
    <w:basedOn w:val="Normal"/>
    <w:link w:val="EndnoteTextChar"/>
    <w:uiPriority w:val="99"/>
    <w:semiHidden/>
    <w:unhideWhenUsed/>
    <w:rsid w:val="00901D28"/>
    <w:pPr>
      <w:spacing w:after="80" w:line="360" w:lineRule="auto"/>
    </w:pPr>
    <w:rPr>
      <w:sz w:val="20"/>
      <w:szCs w:val="20"/>
    </w:rPr>
  </w:style>
  <w:style w:type="character" w:customStyle="1" w:styleId="EndnoteTextChar">
    <w:name w:val="Endnote Text Char"/>
    <w:link w:val="EndnoteText"/>
    <w:uiPriority w:val="99"/>
    <w:semiHidden/>
    <w:rsid w:val="00901D28"/>
    <w:rPr>
      <w:rFonts w:ascii="Calibri" w:eastAsia="Calibri" w:hAnsi="Calibri" w:cs="Times New Roman"/>
      <w:sz w:val="20"/>
      <w:szCs w:val="20"/>
    </w:rPr>
  </w:style>
  <w:style w:type="character" w:styleId="EndnoteReference">
    <w:name w:val="endnote reference"/>
    <w:uiPriority w:val="99"/>
    <w:semiHidden/>
    <w:unhideWhenUsed/>
    <w:rsid w:val="00901D28"/>
    <w:rPr>
      <w:vertAlign w:val="superscript"/>
    </w:rPr>
  </w:style>
  <w:style w:type="table" w:styleId="LightShading-Accent2">
    <w:name w:val="Light Shading Accent 2"/>
    <w:basedOn w:val="TableNormal"/>
    <w:uiPriority w:val="60"/>
    <w:rsid w:val="00901D28"/>
    <w:pPr>
      <w:spacing w:after="0"/>
      <w:ind w:left="0"/>
    </w:pPr>
    <w:rPr>
      <w:rFonts w:eastAsia="Calibri"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901D28"/>
    <w:pPr>
      <w:spacing w:after="0"/>
      <w:ind w:left="0"/>
    </w:pPr>
    <w:rPr>
      <w:rFonts w:eastAsia="Calibri"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2">
    <w:name w:val="Style2"/>
    <w:uiPriority w:val="99"/>
    <w:rsid w:val="00901D28"/>
    <w:pPr>
      <w:numPr>
        <w:numId w:val="2"/>
      </w:numPr>
    </w:pPr>
  </w:style>
  <w:style w:type="character" w:styleId="FollowedHyperlink">
    <w:name w:val="FollowedHyperlink"/>
    <w:uiPriority w:val="99"/>
    <w:semiHidden/>
    <w:unhideWhenUsed/>
    <w:rsid w:val="00901D28"/>
    <w:rPr>
      <w:color w:val="800080"/>
      <w:u w:val="single"/>
    </w:rPr>
  </w:style>
  <w:style w:type="character" w:customStyle="1" w:styleId="ListParagraphChar">
    <w:name w:val="List Paragraph Char"/>
    <w:basedOn w:val="DefaultParagraphFont"/>
    <w:link w:val="ListParagraph"/>
    <w:uiPriority w:val="34"/>
    <w:rsid w:val="00B0749B"/>
    <w:rPr>
      <w:rFonts w:eastAsia="Calibri"/>
      <w:sz w:val="24"/>
    </w:rPr>
  </w:style>
  <w:style w:type="paragraph" w:customStyle="1" w:styleId="Default">
    <w:name w:val="Default"/>
    <w:rsid w:val="00EB318C"/>
    <w:pPr>
      <w:autoSpaceDE w:val="0"/>
      <w:autoSpaceDN w:val="0"/>
      <w:adjustRightInd w:val="0"/>
      <w:spacing w:after="0"/>
      <w:ind w:left="0"/>
    </w:pPr>
    <w:rPr>
      <w:rFonts w:ascii="Times New Roman" w:hAnsi="Times New Roman" w:cs="Times New Roman"/>
      <w:color w:val="000000"/>
      <w:sz w:val="24"/>
      <w:szCs w:val="24"/>
    </w:rPr>
  </w:style>
  <w:style w:type="paragraph" w:customStyle="1" w:styleId="Body">
    <w:name w:val="Body"/>
    <w:basedOn w:val="Normal"/>
    <w:link w:val="BodyChar"/>
    <w:qFormat/>
    <w:rsid w:val="00FB60E5"/>
    <w:pPr>
      <w:widowControl w:val="0"/>
      <w:autoSpaceDE w:val="0"/>
      <w:autoSpaceDN w:val="0"/>
      <w:adjustRightInd w:val="0"/>
      <w:spacing w:after="0" w:line="480" w:lineRule="auto"/>
      <w:ind w:left="0"/>
    </w:pPr>
    <w:rPr>
      <w:rFonts w:ascii="Times New Roman" w:eastAsia="Times New Roman" w:hAnsi="Times New Roman"/>
      <w:szCs w:val="24"/>
      <w:lang w:eastAsia="en-AU"/>
    </w:rPr>
  </w:style>
  <w:style w:type="character" w:customStyle="1" w:styleId="BodyChar">
    <w:name w:val="Body Char"/>
    <w:link w:val="Body"/>
    <w:rsid w:val="00FB60E5"/>
    <w:rPr>
      <w:rFonts w:ascii="Times New Roman" w:eastAsia="Times New Roman" w:hAnsi="Times New Roman"/>
      <w:sz w:val="24"/>
      <w:szCs w:val="24"/>
      <w:lang w:eastAsia="en-AU"/>
    </w:rPr>
  </w:style>
  <w:style w:type="paragraph" w:customStyle="1" w:styleId="TableHeading">
    <w:name w:val="Table Heading"/>
    <w:basedOn w:val="Normal"/>
    <w:link w:val="TableHeadingChar"/>
    <w:qFormat/>
    <w:rsid w:val="009231ED"/>
    <w:pPr>
      <w:widowControl w:val="0"/>
      <w:autoSpaceDE w:val="0"/>
      <w:autoSpaceDN w:val="0"/>
      <w:adjustRightInd w:val="0"/>
      <w:spacing w:before="0" w:after="0"/>
      <w:ind w:left="0"/>
    </w:pPr>
    <w:rPr>
      <w:rFonts w:eastAsia="Times New Roman"/>
      <w:bCs/>
      <w:iCs/>
      <w:color w:val="FFFFFF" w:themeColor="background1"/>
      <w:spacing w:val="1"/>
      <w:szCs w:val="24"/>
      <w:lang w:eastAsia="en-AU"/>
    </w:rPr>
  </w:style>
  <w:style w:type="character" w:customStyle="1" w:styleId="TableHeadingChar">
    <w:name w:val="Table Heading Char"/>
    <w:link w:val="TableHeading"/>
    <w:rsid w:val="009231ED"/>
    <w:rPr>
      <w:rFonts w:eastAsia="Times New Roman"/>
      <w:bCs/>
      <w:iCs/>
      <w:color w:val="FFFFFF" w:themeColor="background1"/>
      <w:spacing w:val="1"/>
      <w:sz w:val="24"/>
      <w:szCs w:val="24"/>
      <w:lang w:eastAsia="en-AU"/>
    </w:rPr>
  </w:style>
  <w:style w:type="paragraph" w:styleId="Title">
    <w:name w:val="Title"/>
    <w:basedOn w:val="Normal"/>
    <w:next w:val="Normal"/>
    <w:link w:val="TitleChar"/>
    <w:uiPriority w:val="10"/>
    <w:qFormat/>
    <w:rsid w:val="00FB60E5"/>
    <w:pPr>
      <w:spacing w:after="300" w:line="192" w:lineRule="auto"/>
      <w:ind w:left="0"/>
      <w:contextualSpacing/>
      <w:jc w:val="right"/>
    </w:pPr>
    <w:rPr>
      <w:rFonts w:asciiTheme="majorHAnsi" w:eastAsiaTheme="majorEastAsia" w:hAnsiTheme="majorHAnsi" w:cstheme="majorBidi"/>
      <w:b/>
      <w:bCs/>
      <w:caps/>
      <w:color w:val="FFFFFF" w:themeColor="background1"/>
      <w:spacing w:val="5"/>
      <w:kern w:val="28"/>
      <w:sz w:val="44"/>
      <w:szCs w:val="44"/>
      <w:lang w:val="en-US"/>
    </w:rPr>
  </w:style>
  <w:style w:type="character" w:customStyle="1" w:styleId="TitleChar">
    <w:name w:val="Title Char"/>
    <w:basedOn w:val="DefaultParagraphFont"/>
    <w:link w:val="Title"/>
    <w:uiPriority w:val="10"/>
    <w:rsid w:val="00FB60E5"/>
    <w:rPr>
      <w:rFonts w:asciiTheme="majorHAnsi" w:eastAsiaTheme="majorEastAsia" w:hAnsiTheme="majorHAnsi" w:cstheme="majorBidi"/>
      <w:b/>
      <w:bCs/>
      <w:caps/>
      <w:color w:val="FFFFFF" w:themeColor="background1"/>
      <w:spacing w:val="5"/>
      <w:kern w:val="28"/>
      <w:sz w:val="44"/>
      <w:szCs w:val="44"/>
      <w:lang w:val="en-US"/>
    </w:rPr>
  </w:style>
  <w:style w:type="table" w:styleId="LightList-Accent1">
    <w:name w:val="Light List Accent 1"/>
    <w:basedOn w:val="LightList"/>
    <w:uiPriority w:val="61"/>
    <w:rsid w:val="00562CD0"/>
    <w:tblPr>
      <w:tblBorders>
        <w:top w:val="single" w:sz="4" w:space="0" w:color="auto"/>
        <w:left w:val="single" w:sz="4" w:space="0" w:color="auto"/>
        <w:bottom w:val="single" w:sz="4" w:space="0" w:color="auto"/>
        <w:right w:val="single" w:sz="4" w:space="0" w:color="auto"/>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beredlist">
    <w:name w:val="Numbered list"/>
    <w:basedOn w:val="Normal"/>
    <w:qFormat/>
    <w:rsid w:val="000A1966"/>
    <w:pPr>
      <w:numPr>
        <w:numId w:val="13"/>
      </w:numPr>
      <w:spacing w:after="40"/>
      <w:ind w:left="714" w:hanging="357"/>
    </w:pPr>
    <w:rPr>
      <w:b/>
    </w:rPr>
  </w:style>
  <w:style w:type="table" w:styleId="TableSimple1">
    <w:name w:val="Table Simple 1"/>
    <w:basedOn w:val="TableNormal"/>
    <w:uiPriority w:val="99"/>
    <w:semiHidden/>
    <w:unhideWhenUsed/>
    <w:rsid w:val="009B73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
    <w:name w:val="Light List"/>
    <w:basedOn w:val="TableNormal"/>
    <w:uiPriority w:val="61"/>
    <w:rsid w:val="009B7363"/>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AU" w:eastAsia="en-US" w:bidi="ar-SA"/>
      </w:rPr>
    </w:rPrDefault>
    <w:pPrDefault>
      <w:pPr>
        <w:spacing w:before="120" w:after="12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16"/>
    <w:rPr>
      <w:sz w:val="24"/>
    </w:rPr>
  </w:style>
  <w:style w:type="paragraph" w:styleId="Heading1">
    <w:name w:val="heading 1"/>
    <w:basedOn w:val="Normal"/>
    <w:next w:val="Normal"/>
    <w:link w:val="Heading1Char"/>
    <w:uiPriority w:val="9"/>
    <w:rsid w:val="009231ED"/>
    <w:pPr>
      <w:keepNext/>
      <w:keepLines/>
      <w:pageBreakBefore/>
      <w:ind w:left="0"/>
      <w:outlineLvl w:val="0"/>
    </w:pPr>
    <w:rPr>
      <w:rFonts w:eastAsiaTheme="majorEastAsia" w:cstheme="majorBidi"/>
      <w:b/>
      <w:bCs/>
      <w:noProof/>
      <w:sz w:val="44"/>
      <w:szCs w:val="44"/>
      <w:lang w:val="en-GB"/>
    </w:rPr>
  </w:style>
  <w:style w:type="paragraph" w:styleId="Heading2">
    <w:name w:val="heading 2"/>
    <w:basedOn w:val="Heading1"/>
    <w:next w:val="Normal"/>
    <w:link w:val="Heading2Char"/>
    <w:uiPriority w:val="9"/>
    <w:unhideWhenUsed/>
    <w:rsid w:val="0071715D"/>
    <w:pPr>
      <w:keepLines w:val="0"/>
      <w:pageBreakBefore w:val="0"/>
      <w:outlineLvl w:val="1"/>
    </w:pPr>
    <w:rPr>
      <w:bCs w:val="0"/>
      <w:sz w:val="28"/>
      <w:szCs w:val="26"/>
    </w:rPr>
  </w:style>
  <w:style w:type="paragraph" w:styleId="Heading3">
    <w:name w:val="heading 3"/>
    <w:next w:val="Normal"/>
    <w:link w:val="Heading3Char"/>
    <w:uiPriority w:val="9"/>
    <w:unhideWhenUsed/>
    <w:qFormat/>
    <w:rsid w:val="00C4508A"/>
    <w:pPr>
      <w:keepNext/>
      <w:keepLines/>
      <w:spacing w:before="200" w:after="0" w:line="276" w:lineRule="auto"/>
      <w:ind w:left="0"/>
      <w:outlineLvl w:val="2"/>
    </w:pPr>
    <w:rPr>
      <w:rFonts w:eastAsiaTheme="majorEastAsia" w:cstheme="majorBidi"/>
      <w:bCs/>
      <w:i/>
      <w:noProof/>
      <w:color w:val="17365D" w:themeColor="text2" w:themeShade="BF"/>
      <w:sz w:val="26"/>
      <w:szCs w:val="20"/>
      <w:lang w:val="en-GB"/>
    </w:rPr>
  </w:style>
  <w:style w:type="paragraph" w:styleId="Heading4">
    <w:name w:val="heading 4"/>
    <w:basedOn w:val="Heading3"/>
    <w:next w:val="Normal"/>
    <w:link w:val="Heading4Char"/>
    <w:uiPriority w:val="9"/>
    <w:unhideWhenUsed/>
    <w:qFormat/>
    <w:rsid w:val="00F926FF"/>
    <w:pPr>
      <w:spacing w:before="120" w:line="240" w:lineRule="auto"/>
      <w:outlineLvl w:val="3"/>
    </w:pPr>
    <w:rPr>
      <w:bCs w:val="0"/>
      <w:iCs/>
      <w:sz w:val="22"/>
    </w:rPr>
  </w:style>
  <w:style w:type="paragraph" w:styleId="Heading5">
    <w:name w:val="heading 5"/>
    <w:basedOn w:val="Normal"/>
    <w:next w:val="Normal"/>
    <w:link w:val="Heading5Char"/>
    <w:uiPriority w:val="9"/>
    <w:unhideWhenUsed/>
    <w:qFormat/>
    <w:rsid w:val="00B90486"/>
    <w:pPr>
      <w:keepNext/>
      <w:keepLines/>
      <w:spacing w:before="200" w:after="0" w:line="276" w:lineRule="auto"/>
      <w:ind w:left="0"/>
      <w:outlineLvl w:val="4"/>
    </w:pPr>
    <w:rPr>
      <w:rFonts w:asciiTheme="minorHAnsi" w:eastAsiaTheme="majorEastAsia" w:hAnsiTheme="minorHAnsi" w:cstheme="majorBidi"/>
      <w:color w:val="1F497D" w:themeColor="text2"/>
      <w:szCs w:val="20"/>
    </w:rPr>
  </w:style>
  <w:style w:type="paragraph" w:styleId="Heading6">
    <w:name w:val="heading 6"/>
    <w:basedOn w:val="Normal"/>
    <w:next w:val="Normal"/>
    <w:link w:val="Heading6Char"/>
    <w:uiPriority w:val="9"/>
    <w:unhideWhenUsed/>
    <w:qFormat/>
    <w:rsid w:val="00FB60E5"/>
    <w:pPr>
      <w:keepNext/>
      <w:keepLines/>
      <w:spacing w:before="200" w:after="0" w:line="276" w:lineRule="auto"/>
      <w:ind w:left="0"/>
      <w:outlineLvl w:val="5"/>
    </w:pPr>
    <w:rPr>
      <w:rFonts w:ascii="Cambria" w:eastAsiaTheme="majorEastAsia" w:hAnsi="Cambria" w:cstheme="majorBidi"/>
      <w:i/>
      <w:iCs/>
      <w:color w:val="243F60"/>
      <w:sz w:val="20"/>
      <w:szCs w:val="20"/>
    </w:rPr>
  </w:style>
  <w:style w:type="paragraph" w:styleId="Heading7">
    <w:name w:val="heading 7"/>
    <w:basedOn w:val="Normal"/>
    <w:next w:val="Normal"/>
    <w:link w:val="Heading7Char"/>
    <w:uiPriority w:val="9"/>
    <w:unhideWhenUsed/>
    <w:qFormat/>
    <w:rsid w:val="00FB60E5"/>
    <w:pPr>
      <w:keepNext/>
      <w:keepLines/>
      <w:spacing w:before="200" w:after="0" w:line="276" w:lineRule="auto"/>
      <w:ind w:left="0"/>
      <w:outlineLvl w:val="6"/>
    </w:pPr>
    <w:rPr>
      <w:rFonts w:ascii="Cambria" w:eastAsiaTheme="majorEastAsia" w:hAnsi="Cambria" w:cstheme="majorBidi"/>
      <w:i/>
      <w:iCs/>
      <w:color w:val="404040"/>
      <w:sz w:val="20"/>
      <w:szCs w:val="20"/>
    </w:rPr>
  </w:style>
  <w:style w:type="paragraph" w:styleId="Heading8">
    <w:name w:val="heading 8"/>
    <w:basedOn w:val="Normal"/>
    <w:next w:val="Normal"/>
    <w:link w:val="Heading8Char"/>
    <w:uiPriority w:val="9"/>
    <w:unhideWhenUsed/>
    <w:qFormat/>
    <w:rsid w:val="00FB60E5"/>
    <w:pPr>
      <w:keepNext/>
      <w:keepLines/>
      <w:spacing w:before="200" w:after="0" w:line="276" w:lineRule="auto"/>
      <w:ind w:left="0"/>
      <w:outlineLvl w:val="7"/>
    </w:pPr>
    <w:rPr>
      <w:rFonts w:ascii="Cambria" w:eastAsiaTheme="majorEastAsia" w:hAnsi="Cambria" w:cstheme="majorBidi"/>
      <w:color w:val="404040"/>
      <w:sz w:val="20"/>
      <w:szCs w:val="20"/>
    </w:rPr>
  </w:style>
  <w:style w:type="paragraph" w:styleId="Heading9">
    <w:name w:val="heading 9"/>
    <w:basedOn w:val="Normal"/>
    <w:next w:val="Normal"/>
    <w:link w:val="Heading9Char"/>
    <w:uiPriority w:val="9"/>
    <w:unhideWhenUsed/>
    <w:qFormat/>
    <w:rsid w:val="00FB60E5"/>
    <w:pPr>
      <w:keepNext/>
      <w:keepLines/>
      <w:spacing w:before="200" w:after="0" w:line="276" w:lineRule="auto"/>
      <w:ind w:left="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31ED"/>
    <w:rPr>
      <w:rFonts w:eastAsiaTheme="majorEastAsia" w:cstheme="majorBidi"/>
      <w:b/>
      <w:bCs/>
      <w:noProof/>
      <w:sz w:val="44"/>
      <w:szCs w:val="44"/>
      <w:lang w:val="en-GB"/>
    </w:rPr>
  </w:style>
  <w:style w:type="character" w:customStyle="1" w:styleId="Heading2Char">
    <w:name w:val="Heading 2 Char"/>
    <w:link w:val="Heading2"/>
    <w:uiPriority w:val="9"/>
    <w:rsid w:val="009231ED"/>
    <w:rPr>
      <w:rFonts w:eastAsiaTheme="majorEastAsia" w:cstheme="majorBidi"/>
      <w:b/>
      <w:noProof/>
      <w:sz w:val="28"/>
      <w:szCs w:val="26"/>
      <w:lang w:val="en-GB"/>
    </w:rPr>
  </w:style>
  <w:style w:type="character" w:customStyle="1" w:styleId="Heading3Char">
    <w:name w:val="Heading 3 Char"/>
    <w:link w:val="Heading3"/>
    <w:uiPriority w:val="9"/>
    <w:rsid w:val="00C4508A"/>
    <w:rPr>
      <w:rFonts w:eastAsiaTheme="majorEastAsia" w:cstheme="majorBidi"/>
      <w:bCs/>
      <w:i/>
      <w:noProof/>
      <w:color w:val="17365D" w:themeColor="text2" w:themeShade="BF"/>
      <w:sz w:val="26"/>
      <w:szCs w:val="20"/>
      <w:lang w:val="en-GB"/>
    </w:rPr>
  </w:style>
  <w:style w:type="character" w:customStyle="1" w:styleId="Heading4Char">
    <w:name w:val="Heading 4 Char"/>
    <w:link w:val="Heading4"/>
    <w:uiPriority w:val="9"/>
    <w:rsid w:val="00F926FF"/>
    <w:rPr>
      <w:rFonts w:eastAsiaTheme="majorEastAsia" w:cstheme="majorBidi"/>
      <w:b/>
      <w:i/>
      <w:iCs/>
      <w:noProof/>
      <w:szCs w:val="20"/>
      <w:lang w:val="en-GB"/>
    </w:rPr>
  </w:style>
  <w:style w:type="character" w:customStyle="1" w:styleId="Heading5Char">
    <w:name w:val="Heading 5 Char"/>
    <w:link w:val="Heading5"/>
    <w:uiPriority w:val="9"/>
    <w:rsid w:val="00B90486"/>
    <w:rPr>
      <w:rFonts w:asciiTheme="minorHAnsi" w:eastAsiaTheme="majorEastAsia" w:hAnsiTheme="minorHAnsi" w:cstheme="majorBidi"/>
      <w:color w:val="1F497D" w:themeColor="text2"/>
      <w:sz w:val="24"/>
      <w:szCs w:val="20"/>
    </w:rPr>
  </w:style>
  <w:style w:type="character" w:customStyle="1" w:styleId="Heading6Char">
    <w:name w:val="Heading 6 Char"/>
    <w:link w:val="Heading6"/>
    <w:uiPriority w:val="9"/>
    <w:rsid w:val="00FB60E5"/>
    <w:rPr>
      <w:rFonts w:ascii="Cambria" w:eastAsiaTheme="majorEastAsia" w:hAnsi="Cambria" w:cstheme="majorBidi"/>
      <w:i/>
      <w:iCs/>
      <w:color w:val="243F60"/>
      <w:sz w:val="20"/>
      <w:szCs w:val="20"/>
    </w:rPr>
  </w:style>
  <w:style w:type="character" w:customStyle="1" w:styleId="Heading7Char">
    <w:name w:val="Heading 7 Char"/>
    <w:link w:val="Heading7"/>
    <w:uiPriority w:val="9"/>
    <w:rsid w:val="00FB60E5"/>
    <w:rPr>
      <w:rFonts w:ascii="Cambria" w:eastAsiaTheme="majorEastAsia" w:hAnsi="Cambria" w:cstheme="majorBidi"/>
      <w:i/>
      <w:iCs/>
      <w:color w:val="404040"/>
      <w:sz w:val="20"/>
      <w:szCs w:val="20"/>
    </w:rPr>
  </w:style>
  <w:style w:type="character" w:customStyle="1" w:styleId="Heading8Char">
    <w:name w:val="Heading 8 Char"/>
    <w:link w:val="Heading8"/>
    <w:uiPriority w:val="9"/>
    <w:rsid w:val="00FB60E5"/>
    <w:rPr>
      <w:rFonts w:ascii="Cambria" w:eastAsiaTheme="majorEastAsia" w:hAnsi="Cambria" w:cstheme="majorBidi"/>
      <w:color w:val="404040"/>
      <w:sz w:val="20"/>
      <w:szCs w:val="20"/>
    </w:rPr>
  </w:style>
  <w:style w:type="character" w:customStyle="1" w:styleId="Heading9Char">
    <w:name w:val="Heading 9 Char"/>
    <w:link w:val="Heading9"/>
    <w:uiPriority w:val="9"/>
    <w:rsid w:val="00FB60E5"/>
    <w:rPr>
      <w:rFonts w:ascii="Cambria" w:eastAsiaTheme="majorEastAsia" w:hAnsi="Cambria" w:cstheme="majorBidi"/>
      <w:i/>
      <w:iCs/>
      <w:color w:val="404040"/>
      <w:sz w:val="20"/>
      <w:szCs w:val="20"/>
    </w:rPr>
  </w:style>
  <w:style w:type="character" w:styleId="Strong">
    <w:name w:val="Strong"/>
    <w:uiPriority w:val="22"/>
    <w:qFormat/>
    <w:rsid w:val="00B90486"/>
    <w:rPr>
      <w:rFonts w:ascii="Calibri" w:hAnsi="Calibri"/>
      <w:b/>
      <w:sz w:val="22"/>
    </w:rPr>
  </w:style>
  <w:style w:type="character" w:styleId="CommentReference">
    <w:name w:val="annotation reference"/>
    <w:uiPriority w:val="99"/>
    <w:semiHidden/>
    <w:unhideWhenUsed/>
    <w:rsid w:val="00901D28"/>
    <w:rPr>
      <w:sz w:val="16"/>
      <w:szCs w:val="16"/>
    </w:rPr>
  </w:style>
  <w:style w:type="paragraph" w:styleId="Quote">
    <w:name w:val="Quote"/>
    <w:basedOn w:val="Normal"/>
    <w:next w:val="Normal"/>
    <w:link w:val="QuoteChar"/>
    <w:uiPriority w:val="29"/>
    <w:qFormat/>
    <w:rsid w:val="0071715D"/>
    <w:pPr>
      <w:spacing w:after="200" w:line="276" w:lineRule="auto"/>
      <w:ind w:left="170"/>
    </w:pPr>
    <w:rPr>
      <w:rFonts w:eastAsia="Calibri"/>
      <w:i/>
      <w:iCs/>
      <w:color w:val="000000" w:themeColor="text1"/>
    </w:rPr>
  </w:style>
  <w:style w:type="character" w:customStyle="1" w:styleId="QuoteChar">
    <w:name w:val="Quote Char"/>
    <w:basedOn w:val="DefaultParagraphFont"/>
    <w:link w:val="Quote"/>
    <w:uiPriority w:val="29"/>
    <w:rsid w:val="0071715D"/>
    <w:rPr>
      <w:rFonts w:eastAsia="Calibri"/>
      <w:i/>
      <w:iCs/>
      <w:color w:val="000000" w:themeColor="text1"/>
    </w:rPr>
  </w:style>
  <w:style w:type="paragraph" w:styleId="BalloonText">
    <w:name w:val="Balloon Text"/>
    <w:basedOn w:val="Normal"/>
    <w:link w:val="BalloonTextChar"/>
    <w:uiPriority w:val="99"/>
    <w:semiHidden/>
    <w:unhideWhenUsed/>
    <w:rsid w:val="00901D28"/>
    <w:pPr>
      <w:spacing w:after="0"/>
    </w:pPr>
    <w:rPr>
      <w:rFonts w:ascii="Tahoma" w:hAnsi="Tahoma"/>
      <w:sz w:val="16"/>
      <w:szCs w:val="16"/>
    </w:rPr>
  </w:style>
  <w:style w:type="character" w:customStyle="1" w:styleId="BalloonTextChar">
    <w:name w:val="Balloon Text Char"/>
    <w:link w:val="BalloonText"/>
    <w:uiPriority w:val="99"/>
    <w:semiHidden/>
    <w:rsid w:val="00901D28"/>
    <w:rPr>
      <w:rFonts w:ascii="Tahoma" w:eastAsia="Calibri" w:hAnsi="Tahoma" w:cs="Times New Roman"/>
      <w:sz w:val="16"/>
      <w:szCs w:val="16"/>
    </w:rPr>
  </w:style>
  <w:style w:type="paragraph" w:styleId="Caption">
    <w:name w:val="caption"/>
    <w:basedOn w:val="Normal"/>
    <w:next w:val="Normal"/>
    <w:uiPriority w:val="35"/>
    <w:unhideWhenUsed/>
    <w:qFormat/>
    <w:rsid w:val="00340424"/>
    <w:pPr>
      <w:keepNext/>
      <w:spacing w:after="40"/>
      <w:ind w:left="0"/>
    </w:pPr>
    <w:rPr>
      <w:rFonts w:eastAsia="Calibri"/>
      <w:b/>
      <w:bCs/>
      <w:sz w:val="22"/>
      <w:szCs w:val="18"/>
    </w:rPr>
  </w:style>
  <w:style w:type="character" w:styleId="SubtleEmphasis">
    <w:name w:val="Subtle Emphasis"/>
    <w:basedOn w:val="DefaultParagraphFont"/>
    <w:uiPriority w:val="19"/>
    <w:qFormat/>
    <w:rsid w:val="00B0749B"/>
    <w:rPr>
      <w:rFonts w:ascii="Calibri" w:hAnsi="Calibri"/>
      <w:i/>
      <w:iCs/>
      <w:color w:val="auto"/>
      <w:sz w:val="24"/>
    </w:rPr>
  </w:style>
  <w:style w:type="paragraph" w:styleId="TOCHeading">
    <w:name w:val="TOC Heading"/>
    <w:basedOn w:val="Heading1"/>
    <w:next w:val="Normal"/>
    <w:uiPriority w:val="39"/>
    <w:unhideWhenUsed/>
    <w:qFormat/>
    <w:rsid w:val="00FB60E5"/>
    <w:pPr>
      <w:spacing w:before="480" w:after="0"/>
      <w:outlineLvl w:val="9"/>
    </w:pPr>
    <w:rPr>
      <w:rFonts w:ascii="Cambria" w:hAnsi="Cambria"/>
      <w:color w:val="365F91"/>
      <w:sz w:val="28"/>
      <w:lang w:val="en-US"/>
    </w:rPr>
  </w:style>
  <w:style w:type="paragraph" w:styleId="TOC1">
    <w:name w:val="toc 1"/>
    <w:basedOn w:val="Normal"/>
    <w:next w:val="Normal"/>
    <w:autoRedefine/>
    <w:uiPriority w:val="39"/>
    <w:unhideWhenUsed/>
    <w:qFormat/>
    <w:rsid w:val="00FB60E5"/>
    <w:pPr>
      <w:tabs>
        <w:tab w:val="right" w:leader="dot" w:pos="9016"/>
      </w:tabs>
      <w:spacing w:after="100" w:line="276" w:lineRule="auto"/>
      <w:ind w:left="0"/>
    </w:pPr>
    <w:rPr>
      <w:rFonts w:eastAsia="Calibri"/>
      <w:b/>
      <w:noProof/>
    </w:rPr>
  </w:style>
  <w:style w:type="paragraph" w:styleId="TOC2">
    <w:name w:val="toc 2"/>
    <w:basedOn w:val="Normal"/>
    <w:next w:val="Normal"/>
    <w:autoRedefine/>
    <w:uiPriority w:val="39"/>
    <w:unhideWhenUsed/>
    <w:qFormat/>
    <w:rsid w:val="00FB60E5"/>
    <w:pPr>
      <w:tabs>
        <w:tab w:val="right" w:leader="dot" w:pos="9016"/>
      </w:tabs>
      <w:spacing w:after="100" w:line="276" w:lineRule="auto"/>
      <w:ind w:left="221"/>
    </w:pPr>
    <w:rPr>
      <w:rFonts w:eastAsia="Calibri"/>
    </w:rPr>
  </w:style>
  <w:style w:type="character" w:styleId="Hyperlink">
    <w:name w:val="Hyperlink"/>
    <w:uiPriority w:val="99"/>
    <w:unhideWhenUsed/>
    <w:rsid w:val="00901D28"/>
    <w:rPr>
      <w:color w:val="0000FF"/>
      <w:u w:val="single"/>
    </w:rPr>
  </w:style>
  <w:style w:type="paragraph" w:styleId="FootnoteText">
    <w:name w:val="footnote text"/>
    <w:basedOn w:val="Normal"/>
    <w:link w:val="FootnoteTextChar"/>
    <w:uiPriority w:val="99"/>
    <w:unhideWhenUsed/>
    <w:rsid w:val="00882917"/>
    <w:pPr>
      <w:spacing w:before="0" w:after="0"/>
      <w:ind w:left="0"/>
    </w:pPr>
    <w:rPr>
      <w:sz w:val="20"/>
      <w:szCs w:val="20"/>
    </w:rPr>
  </w:style>
  <w:style w:type="character" w:customStyle="1" w:styleId="FootnoteTextChar">
    <w:name w:val="Footnote Text Char"/>
    <w:link w:val="FootnoteText"/>
    <w:uiPriority w:val="99"/>
    <w:rsid w:val="00882917"/>
    <w:rPr>
      <w:sz w:val="20"/>
      <w:szCs w:val="20"/>
    </w:rPr>
  </w:style>
  <w:style w:type="character" w:styleId="FootnoteReference">
    <w:name w:val="footnote reference"/>
    <w:uiPriority w:val="99"/>
    <w:unhideWhenUsed/>
    <w:rsid w:val="005F195C"/>
    <w:rPr>
      <w:rFonts w:ascii="Calibri" w:hAnsi="Calibri"/>
      <w:b w:val="0"/>
      <w:i w:val="0"/>
      <w:sz w:val="22"/>
      <w:vertAlign w:val="superscript"/>
    </w:rPr>
  </w:style>
  <w:style w:type="paragraph" w:styleId="Header">
    <w:name w:val="header"/>
    <w:basedOn w:val="Normal"/>
    <w:link w:val="HeaderChar"/>
    <w:uiPriority w:val="99"/>
    <w:unhideWhenUsed/>
    <w:rsid w:val="001B3CBD"/>
    <w:pPr>
      <w:keepNext/>
      <w:pageBreakBefore/>
      <w:tabs>
        <w:tab w:val="center" w:pos="4513"/>
        <w:tab w:val="right" w:pos="9026"/>
      </w:tabs>
      <w:ind w:left="0"/>
    </w:pPr>
    <w:rPr>
      <w:b/>
      <w:sz w:val="32"/>
    </w:rPr>
  </w:style>
  <w:style w:type="character" w:customStyle="1" w:styleId="HeaderChar">
    <w:name w:val="Header Char"/>
    <w:basedOn w:val="DefaultParagraphFont"/>
    <w:link w:val="Header"/>
    <w:uiPriority w:val="99"/>
    <w:rsid w:val="001B3CBD"/>
    <w:rPr>
      <w:b/>
      <w:sz w:val="32"/>
    </w:rPr>
  </w:style>
  <w:style w:type="paragraph" w:styleId="TOC3">
    <w:name w:val="toc 3"/>
    <w:basedOn w:val="Normal"/>
    <w:next w:val="Normal"/>
    <w:autoRedefine/>
    <w:uiPriority w:val="39"/>
    <w:unhideWhenUsed/>
    <w:qFormat/>
    <w:rsid w:val="00FB60E5"/>
    <w:pPr>
      <w:spacing w:after="100" w:line="276" w:lineRule="auto"/>
      <w:ind w:left="440"/>
    </w:pPr>
    <w:rPr>
      <w:rFonts w:eastAsia="Times New Roman"/>
      <w:lang w:val="en-US"/>
    </w:rPr>
  </w:style>
  <w:style w:type="table" w:styleId="TableGrid">
    <w:name w:val="Table Grid"/>
    <w:basedOn w:val="TableNormal"/>
    <w:uiPriority w:val="59"/>
    <w:rsid w:val="00901D28"/>
    <w:pPr>
      <w:spacing w:after="0"/>
      <w:ind w:left="0"/>
    </w:pPr>
    <w:rPr>
      <w:rFonts w:eastAsia="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Normal"/>
    <w:next w:val="Normal"/>
    <w:link w:val="CommentSubjectChar"/>
    <w:uiPriority w:val="99"/>
    <w:semiHidden/>
    <w:unhideWhenUsed/>
    <w:rsid w:val="00B9046B"/>
    <w:rPr>
      <w:b/>
      <w:bCs/>
      <w:sz w:val="20"/>
      <w:szCs w:val="20"/>
    </w:rPr>
  </w:style>
  <w:style w:type="character" w:customStyle="1" w:styleId="CommentSubjectChar">
    <w:name w:val="Comment Subject Char"/>
    <w:link w:val="CommentSubject"/>
    <w:uiPriority w:val="99"/>
    <w:semiHidden/>
    <w:rsid w:val="00901D28"/>
    <w:rPr>
      <w:rFonts w:ascii="Calibri" w:eastAsia="Calibri" w:hAnsi="Calibri" w:cs="Times New Roman"/>
      <w:b/>
      <w:bCs/>
      <w:sz w:val="20"/>
      <w:szCs w:val="20"/>
    </w:rPr>
  </w:style>
  <w:style w:type="paragraph" w:styleId="ListParagraph">
    <w:name w:val="List Paragraph"/>
    <w:basedOn w:val="Normal"/>
    <w:link w:val="ListParagraphChar"/>
    <w:uiPriority w:val="34"/>
    <w:qFormat/>
    <w:rsid w:val="00B0749B"/>
    <w:pPr>
      <w:spacing w:after="40"/>
      <w:ind w:left="720"/>
    </w:pPr>
    <w:rPr>
      <w:rFonts w:eastAsia="Calibri"/>
    </w:rPr>
  </w:style>
  <w:style w:type="numbering" w:customStyle="1" w:styleId="Style1">
    <w:name w:val="Style1"/>
    <w:uiPriority w:val="99"/>
    <w:rsid w:val="00901D28"/>
    <w:pPr>
      <w:numPr>
        <w:numId w:val="1"/>
      </w:numPr>
    </w:pPr>
  </w:style>
  <w:style w:type="paragraph" w:styleId="TableofFigures">
    <w:name w:val="table of figures"/>
    <w:basedOn w:val="Normal"/>
    <w:next w:val="Normal"/>
    <w:uiPriority w:val="99"/>
    <w:unhideWhenUsed/>
    <w:rsid w:val="00901D28"/>
  </w:style>
  <w:style w:type="paragraph" w:styleId="Revision">
    <w:name w:val="Revision"/>
    <w:hidden/>
    <w:uiPriority w:val="99"/>
    <w:semiHidden/>
    <w:rsid w:val="00901D28"/>
    <w:pPr>
      <w:spacing w:after="0"/>
      <w:ind w:left="0"/>
    </w:pPr>
    <w:rPr>
      <w:rFonts w:eastAsia="Calibri" w:cs="Times New Roman"/>
    </w:rPr>
  </w:style>
  <w:style w:type="character" w:styleId="BookTitle">
    <w:name w:val="Book Title"/>
    <w:uiPriority w:val="33"/>
    <w:qFormat/>
    <w:rsid w:val="00FB60E5"/>
    <w:rPr>
      <w:b/>
      <w:bCs/>
      <w:smallCaps/>
      <w:spacing w:val="5"/>
    </w:rPr>
  </w:style>
  <w:style w:type="paragraph" w:styleId="BodyText">
    <w:name w:val="Body Text"/>
    <w:basedOn w:val="Normal"/>
    <w:link w:val="BodyTextChar"/>
    <w:rsid w:val="00827DE6"/>
    <w:pPr>
      <w:spacing w:after="0"/>
      <w:jc w:val="center"/>
    </w:pPr>
    <w:rPr>
      <w:rFonts w:eastAsia="Times New Roman"/>
      <w:sz w:val="32"/>
      <w:szCs w:val="20"/>
      <w:lang w:val="en-US"/>
    </w:rPr>
  </w:style>
  <w:style w:type="character" w:customStyle="1" w:styleId="BodyTextChar">
    <w:name w:val="Body Text Char"/>
    <w:link w:val="BodyText"/>
    <w:rsid w:val="00827DE6"/>
    <w:rPr>
      <w:rFonts w:eastAsia="Times New Roman"/>
      <w:sz w:val="32"/>
      <w:szCs w:val="20"/>
      <w:lang w:val="en-US"/>
    </w:rPr>
  </w:style>
  <w:style w:type="character" w:styleId="IntenseEmphasis">
    <w:name w:val="Intense Emphasis"/>
    <w:uiPriority w:val="21"/>
    <w:qFormat/>
    <w:rsid w:val="00827DE6"/>
    <w:rPr>
      <w:rFonts w:asciiTheme="minorHAnsi" w:hAnsiTheme="minorHAnsi"/>
      <w:b/>
      <w:bCs/>
      <w:i w:val="0"/>
      <w:iCs/>
      <w:color w:val="auto"/>
      <w:sz w:val="40"/>
    </w:rPr>
  </w:style>
  <w:style w:type="character" w:customStyle="1" w:styleId="DocumentMapChar">
    <w:name w:val="Document Map Char"/>
    <w:aliases w:val=" Char Char"/>
    <w:link w:val="DocumentMap"/>
    <w:uiPriority w:val="99"/>
    <w:semiHidden/>
    <w:rsid w:val="00901D28"/>
    <w:rPr>
      <w:rFonts w:ascii="Tahoma" w:hAnsi="Tahoma"/>
      <w:sz w:val="16"/>
      <w:szCs w:val="16"/>
    </w:rPr>
  </w:style>
  <w:style w:type="paragraph" w:styleId="DocumentMap">
    <w:name w:val="Document Map"/>
    <w:aliases w:val=" Char"/>
    <w:basedOn w:val="Normal"/>
    <w:link w:val="DocumentMapChar"/>
    <w:uiPriority w:val="99"/>
    <w:semiHidden/>
    <w:unhideWhenUsed/>
    <w:rsid w:val="00901D28"/>
    <w:pPr>
      <w:spacing w:after="0"/>
    </w:pPr>
    <w:rPr>
      <w:rFonts w:ascii="Tahoma" w:hAnsi="Tahoma"/>
      <w:sz w:val="16"/>
      <w:szCs w:val="16"/>
    </w:rPr>
  </w:style>
  <w:style w:type="character" w:customStyle="1" w:styleId="DocumentMapChar1">
    <w:name w:val="Document Map Char1"/>
    <w:uiPriority w:val="99"/>
    <w:semiHidden/>
    <w:rsid w:val="00901D28"/>
    <w:rPr>
      <w:rFonts w:ascii="Tahoma" w:hAnsi="Tahoma" w:cs="Tahoma"/>
      <w:sz w:val="16"/>
      <w:szCs w:val="16"/>
    </w:rPr>
  </w:style>
  <w:style w:type="paragraph" w:customStyle="1" w:styleId="tabletext">
    <w:name w:val="table text"/>
    <w:basedOn w:val="Normal"/>
    <w:rsid w:val="00BC273E"/>
    <w:pPr>
      <w:overflowPunct w:val="0"/>
      <w:autoSpaceDE w:val="0"/>
      <w:autoSpaceDN w:val="0"/>
      <w:adjustRightInd w:val="0"/>
      <w:spacing w:before="0" w:after="0"/>
      <w:ind w:left="0"/>
      <w:textAlignment w:val="baseline"/>
    </w:pPr>
    <w:rPr>
      <w:rFonts w:eastAsia="SimSun"/>
      <w:sz w:val="22"/>
      <w:szCs w:val="20"/>
    </w:rPr>
  </w:style>
  <w:style w:type="character" w:customStyle="1" w:styleId="BodyText2Char">
    <w:name w:val="Body Text 2 Char"/>
    <w:link w:val="BodyText2"/>
    <w:semiHidden/>
    <w:rsid w:val="00901D28"/>
    <w:rPr>
      <w:rFonts w:ascii="Times New Roman" w:eastAsia="SimSun" w:hAnsi="Times New Roman"/>
      <w:sz w:val="24"/>
      <w:szCs w:val="24"/>
      <w:lang w:val="en-US" w:eastAsia="zh-CN"/>
    </w:rPr>
  </w:style>
  <w:style w:type="paragraph" w:styleId="BodyText2">
    <w:name w:val="Body Text 2"/>
    <w:basedOn w:val="Normal"/>
    <w:link w:val="BodyText2Char"/>
    <w:semiHidden/>
    <w:rsid w:val="00901D28"/>
    <w:pPr>
      <w:spacing w:line="480" w:lineRule="auto"/>
    </w:pPr>
    <w:rPr>
      <w:rFonts w:ascii="Times New Roman" w:eastAsia="SimSun" w:hAnsi="Times New Roman"/>
      <w:szCs w:val="24"/>
      <w:lang w:val="en-US" w:eastAsia="zh-CN"/>
    </w:rPr>
  </w:style>
  <w:style w:type="character" w:customStyle="1" w:styleId="BodyText2Char1">
    <w:name w:val="Body Text 2 Char1"/>
    <w:basedOn w:val="DefaultParagraphFont"/>
    <w:uiPriority w:val="99"/>
    <w:semiHidden/>
    <w:rsid w:val="00901D28"/>
  </w:style>
  <w:style w:type="paragraph" w:styleId="EndnoteText">
    <w:name w:val="endnote text"/>
    <w:basedOn w:val="Normal"/>
    <w:link w:val="EndnoteTextChar"/>
    <w:uiPriority w:val="99"/>
    <w:semiHidden/>
    <w:unhideWhenUsed/>
    <w:rsid w:val="00901D28"/>
    <w:pPr>
      <w:spacing w:after="80" w:line="360" w:lineRule="auto"/>
    </w:pPr>
    <w:rPr>
      <w:sz w:val="20"/>
      <w:szCs w:val="20"/>
    </w:rPr>
  </w:style>
  <w:style w:type="character" w:customStyle="1" w:styleId="EndnoteTextChar">
    <w:name w:val="Endnote Text Char"/>
    <w:link w:val="EndnoteText"/>
    <w:uiPriority w:val="99"/>
    <w:semiHidden/>
    <w:rsid w:val="00901D28"/>
    <w:rPr>
      <w:rFonts w:ascii="Calibri" w:eastAsia="Calibri" w:hAnsi="Calibri" w:cs="Times New Roman"/>
      <w:sz w:val="20"/>
      <w:szCs w:val="20"/>
    </w:rPr>
  </w:style>
  <w:style w:type="character" w:styleId="EndnoteReference">
    <w:name w:val="endnote reference"/>
    <w:uiPriority w:val="99"/>
    <w:semiHidden/>
    <w:unhideWhenUsed/>
    <w:rsid w:val="00901D28"/>
    <w:rPr>
      <w:vertAlign w:val="superscript"/>
    </w:rPr>
  </w:style>
  <w:style w:type="table" w:styleId="LightShading-Accent2">
    <w:name w:val="Light Shading Accent 2"/>
    <w:basedOn w:val="TableNormal"/>
    <w:uiPriority w:val="60"/>
    <w:rsid w:val="00901D28"/>
    <w:pPr>
      <w:spacing w:after="0"/>
      <w:ind w:left="0"/>
    </w:pPr>
    <w:rPr>
      <w:rFonts w:eastAsia="Calibri"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901D28"/>
    <w:pPr>
      <w:spacing w:after="0"/>
      <w:ind w:left="0"/>
    </w:pPr>
    <w:rPr>
      <w:rFonts w:eastAsia="Calibri"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Style2">
    <w:name w:val="Style2"/>
    <w:uiPriority w:val="99"/>
    <w:rsid w:val="00901D28"/>
    <w:pPr>
      <w:numPr>
        <w:numId w:val="2"/>
      </w:numPr>
    </w:pPr>
  </w:style>
  <w:style w:type="character" w:styleId="FollowedHyperlink">
    <w:name w:val="FollowedHyperlink"/>
    <w:uiPriority w:val="99"/>
    <w:semiHidden/>
    <w:unhideWhenUsed/>
    <w:rsid w:val="00901D28"/>
    <w:rPr>
      <w:color w:val="800080"/>
      <w:u w:val="single"/>
    </w:rPr>
  </w:style>
  <w:style w:type="character" w:customStyle="1" w:styleId="ListParagraphChar">
    <w:name w:val="List Paragraph Char"/>
    <w:basedOn w:val="DefaultParagraphFont"/>
    <w:link w:val="ListParagraph"/>
    <w:uiPriority w:val="34"/>
    <w:rsid w:val="00B0749B"/>
    <w:rPr>
      <w:rFonts w:eastAsia="Calibri"/>
      <w:sz w:val="24"/>
    </w:rPr>
  </w:style>
  <w:style w:type="paragraph" w:customStyle="1" w:styleId="Default">
    <w:name w:val="Default"/>
    <w:rsid w:val="00EB318C"/>
    <w:pPr>
      <w:autoSpaceDE w:val="0"/>
      <w:autoSpaceDN w:val="0"/>
      <w:adjustRightInd w:val="0"/>
      <w:spacing w:after="0"/>
      <w:ind w:left="0"/>
    </w:pPr>
    <w:rPr>
      <w:rFonts w:ascii="Times New Roman" w:hAnsi="Times New Roman" w:cs="Times New Roman"/>
      <w:color w:val="000000"/>
      <w:sz w:val="24"/>
      <w:szCs w:val="24"/>
    </w:rPr>
  </w:style>
  <w:style w:type="paragraph" w:customStyle="1" w:styleId="Body">
    <w:name w:val="Body"/>
    <w:basedOn w:val="Normal"/>
    <w:link w:val="BodyChar"/>
    <w:qFormat/>
    <w:rsid w:val="00FB60E5"/>
    <w:pPr>
      <w:widowControl w:val="0"/>
      <w:autoSpaceDE w:val="0"/>
      <w:autoSpaceDN w:val="0"/>
      <w:adjustRightInd w:val="0"/>
      <w:spacing w:after="0" w:line="480" w:lineRule="auto"/>
      <w:ind w:left="0"/>
    </w:pPr>
    <w:rPr>
      <w:rFonts w:ascii="Times New Roman" w:eastAsia="Times New Roman" w:hAnsi="Times New Roman"/>
      <w:szCs w:val="24"/>
      <w:lang w:eastAsia="en-AU"/>
    </w:rPr>
  </w:style>
  <w:style w:type="character" w:customStyle="1" w:styleId="BodyChar">
    <w:name w:val="Body Char"/>
    <w:link w:val="Body"/>
    <w:rsid w:val="00FB60E5"/>
    <w:rPr>
      <w:rFonts w:ascii="Times New Roman" w:eastAsia="Times New Roman" w:hAnsi="Times New Roman"/>
      <w:sz w:val="24"/>
      <w:szCs w:val="24"/>
      <w:lang w:eastAsia="en-AU"/>
    </w:rPr>
  </w:style>
  <w:style w:type="paragraph" w:customStyle="1" w:styleId="TableHeading">
    <w:name w:val="Table Heading"/>
    <w:basedOn w:val="Normal"/>
    <w:link w:val="TableHeadingChar"/>
    <w:qFormat/>
    <w:rsid w:val="009231ED"/>
    <w:pPr>
      <w:widowControl w:val="0"/>
      <w:autoSpaceDE w:val="0"/>
      <w:autoSpaceDN w:val="0"/>
      <w:adjustRightInd w:val="0"/>
      <w:spacing w:before="0" w:after="0"/>
      <w:ind w:left="0"/>
    </w:pPr>
    <w:rPr>
      <w:rFonts w:eastAsia="Times New Roman"/>
      <w:bCs/>
      <w:iCs/>
      <w:color w:val="FFFFFF" w:themeColor="background1"/>
      <w:spacing w:val="1"/>
      <w:szCs w:val="24"/>
      <w:lang w:eastAsia="en-AU"/>
    </w:rPr>
  </w:style>
  <w:style w:type="character" w:customStyle="1" w:styleId="TableHeadingChar">
    <w:name w:val="Table Heading Char"/>
    <w:link w:val="TableHeading"/>
    <w:rsid w:val="009231ED"/>
    <w:rPr>
      <w:rFonts w:eastAsia="Times New Roman"/>
      <w:bCs/>
      <w:iCs/>
      <w:color w:val="FFFFFF" w:themeColor="background1"/>
      <w:spacing w:val="1"/>
      <w:sz w:val="24"/>
      <w:szCs w:val="24"/>
      <w:lang w:eastAsia="en-AU"/>
    </w:rPr>
  </w:style>
  <w:style w:type="paragraph" w:styleId="Title">
    <w:name w:val="Title"/>
    <w:basedOn w:val="Normal"/>
    <w:next w:val="Normal"/>
    <w:link w:val="TitleChar"/>
    <w:uiPriority w:val="10"/>
    <w:qFormat/>
    <w:rsid w:val="00FB60E5"/>
    <w:pPr>
      <w:spacing w:after="300" w:line="192" w:lineRule="auto"/>
      <w:ind w:left="0"/>
      <w:contextualSpacing/>
      <w:jc w:val="right"/>
    </w:pPr>
    <w:rPr>
      <w:rFonts w:asciiTheme="majorHAnsi" w:eastAsiaTheme="majorEastAsia" w:hAnsiTheme="majorHAnsi" w:cstheme="majorBidi"/>
      <w:b/>
      <w:bCs/>
      <w:caps/>
      <w:color w:val="FFFFFF" w:themeColor="background1"/>
      <w:spacing w:val="5"/>
      <w:kern w:val="28"/>
      <w:sz w:val="44"/>
      <w:szCs w:val="44"/>
      <w:lang w:val="en-US"/>
    </w:rPr>
  </w:style>
  <w:style w:type="character" w:customStyle="1" w:styleId="TitleChar">
    <w:name w:val="Title Char"/>
    <w:basedOn w:val="DefaultParagraphFont"/>
    <w:link w:val="Title"/>
    <w:uiPriority w:val="10"/>
    <w:rsid w:val="00FB60E5"/>
    <w:rPr>
      <w:rFonts w:asciiTheme="majorHAnsi" w:eastAsiaTheme="majorEastAsia" w:hAnsiTheme="majorHAnsi" w:cstheme="majorBidi"/>
      <w:b/>
      <w:bCs/>
      <w:caps/>
      <w:color w:val="FFFFFF" w:themeColor="background1"/>
      <w:spacing w:val="5"/>
      <w:kern w:val="28"/>
      <w:sz w:val="44"/>
      <w:szCs w:val="44"/>
      <w:lang w:val="en-US"/>
    </w:rPr>
  </w:style>
  <w:style w:type="table" w:styleId="LightList-Accent1">
    <w:name w:val="Light List Accent 1"/>
    <w:basedOn w:val="LightList"/>
    <w:uiPriority w:val="61"/>
    <w:rsid w:val="00562CD0"/>
    <w:tblPr>
      <w:tblBorders>
        <w:top w:val="single" w:sz="4" w:space="0" w:color="auto"/>
        <w:left w:val="single" w:sz="4" w:space="0" w:color="auto"/>
        <w:bottom w:val="single" w:sz="4" w:space="0" w:color="auto"/>
        <w:right w:val="single" w:sz="4" w:space="0" w:color="auto"/>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umberedlist">
    <w:name w:val="Numbered list"/>
    <w:basedOn w:val="Normal"/>
    <w:qFormat/>
    <w:rsid w:val="000A1966"/>
    <w:pPr>
      <w:numPr>
        <w:numId w:val="13"/>
      </w:numPr>
      <w:spacing w:after="40"/>
      <w:ind w:left="714" w:hanging="357"/>
    </w:pPr>
    <w:rPr>
      <w:b/>
    </w:rPr>
  </w:style>
  <w:style w:type="table" w:styleId="TableSimple1">
    <w:name w:val="Table Simple 1"/>
    <w:basedOn w:val="TableNormal"/>
    <w:uiPriority w:val="99"/>
    <w:semiHidden/>
    <w:unhideWhenUsed/>
    <w:rsid w:val="009B73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
    <w:name w:val="Light List"/>
    <w:basedOn w:val="TableNormal"/>
    <w:uiPriority w:val="61"/>
    <w:rsid w:val="009B7363"/>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1698">
      <w:bodyDiv w:val="1"/>
      <w:marLeft w:val="0"/>
      <w:marRight w:val="0"/>
      <w:marTop w:val="0"/>
      <w:marBottom w:val="0"/>
      <w:divBdr>
        <w:top w:val="none" w:sz="0" w:space="0" w:color="auto"/>
        <w:left w:val="none" w:sz="0" w:space="0" w:color="auto"/>
        <w:bottom w:val="none" w:sz="0" w:space="0" w:color="auto"/>
        <w:right w:val="none" w:sz="0" w:space="0" w:color="auto"/>
      </w:divBdr>
    </w:div>
    <w:div w:id="158811823">
      <w:bodyDiv w:val="1"/>
      <w:marLeft w:val="0"/>
      <w:marRight w:val="0"/>
      <w:marTop w:val="0"/>
      <w:marBottom w:val="0"/>
      <w:divBdr>
        <w:top w:val="none" w:sz="0" w:space="0" w:color="auto"/>
        <w:left w:val="none" w:sz="0" w:space="0" w:color="auto"/>
        <w:bottom w:val="none" w:sz="0" w:space="0" w:color="auto"/>
        <w:right w:val="none" w:sz="0" w:space="0" w:color="auto"/>
      </w:divBdr>
    </w:div>
    <w:div w:id="247037900">
      <w:bodyDiv w:val="1"/>
      <w:marLeft w:val="0"/>
      <w:marRight w:val="0"/>
      <w:marTop w:val="0"/>
      <w:marBottom w:val="0"/>
      <w:divBdr>
        <w:top w:val="none" w:sz="0" w:space="0" w:color="auto"/>
        <w:left w:val="none" w:sz="0" w:space="0" w:color="auto"/>
        <w:bottom w:val="none" w:sz="0" w:space="0" w:color="auto"/>
        <w:right w:val="none" w:sz="0" w:space="0" w:color="auto"/>
      </w:divBdr>
    </w:div>
    <w:div w:id="253829257">
      <w:bodyDiv w:val="1"/>
      <w:marLeft w:val="0"/>
      <w:marRight w:val="0"/>
      <w:marTop w:val="0"/>
      <w:marBottom w:val="0"/>
      <w:divBdr>
        <w:top w:val="none" w:sz="0" w:space="0" w:color="auto"/>
        <w:left w:val="none" w:sz="0" w:space="0" w:color="auto"/>
        <w:bottom w:val="none" w:sz="0" w:space="0" w:color="auto"/>
        <w:right w:val="none" w:sz="0" w:space="0" w:color="auto"/>
      </w:divBdr>
    </w:div>
    <w:div w:id="401370980">
      <w:bodyDiv w:val="1"/>
      <w:marLeft w:val="0"/>
      <w:marRight w:val="0"/>
      <w:marTop w:val="0"/>
      <w:marBottom w:val="0"/>
      <w:divBdr>
        <w:top w:val="none" w:sz="0" w:space="0" w:color="auto"/>
        <w:left w:val="none" w:sz="0" w:space="0" w:color="auto"/>
        <w:bottom w:val="none" w:sz="0" w:space="0" w:color="auto"/>
        <w:right w:val="none" w:sz="0" w:space="0" w:color="auto"/>
      </w:divBdr>
    </w:div>
    <w:div w:id="507335250">
      <w:bodyDiv w:val="1"/>
      <w:marLeft w:val="0"/>
      <w:marRight w:val="0"/>
      <w:marTop w:val="0"/>
      <w:marBottom w:val="0"/>
      <w:divBdr>
        <w:top w:val="none" w:sz="0" w:space="0" w:color="auto"/>
        <w:left w:val="none" w:sz="0" w:space="0" w:color="auto"/>
        <w:bottom w:val="none" w:sz="0" w:space="0" w:color="auto"/>
        <w:right w:val="none" w:sz="0" w:space="0" w:color="auto"/>
      </w:divBdr>
    </w:div>
    <w:div w:id="550001068">
      <w:bodyDiv w:val="1"/>
      <w:marLeft w:val="0"/>
      <w:marRight w:val="0"/>
      <w:marTop w:val="0"/>
      <w:marBottom w:val="0"/>
      <w:divBdr>
        <w:top w:val="none" w:sz="0" w:space="0" w:color="auto"/>
        <w:left w:val="none" w:sz="0" w:space="0" w:color="auto"/>
        <w:bottom w:val="none" w:sz="0" w:space="0" w:color="auto"/>
        <w:right w:val="none" w:sz="0" w:space="0" w:color="auto"/>
      </w:divBdr>
    </w:div>
    <w:div w:id="559828290">
      <w:bodyDiv w:val="1"/>
      <w:marLeft w:val="0"/>
      <w:marRight w:val="0"/>
      <w:marTop w:val="0"/>
      <w:marBottom w:val="0"/>
      <w:divBdr>
        <w:top w:val="none" w:sz="0" w:space="0" w:color="auto"/>
        <w:left w:val="none" w:sz="0" w:space="0" w:color="auto"/>
        <w:bottom w:val="none" w:sz="0" w:space="0" w:color="auto"/>
        <w:right w:val="none" w:sz="0" w:space="0" w:color="auto"/>
      </w:divBdr>
    </w:div>
    <w:div w:id="623578817">
      <w:bodyDiv w:val="1"/>
      <w:marLeft w:val="0"/>
      <w:marRight w:val="0"/>
      <w:marTop w:val="0"/>
      <w:marBottom w:val="0"/>
      <w:divBdr>
        <w:top w:val="none" w:sz="0" w:space="0" w:color="auto"/>
        <w:left w:val="none" w:sz="0" w:space="0" w:color="auto"/>
        <w:bottom w:val="none" w:sz="0" w:space="0" w:color="auto"/>
        <w:right w:val="none" w:sz="0" w:space="0" w:color="auto"/>
      </w:divBdr>
      <w:divsChild>
        <w:div w:id="876239242">
          <w:marLeft w:val="0"/>
          <w:marRight w:val="0"/>
          <w:marTop w:val="34"/>
          <w:marBottom w:val="34"/>
          <w:divBdr>
            <w:top w:val="none" w:sz="0" w:space="0" w:color="auto"/>
            <w:left w:val="none" w:sz="0" w:space="0" w:color="auto"/>
            <w:bottom w:val="none" w:sz="0" w:space="0" w:color="auto"/>
            <w:right w:val="none" w:sz="0" w:space="0" w:color="auto"/>
          </w:divBdr>
          <w:divsChild>
            <w:div w:id="1228613452">
              <w:marLeft w:val="0"/>
              <w:marRight w:val="0"/>
              <w:marTop w:val="0"/>
              <w:marBottom w:val="0"/>
              <w:divBdr>
                <w:top w:val="none" w:sz="0" w:space="0" w:color="auto"/>
                <w:left w:val="none" w:sz="0" w:space="0" w:color="auto"/>
                <w:bottom w:val="none" w:sz="0" w:space="0" w:color="auto"/>
                <w:right w:val="none" w:sz="0" w:space="0" w:color="auto"/>
              </w:divBdr>
            </w:div>
            <w:div w:id="19410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741">
      <w:bodyDiv w:val="1"/>
      <w:marLeft w:val="0"/>
      <w:marRight w:val="0"/>
      <w:marTop w:val="0"/>
      <w:marBottom w:val="0"/>
      <w:divBdr>
        <w:top w:val="none" w:sz="0" w:space="0" w:color="auto"/>
        <w:left w:val="none" w:sz="0" w:space="0" w:color="auto"/>
        <w:bottom w:val="none" w:sz="0" w:space="0" w:color="auto"/>
        <w:right w:val="none" w:sz="0" w:space="0" w:color="auto"/>
      </w:divBdr>
    </w:div>
    <w:div w:id="704331014">
      <w:bodyDiv w:val="1"/>
      <w:marLeft w:val="0"/>
      <w:marRight w:val="0"/>
      <w:marTop w:val="0"/>
      <w:marBottom w:val="0"/>
      <w:divBdr>
        <w:top w:val="none" w:sz="0" w:space="0" w:color="auto"/>
        <w:left w:val="none" w:sz="0" w:space="0" w:color="auto"/>
        <w:bottom w:val="none" w:sz="0" w:space="0" w:color="auto"/>
        <w:right w:val="none" w:sz="0" w:space="0" w:color="auto"/>
      </w:divBdr>
    </w:div>
    <w:div w:id="946037479">
      <w:bodyDiv w:val="1"/>
      <w:marLeft w:val="0"/>
      <w:marRight w:val="0"/>
      <w:marTop w:val="0"/>
      <w:marBottom w:val="0"/>
      <w:divBdr>
        <w:top w:val="none" w:sz="0" w:space="0" w:color="auto"/>
        <w:left w:val="none" w:sz="0" w:space="0" w:color="auto"/>
        <w:bottom w:val="none" w:sz="0" w:space="0" w:color="auto"/>
        <w:right w:val="none" w:sz="0" w:space="0" w:color="auto"/>
      </w:divBdr>
    </w:div>
    <w:div w:id="971330138">
      <w:bodyDiv w:val="1"/>
      <w:marLeft w:val="0"/>
      <w:marRight w:val="0"/>
      <w:marTop w:val="0"/>
      <w:marBottom w:val="0"/>
      <w:divBdr>
        <w:top w:val="none" w:sz="0" w:space="0" w:color="auto"/>
        <w:left w:val="none" w:sz="0" w:space="0" w:color="auto"/>
        <w:bottom w:val="none" w:sz="0" w:space="0" w:color="auto"/>
        <w:right w:val="none" w:sz="0" w:space="0" w:color="auto"/>
      </w:divBdr>
    </w:div>
    <w:div w:id="979067353">
      <w:bodyDiv w:val="1"/>
      <w:marLeft w:val="0"/>
      <w:marRight w:val="0"/>
      <w:marTop w:val="0"/>
      <w:marBottom w:val="0"/>
      <w:divBdr>
        <w:top w:val="none" w:sz="0" w:space="0" w:color="auto"/>
        <w:left w:val="none" w:sz="0" w:space="0" w:color="auto"/>
        <w:bottom w:val="none" w:sz="0" w:space="0" w:color="auto"/>
        <w:right w:val="none" w:sz="0" w:space="0" w:color="auto"/>
      </w:divBdr>
    </w:div>
    <w:div w:id="989754220">
      <w:bodyDiv w:val="1"/>
      <w:marLeft w:val="0"/>
      <w:marRight w:val="0"/>
      <w:marTop w:val="0"/>
      <w:marBottom w:val="0"/>
      <w:divBdr>
        <w:top w:val="none" w:sz="0" w:space="0" w:color="auto"/>
        <w:left w:val="none" w:sz="0" w:space="0" w:color="auto"/>
        <w:bottom w:val="none" w:sz="0" w:space="0" w:color="auto"/>
        <w:right w:val="none" w:sz="0" w:space="0" w:color="auto"/>
      </w:divBdr>
    </w:div>
    <w:div w:id="1089885741">
      <w:bodyDiv w:val="1"/>
      <w:marLeft w:val="0"/>
      <w:marRight w:val="0"/>
      <w:marTop w:val="0"/>
      <w:marBottom w:val="0"/>
      <w:divBdr>
        <w:top w:val="none" w:sz="0" w:space="0" w:color="auto"/>
        <w:left w:val="none" w:sz="0" w:space="0" w:color="auto"/>
        <w:bottom w:val="none" w:sz="0" w:space="0" w:color="auto"/>
        <w:right w:val="none" w:sz="0" w:space="0" w:color="auto"/>
      </w:divBdr>
    </w:div>
    <w:div w:id="1191649739">
      <w:bodyDiv w:val="1"/>
      <w:marLeft w:val="0"/>
      <w:marRight w:val="0"/>
      <w:marTop w:val="0"/>
      <w:marBottom w:val="0"/>
      <w:divBdr>
        <w:top w:val="none" w:sz="0" w:space="0" w:color="auto"/>
        <w:left w:val="none" w:sz="0" w:space="0" w:color="auto"/>
        <w:bottom w:val="none" w:sz="0" w:space="0" w:color="auto"/>
        <w:right w:val="none" w:sz="0" w:space="0" w:color="auto"/>
      </w:divBdr>
    </w:div>
    <w:div w:id="1209490095">
      <w:bodyDiv w:val="1"/>
      <w:marLeft w:val="0"/>
      <w:marRight w:val="0"/>
      <w:marTop w:val="0"/>
      <w:marBottom w:val="0"/>
      <w:divBdr>
        <w:top w:val="none" w:sz="0" w:space="0" w:color="auto"/>
        <w:left w:val="none" w:sz="0" w:space="0" w:color="auto"/>
        <w:bottom w:val="none" w:sz="0" w:space="0" w:color="auto"/>
        <w:right w:val="none" w:sz="0" w:space="0" w:color="auto"/>
      </w:divBdr>
    </w:div>
    <w:div w:id="1237395921">
      <w:bodyDiv w:val="1"/>
      <w:marLeft w:val="0"/>
      <w:marRight w:val="0"/>
      <w:marTop w:val="0"/>
      <w:marBottom w:val="0"/>
      <w:divBdr>
        <w:top w:val="none" w:sz="0" w:space="0" w:color="auto"/>
        <w:left w:val="none" w:sz="0" w:space="0" w:color="auto"/>
        <w:bottom w:val="none" w:sz="0" w:space="0" w:color="auto"/>
        <w:right w:val="none" w:sz="0" w:space="0" w:color="auto"/>
      </w:divBdr>
    </w:div>
    <w:div w:id="1251696726">
      <w:bodyDiv w:val="1"/>
      <w:marLeft w:val="0"/>
      <w:marRight w:val="0"/>
      <w:marTop w:val="0"/>
      <w:marBottom w:val="0"/>
      <w:divBdr>
        <w:top w:val="none" w:sz="0" w:space="0" w:color="auto"/>
        <w:left w:val="none" w:sz="0" w:space="0" w:color="auto"/>
        <w:bottom w:val="none" w:sz="0" w:space="0" w:color="auto"/>
        <w:right w:val="none" w:sz="0" w:space="0" w:color="auto"/>
      </w:divBdr>
    </w:div>
    <w:div w:id="1336150666">
      <w:bodyDiv w:val="1"/>
      <w:marLeft w:val="0"/>
      <w:marRight w:val="0"/>
      <w:marTop w:val="0"/>
      <w:marBottom w:val="0"/>
      <w:divBdr>
        <w:top w:val="none" w:sz="0" w:space="0" w:color="auto"/>
        <w:left w:val="none" w:sz="0" w:space="0" w:color="auto"/>
        <w:bottom w:val="none" w:sz="0" w:space="0" w:color="auto"/>
        <w:right w:val="none" w:sz="0" w:space="0" w:color="auto"/>
      </w:divBdr>
    </w:div>
    <w:div w:id="1375698129">
      <w:bodyDiv w:val="1"/>
      <w:marLeft w:val="0"/>
      <w:marRight w:val="0"/>
      <w:marTop w:val="0"/>
      <w:marBottom w:val="0"/>
      <w:divBdr>
        <w:top w:val="none" w:sz="0" w:space="0" w:color="auto"/>
        <w:left w:val="none" w:sz="0" w:space="0" w:color="auto"/>
        <w:bottom w:val="none" w:sz="0" w:space="0" w:color="auto"/>
        <w:right w:val="none" w:sz="0" w:space="0" w:color="auto"/>
      </w:divBdr>
    </w:div>
    <w:div w:id="1469667494">
      <w:bodyDiv w:val="1"/>
      <w:marLeft w:val="0"/>
      <w:marRight w:val="0"/>
      <w:marTop w:val="0"/>
      <w:marBottom w:val="0"/>
      <w:divBdr>
        <w:top w:val="none" w:sz="0" w:space="0" w:color="auto"/>
        <w:left w:val="none" w:sz="0" w:space="0" w:color="auto"/>
        <w:bottom w:val="none" w:sz="0" w:space="0" w:color="auto"/>
        <w:right w:val="none" w:sz="0" w:space="0" w:color="auto"/>
      </w:divBdr>
    </w:div>
    <w:div w:id="1520700146">
      <w:bodyDiv w:val="1"/>
      <w:marLeft w:val="0"/>
      <w:marRight w:val="0"/>
      <w:marTop w:val="0"/>
      <w:marBottom w:val="0"/>
      <w:divBdr>
        <w:top w:val="none" w:sz="0" w:space="0" w:color="auto"/>
        <w:left w:val="none" w:sz="0" w:space="0" w:color="auto"/>
        <w:bottom w:val="none" w:sz="0" w:space="0" w:color="auto"/>
        <w:right w:val="none" w:sz="0" w:space="0" w:color="auto"/>
      </w:divBdr>
    </w:div>
    <w:div w:id="1528909228">
      <w:bodyDiv w:val="1"/>
      <w:marLeft w:val="0"/>
      <w:marRight w:val="0"/>
      <w:marTop w:val="0"/>
      <w:marBottom w:val="0"/>
      <w:divBdr>
        <w:top w:val="none" w:sz="0" w:space="0" w:color="auto"/>
        <w:left w:val="none" w:sz="0" w:space="0" w:color="auto"/>
        <w:bottom w:val="none" w:sz="0" w:space="0" w:color="auto"/>
        <w:right w:val="none" w:sz="0" w:space="0" w:color="auto"/>
      </w:divBdr>
    </w:div>
    <w:div w:id="1533957716">
      <w:bodyDiv w:val="1"/>
      <w:marLeft w:val="0"/>
      <w:marRight w:val="0"/>
      <w:marTop w:val="0"/>
      <w:marBottom w:val="0"/>
      <w:divBdr>
        <w:top w:val="none" w:sz="0" w:space="0" w:color="auto"/>
        <w:left w:val="none" w:sz="0" w:space="0" w:color="auto"/>
        <w:bottom w:val="none" w:sz="0" w:space="0" w:color="auto"/>
        <w:right w:val="none" w:sz="0" w:space="0" w:color="auto"/>
      </w:divBdr>
    </w:div>
    <w:div w:id="1653607338">
      <w:bodyDiv w:val="1"/>
      <w:marLeft w:val="0"/>
      <w:marRight w:val="0"/>
      <w:marTop w:val="0"/>
      <w:marBottom w:val="0"/>
      <w:divBdr>
        <w:top w:val="none" w:sz="0" w:space="0" w:color="auto"/>
        <w:left w:val="none" w:sz="0" w:space="0" w:color="auto"/>
        <w:bottom w:val="none" w:sz="0" w:space="0" w:color="auto"/>
        <w:right w:val="none" w:sz="0" w:space="0" w:color="auto"/>
      </w:divBdr>
    </w:div>
    <w:div w:id="1679967597">
      <w:bodyDiv w:val="1"/>
      <w:marLeft w:val="0"/>
      <w:marRight w:val="0"/>
      <w:marTop w:val="0"/>
      <w:marBottom w:val="0"/>
      <w:divBdr>
        <w:top w:val="none" w:sz="0" w:space="0" w:color="auto"/>
        <w:left w:val="none" w:sz="0" w:space="0" w:color="auto"/>
        <w:bottom w:val="none" w:sz="0" w:space="0" w:color="auto"/>
        <w:right w:val="none" w:sz="0" w:space="0" w:color="auto"/>
      </w:divBdr>
    </w:div>
    <w:div w:id="1709144444">
      <w:bodyDiv w:val="1"/>
      <w:marLeft w:val="0"/>
      <w:marRight w:val="0"/>
      <w:marTop w:val="0"/>
      <w:marBottom w:val="0"/>
      <w:divBdr>
        <w:top w:val="none" w:sz="0" w:space="0" w:color="auto"/>
        <w:left w:val="none" w:sz="0" w:space="0" w:color="auto"/>
        <w:bottom w:val="none" w:sz="0" w:space="0" w:color="auto"/>
        <w:right w:val="none" w:sz="0" w:space="0" w:color="auto"/>
      </w:divBdr>
    </w:div>
    <w:div w:id="1772967774">
      <w:bodyDiv w:val="1"/>
      <w:marLeft w:val="0"/>
      <w:marRight w:val="0"/>
      <w:marTop w:val="0"/>
      <w:marBottom w:val="0"/>
      <w:divBdr>
        <w:top w:val="none" w:sz="0" w:space="0" w:color="auto"/>
        <w:left w:val="none" w:sz="0" w:space="0" w:color="auto"/>
        <w:bottom w:val="none" w:sz="0" w:space="0" w:color="auto"/>
        <w:right w:val="none" w:sz="0" w:space="0" w:color="auto"/>
      </w:divBdr>
    </w:div>
    <w:div w:id="1783258953">
      <w:bodyDiv w:val="1"/>
      <w:marLeft w:val="0"/>
      <w:marRight w:val="0"/>
      <w:marTop w:val="0"/>
      <w:marBottom w:val="0"/>
      <w:divBdr>
        <w:top w:val="none" w:sz="0" w:space="0" w:color="auto"/>
        <w:left w:val="none" w:sz="0" w:space="0" w:color="auto"/>
        <w:bottom w:val="none" w:sz="0" w:space="0" w:color="auto"/>
        <w:right w:val="none" w:sz="0" w:space="0" w:color="auto"/>
      </w:divBdr>
    </w:div>
    <w:div w:id="1915046655">
      <w:bodyDiv w:val="1"/>
      <w:marLeft w:val="0"/>
      <w:marRight w:val="0"/>
      <w:marTop w:val="0"/>
      <w:marBottom w:val="0"/>
      <w:divBdr>
        <w:top w:val="none" w:sz="0" w:space="0" w:color="auto"/>
        <w:left w:val="none" w:sz="0" w:space="0" w:color="auto"/>
        <w:bottom w:val="none" w:sz="0" w:space="0" w:color="auto"/>
        <w:right w:val="none" w:sz="0" w:space="0" w:color="auto"/>
      </w:divBdr>
    </w:div>
    <w:div w:id="1951274069">
      <w:bodyDiv w:val="1"/>
      <w:marLeft w:val="0"/>
      <w:marRight w:val="0"/>
      <w:marTop w:val="0"/>
      <w:marBottom w:val="0"/>
      <w:divBdr>
        <w:top w:val="none" w:sz="0" w:space="0" w:color="auto"/>
        <w:left w:val="none" w:sz="0" w:space="0" w:color="auto"/>
        <w:bottom w:val="none" w:sz="0" w:space="0" w:color="auto"/>
        <w:right w:val="none" w:sz="0" w:space="0" w:color="auto"/>
      </w:divBdr>
    </w:div>
    <w:div w:id="1982810921">
      <w:bodyDiv w:val="1"/>
      <w:marLeft w:val="0"/>
      <w:marRight w:val="0"/>
      <w:marTop w:val="0"/>
      <w:marBottom w:val="0"/>
      <w:divBdr>
        <w:top w:val="none" w:sz="0" w:space="0" w:color="auto"/>
        <w:left w:val="none" w:sz="0" w:space="0" w:color="auto"/>
        <w:bottom w:val="none" w:sz="0" w:space="0" w:color="auto"/>
        <w:right w:val="none" w:sz="0" w:space="0" w:color="auto"/>
      </w:divBdr>
    </w:div>
    <w:div w:id="20876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diagramColors" Target="diagrams/colors1.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yperlink" Target="http://www.nationaldrugstrategy.gov.au/internet/drugstrategy/Publishing.nsf/content/nds2015"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diagramQuickStyle" Target="diagrams/quickStyle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chart" Target="charts/chart7.xm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diagramData" Target="diagrams/data1.xml"/><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chart" Target="charts/chart2.xml"/><Relationship Id="rId27" Type="http://schemas.microsoft.com/office/2007/relationships/diagramDrawing" Target="diagrams/drawing1.xml"/><Relationship Id="rId30" Type="http://schemas.openxmlformats.org/officeDocument/2006/relationships/chart" Target="charts/chart5.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PDOC%20outcome%20by%20PDO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PDOC%20outcome%20by%20PDO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Abstinence%20x%20PDOC%20and%20PI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Abstinence%20x%20PDOC%20and%20PI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baseline%20treatment%20goal%20graphs%20for%20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Graphs%20whoqol%2029041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tpstore\LDRIVE\04%20PROJECTS%2010-11\1%20Patient%20pathways%20-%20M5033\Report%202014\Tables%20and%20graphs\optimal%20care%20pathwa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63531159167252"/>
          <c:y val="0.1881228649382175"/>
          <c:w val="0.86238030364880214"/>
          <c:h val="0.55993155521533289"/>
        </c:manualLayout>
      </c:layout>
      <c:barChart>
        <c:barDir val="col"/>
        <c:grouping val="clustered"/>
        <c:varyColors val="0"/>
        <c:ser>
          <c:idx val="0"/>
          <c:order val="0"/>
          <c:tx>
            <c:strRef>
              <c:f>Sheet1!$B$1</c:f>
              <c:strCache>
                <c:ptCount val="1"/>
                <c:pt idx="0">
                  <c:v>Outpatient</c:v>
                </c:pt>
              </c:strCache>
            </c:strRef>
          </c:tx>
          <c:invertIfNegative val="0"/>
          <c:cat>
            <c:strRef>
              <c:f>Sheet1!$A$2:$A$5</c:f>
              <c:strCache>
                <c:ptCount val="4"/>
                <c:pt idx="0">
                  <c:v>Stop alcohol altogether</c:v>
                </c:pt>
                <c:pt idx="1">
                  <c:v>Cut down or control drinking</c:v>
                </c:pt>
                <c:pt idx="2">
                  <c:v>Eliminate alcohol-related problems</c:v>
                </c:pt>
                <c:pt idx="3">
                  <c:v>No alcohol problem/N.A</c:v>
                </c:pt>
              </c:strCache>
            </c:strRef>
          </c:cat>
          <c:val>
            <c:numRef>
              <c:f>Sheet1!$B$2:$B$5</c:f>
              <c:numCache>
                <c:formatCode>0.00%</c:formatCode>
                <c:ptCount val="4"/>
                <c:pt idx="0">
                  <c:v>0.46790000000000015</c:v>
                </c:pt>
                <c:pt idx="1">
                  <c:v>0.39450000000000024</c:v>
                </c:pt>
                <c:pt idx="2">
                  <c:v>6.4199999999999993E-2</c:v>
                </c:pt>
                <c:pt idx="3">
                  <c:v>7.3400000000000021E-2</c:v>
                </c:pt>
              </c:numCache>
            </c:numRef>
          </c:val>
        </c:ser>
        <c:ser>
          <c:idx val="1"/>
          <c:order val="1"/>
          <c:tx>
            <c:strRef>
              <c:f>Sheet1!$C$1</c:f>
              <c:strCache>
                <c:ptCount val="1"/>
                <c:pt idx="0">
                  <c:v>Acute withdrawal</c:v>
                </c:pt>
              </c:strCache>
            </c:strRef>
          </c:tx>
          <c:invertIfNegative val="0"/>
          <c:cat>
            <c:strRef>
              <c:f>Sheet1!$A$2:$A$5</c:f>
              <c:strCache>
                <c:ptCount val="4"/>
                <c:pt idx="0">
                  <c:v>Stop alcohol altogether</c:v>
                </c:pt>
                <c:pt idx="1">
                  <c:v>Cut down or control drinking</c:v>
                </c:pt>
                <c:pt idx="2">
                  <c:v>Eliminate alcohol-related problems</c:v>
                </c:pt>
                <c:pt idx="3">
                  <c:v>No alcohol problem/N.A</c:v>
                </c:pt>
              </c:strCache>
            </c:strRef>
          </c:cat>
          <c:val>
            <c:numRef>
              <c:f>Sheet1!$C$2:$C$5</c:f>
              <c:numCache>
                <c:formatCode>0.00%</c:formatCode>
                <c:ptCount val="4"/>
                <c:pt idx="0">
                  <c:v>0.65160000000000051</c:v>
                </c:pt>
                <c:pt idx="1">
                  <c:v>0.28280000000000016</c:v>
                </c:pt>
                <c:pt idx="2">
                  <c:v>4.9200000000000021E-2</c:v>
                </c:pt>
                <c:pt idx="3">
                  <c:v>1.6400000000000001E-2</c:v>
                </c:pt>
              </c:numCache>
            </c:numRef>
          </c:val>
        </c:ser>
        <c:ser>
          <c:idx val="2"/>
          <c:order val="2"/>
          <c:tx>
            <c:strRef>
              <c:f>Sheet1!$D$1</c:f>
              <c:strCache>
                <c:ptCount val="1"/>
                <c:pt idx="0">
                  <c:v>Residential rehabilitation</c:v>
                </c:pt>
              </c:strCache>
            </c:strRef>
          </c:tx>
          <c:invertIfNegative val="0"/>
          <c:cat>
            <c:strRef>
              <c:f>Sheet1!$A$2:$A$5</c:f>
              <c:strCache>
                <c:ptCount val="4"/>
                <c:pt idx="0">
                  <c:v>Stop alcohol altogether</c:v>
                </c:pt>
                <c:pt idx="1">
                  <c:v>Cut down or control drinking</c:v>
                </c:pt>
                <c:pt idx="2">
                  <c:v>Eliminate alcohol-related problems</c:v>
                </c:pt>
                <c:pt idx="3">
                  <c:v>No alcohol problem/N.A</c:v>
                </c:pt>
              </c:strCache>
            </c:strRef>
          </c:cat>
          <c:val>
            <c:numRef>
              <c:f>Sheet1!$D$2:$D$5</c:f>
              <c:numCache>
                <c:formatCode>0.00%</c:formatCode>
                <c:ptCount val="4"/>
                <c:pt idx="0">
                  <c:v>0.65520000000000034</c:v>
                </c:pt>
                <c:pt idx="1">
                  <c:v>0.2276</c:v>
                </c:pt>
                <c:pt idx="2">
                  <c:v>4.8300000000000003E-2</c:v>
                </c:pt>
                <c:pt idx="3">
                  <c:v>6.9000000000000034E-2</c:v>
                </c:pt>
              </c:numCache>
            </c:numRef>
          </c:val>
        </c:ser>
        <c:dLbls>
          <c:showLegendKey val="0"/>
          <c:showVal val="0"/>
          <c:showCatName val="0"/>
          <c:showSerName val="0"/>
          <c:showPercent val="0"/>
          <c:showBubbleSize val="0"/>
        </c:dLbls>
        <c:gapWidth val="150"/>
        <c:axId val="75485952"/>
        <c:axId val="75487872"/>
      </c:barChart>
      <c:catAx>
        <c:axId val="75485952"/>
        <c:scaling>
          <c:orientation val="minMax"/>
        </c:scaling>
        <c:delete val="0"/>
        <c:axPos val="b"/>
        <c:numFmt formatCode="General" sourceLinked="0"/>
        <c:majorTickMark val="out"/>
        <c:minorTickMark val="none"/>
        <c:tickLblPos val="nextTo"/>
        <c:crossAx val="75487872"/>
        <c:crosses val="autoZero"/>
        <c:auto val="1"/>
        <c:lblAlgn val="ctr"/>
        <c:lblOffset val="100"/>
        <c:noMultiLvlLbl val="0"/>
      </c:catAx>
      <c:valAx>
        <c:axId val="75487872"/>
        <c:scaling>
          <c:orientation val="minMax"/>
        </c:scaling>
        <c:delete val="0"/>
        <c:axPos val="l"/>
        <c:numFmt formatCode="0%" sourceLinked="0"/>
        <c:majorTickMark val="out"/>
        <c:minorTickMark val="none"/>
        <c:tickLblPos val="nextTo"/>
        <c:crossAx val="75485952"/>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Sheet2!$B$1</c:f>
              <c:strCache>
                <c:ptCount val="1"/>
                <c:pt idx="0">
                  <c:v>Outpatient</c:v>
                </c:pt>
              </c:strCache>
            </c:strRef>
          </c:tx>
          <c:invertIfNegative val="0"/>
          <c:cat>
            <c:strRef>
              <c:f>Sheet2!$A$2:$A$6</c:f>
              <c:strCache>
                <c:ptCount val="5"/>
                <c:pt idx="0">
                  <c:v>Stop drugs altogether</c:v>
                </c:pt>
                <c:pt idx="1">
                  <c:v>Cut down or control drug use</c:v>
                </c:pt>
                <c:pt idx="2">
                  <c:v>Eliminate drug-related problems</c:v>
                </c:pt>
                <c:pt idx="3">
                  <c:v>Get substitution pharmacotherapy</c:v>
                </c:pt>
                <c:pt idx="4">
                  <c:v>No drug problem/N.A</c:v>
                </c:pt>
              </c:strCache>
            </c:strRef>
          </c:cat>
          <c:val>
            <c:numRef>
              <c:f>Sheet2!$B$2:$B$6</c:f>
              <c:numCache>
                <c:formatCode>0.00%</c:formatCode>
                <c:ptCount val="5"/>
                <c:pt idx="0">
                  <c:v>0.62400000000000033</c:v>
                </c:pt>
                <c:pt idx="1">
                  <c:v>0.23600000000000004</c:v>
                </c:pt>
                <c:pt idx="2">
                  <c:v>6.4000000000000043E-2</c:v>
                </c:pt>
                <c:pt idx="3">
                  <c:v>6.0000000000000027E-3</c:v>
                </c:pt>
                <c:pt idx="4">
                  <c:v>7.0000000000000021E-2</c:v>
                </c:pt>
              </c:numCache>
            </c:numRef>
          </c:val>
        </c:ser>
        <c:ser>
          <c:idx val="1"/>
          <c:order val="1"/>
          <c:tx>
            <c:strRef>
              <c:f>Sheet2!$C$1</c:f>
              <c:strCache>
                <c:ptCount val="1"/>
                <c:pt idx="0">
                  <c:v>Acute withdrawal</c:v>
                </c:pt>
              </c:strCache>
            </c:strRef>
          </c:tx>
          <c:invertIfNegative val="0"/>
          <c:cat>
            <c:strRef>
              <c:f>Sheet2!$A$2:$A$6</c:f>
              <c:strCache>
                <c:ptCount val="5"/>
                <c:pt idx="0">
                  <c:v>Stop drugs altogether</c:v>
                </c:pt>
                <c:pt idx="1">
                  <c:v>Cut down or control drug use</c:v>
                </c:pt>
                <c:pt idx="2">
                  <c:v>Eliminate drug-related problems</c:v>
                </c:pt>
                <c:pt idx="3">
                  <c:v>Get substitution pharmacotherapy</c:v>
                </c:pt>
                <c:pt idx="4">
                  <c:v>No drug problem/N.A</c:v>
                </c:pt>
              </c:strCache>
            </c:strRef>
          </c:cat>
          <c:val>
            <c:numRef>
              <c:f>Sheet2!$C$2:$C$6</c:f>
              <c:numCache>
                <c:formatCode>0.00%</c:formatCode>
                <c:ptCount val="5"/>
                <c:pt idx="0">
                  <c:v>0.75600000000000034</c:v>
                </c:pt>
                <c:pt idx="1">
                  <c:v>0.16900000000000001</c:v>
                </c:pt>
                <c:pt idx="2">
                  <c:v>3.3000000000000002E-2</c:v>
                </c:pt>
                <c:pt idx="3">
                  <c:v>1.900000000000001E-2</c:v>
                </c:pt>
                <c:pt idx="4">
                  <c:v>2.3E-2</c:v>
                </c:pt>
              </c:numCache>
            </c:numRef>
          </c:val>
        </c:ser>
        <c:ser>
          <c:idx val="2"/>
          <c:order val="2"/>
          <c:tx>
            <c:strRef>
              <c:f>Sheet2!$D$1</c:f>
              <c:strCache>
                <c:ptCount val="1"/>
                <c:pt idx="0">
                  <c:v>Residential rehabilitation</c:v>
                </c:pt>
              </c:strCache>
            </c:strRef>
          </c:tx>
          <c:invertIfNegative val="0"/>
          <c:cat>
            <c:strRef>
              <c:f>Sheet2!$A$2:$A$6</c:f>
              <c:strCache>
                <c:ptCount val="5"/>
                <c:pt idx="0">
                  <c:v>Stop drugs altogether</c:v>
                </c:pt>
                <c:pt idx="1">
                  <c:v>Cut down or control drug use</c:v>
                </c:pt>
                <c:pt idx="2">
                  <c:v>Eliminate drug-related problems</c:v>
                </c:pt>
                <c:pt idx="3">
                  <c:v>Get substitution pharmacotherapy</c:v>
                </c:pt>
                <c:pt idx="4">
                  <c:v>No drug problem/N.A</c:v>
                </c:pt>
              </c:strCache>
            </c:strRef>
          </c:cat>
          <c:val>
            <c:numRef>
              <c:f>Sheet2!$D$2:$D$6</c:f>
              <c:numCache>
                <c:formatCode>0.00%</c:formatCode>
                <c:ptCount val="5"/>
                <c:pt idx="0">
                  <c:v>0.89800000000000002</c:v>
                </c:pt>
                <c:pt idx="1">
                  <c:v>7.9000000000000042E-2</c:v>
                </c:pt>
                <c:pt idx="2">
                  <c:v>1.0999999999999998E-2</c:v>
                </c:pt>
                <c:pt idx="3" formatCode="General">
                  <c:v>0</c:v>
                </c:pt>
                <c:pt idx="4">
                  <c:v>1.0999999999999998E-2</c:v>
                </c:pt>
              </c:numCache>
            </c:numRef>
          </c:val>
        </c:ser>
        <c:dLbls>
          <c:showLegendKey val="0"/>
          <c:showVal val="0"/>
          <c:showCatName val="0"/>
          <c:showSerName val="0"/>
          <c:showPercent val="0"/>
          <c:showBubbleSize val="0"/>
        </c:dLbls>
        <c:gapWidth val="150"/>
        <c:axId val="231441920"/>
        <c:axId val="231443840"/>
      </c:barChart>
      <c:catAx>
        <c:axId val="231441920"/>
        <c:scaling>
          <c:orientation val="minMax"/>
        </c:scaling>
        <c:delete val="0"/>
        <c:axPos val="b"/>
        <c:numFmt formatCode="General" sourceLinked="0"/>
        <c:majorTickMark val="out"/>
        <c:minorTickMark val="none"/>
        <c:tickLblPos val="nextTo"/>
        <c:crossAx val="231443840"/>
        <c:crosses val="autoZero"/>
        <c:auto val="1"/>
        <c:lblAlgn val="ctr"/>
        <c:lblOffset val="100"/>
        <c:noMultiLvlLbl val="0"/>
      </c:catAx>
      <c:valAx>
        <c:axId val="231443840"/>
        <c:scaling>
          <c:orientation val="minMax"/>
        </c:scaling>
        <c:delete val="0"/>
        <c:axPos val="l"/>
        <c:numFmt formatCode="0%" sourceLinked="0"/>
        <c:majorTickMark val="out"/>
        <c:minorTickMark val="none"/>
        <c:tickLblPos val="nextTo"/>
        <c:crossAx val="23144192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114029287221"/>
          <c:y val="5.6286291169245321E-2"/>
          <c:w val="0.84715179769380211"/>
          <c:h val="0.69826584795891233"/>
        </c:manualLayout>
      </c:layout>
      <c:barChart>
        <c:barDir val="col"/>
        <c:grouping val="clustered"/>
        <c:varyColors val="0"/>
        <c:ser>
          <c:idx val="0"/>
          <c:order val="0"/>
          <c:tx>
            <c:strRef>
              <c:f>'Abstinence by PDOC and tx'!$C$24</c:f>
              <c:strCache>
                <c:ptCount val="1"/>
                <c:pt idx="0">
                  <c:v>PDOC only</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'Abstinence by PDOC and tx'!$D$23:$I$23</c:f>
              <c:strCache>
                <c:ptCount val="6"/>
                <c:pt idx="0">
                  <c:v>Alcohol</c:v>
                </c:pt>
                <c:pt idx="1">
                  <c:v>Cannabis</c:v>
                </c:pt>
                <c:pt idx="2">
                  <c:v>Opioids</c:v>
                </c:pt>
                <c:pt idx="3">
                  <c:v>Meth/amphet</c:v>
                </c:pt>
                <c:pt idx="4">
                  <c:v>Other</c:v>
                </c:pt>
                <c:pt idx="5">
                  <c:v>Total</c:v>
                </c:pt>
              </c:strCache>
            </c:strRef>
          </c:cat>
          <c:val>
            <c:numRef>
              <c:f>'Abstinence by PDOC and tx'!$D$24:$I$24</c:f>
              <c:numCache>
                <c:formatCode>General</c:formatCode>
                <c:ptCount val="6"/>
                <c:pt idx="0">
                  <c:v>28.1</c:v>
                </c:pt>
                <c:pt idx="1">
                  <c:v>34.1</c:v>
                </c:pt>
                <c:pt idx="2">
                  <c:v>45.5</c:v>
                </c:pt>
                <c:pt idx="3">
                  <c:v>60.9</c:v>
                </c:pt>
                <c:pt idx="4">
                  <c:v>40</c:v>
                </c:pt>
                <c:pt idx="5">
                  <c:v>37.5</c:v>
                </c:pt>
              </c:numCache>
            </c:numRef>
          </c:val>
        </c:ser>
        <c:ser>
          <c:idx val="1"/>
          <c:order val="1"/>
          <c:tx>
            <c:strRef>
              <c:f>'Abstinence by PDOC and tx'!$C$25</c:f>
              <c:strCache>
                <c:ptCount val="1"/>
                <c:pt idx="0">
                  <c:v>All DOCs</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'Abstinence by PDOC and tx'!$D$23:$I$23</c:f>
              <c:strCache>
                <c:ptCount val="6"/>
                <c:pt idx="0">
                  <c:v>Alcohol</c:v>
                </c:pt>
                <c:pt idx="1">
                  <c:v>Cannabis</c:v>
                </c:pt>
                <c:pt idx="2">
                  <c:v>Opioids</c:v>
                </c:pt>
                <c:pt idx="3">
                  <c:v>Meth/amphet</c:v>
                </c:pt>
                <c:pt idx="4">
                  <c:v>Other</c:v>
                </c:pt>
                <c:pt idx="5">
                  <c:v>Total</c:v>
                </c:pt>
              </c:strCache>
            </c:strRef>
          </c:cat>
          <c:val>
            <c:numRef>
              <c:f>'Abstinence by PDOC and tx'!$D$25:$I$25</c:f>
              <c:numCache>
                <c:formatCode>General</c:formatCode>
                <c:ptCount val="6"/>
                <c:pt idx="0">
                  <c:v>26.7</c:v>
                </c:pt>
                <c:pt idx="1">
                  <c:v>25.9</c:v>
                </c:pt>
                <c:pt idx="2">
                  <c:v>33</c:v>
                </c:pt>
                <c:pt idx="3">
                  <c:v>43.5</c:v>
                </c:pt>
                <c:pt idx="4">
                  <c:v>31.2</c:v>
                </c:pt>
                <c:pt idx="5">
                  <c:v>30.5</c:v>
                </c:pt>
              </c:numCache>
            </c:numRef>
          </c:val>
        </c:ser>
        <c:dLbls>
          <c:showLegendKey val="0"/>
          <c:showVal val="0"/>
          <c:showCatName val="0"/>
          <c:showSerName val="0"/>
          <c:showPercent val="0"/>
          <c:showBubbleSize val="0"/>
        </c:dLbls>
        <c:gapWidth val="150"/>
        <c:axId val="352439680"/>
        <c:axId val="368016000"/>
      </c:barChart>
      <c:catAx>
        <c:axId val="352439680"/>
        <c:scaling>
          <c:orientation val="minMax"/>
        </c:scaling>
        <c:delete val="0"/>
        <c:axPos val="b"/>
        <c:title>
          <c:tx>
            <c:rich>
              <a:bodyPr/>
              <a:lstStyle/>
              <a:p>
                <a:pPr>
                  <a:defRPr/>
                </a:pPr>
                <a:r>
                  <a:rPr lang="en-AU"/>
                  <a:t>Primary</a:t>
                </a:r>
                <a:r>
                  <a:rPr lang="en-AU" baseline="0"/>
                  <a:t> Drug of Concern</a:t>
                </a:r>
                <a:endParaRPr lang="en-AU"/>
              </a:p>
            </c:rich>
          </c:tx>
          <c:overlay val="0"/>
        </c:title>
        <c:numFmt formatCode="General" sourceLinked="0"/>
        <c:majorTickMark val="none"/>
        <c:minorTickMark val="none"/>
        <c:tickLblPos val="nextTo"/>
        <c:crossAx val="368016000"/>
        <c:crosses val="autoZero"/>
        <c:auto val="1"/>
        <c:lblAlgn val="ctr"/>
        <c:lblOffset val="100"/>
        <c:noMultiLvlLbl val="0"/>
      </c:catAx>
      <c:valAx>
        <c:axId val="368016000"/>
        <c:scaling>
          <c:orientation val="minMax"/>
        </c:scaling>
        <c:delete val="0"/>
        <c:axPos val="l"/>
        <c:title>
          <c:tx>
            <c:rich>
              <a:bodyPr/>
              <a:lstStyle/>
              <a:p>
                <a:pPr>
                  <a:defRPr/>
                </a:pPr>
                <a:r>
                  <a:rPr lang="en-AU"/>
                  <a:t>percentage</a:t>
                </a:r>
                <a:r>
                  <a:rPr lang="en-AU" baseline="0"/>
                  <a:t> of clients</a:t>
                </a:r>
                <a:endParaRPr lang="en-AU"/>
              </a:p>
            </c:rich>
          </c:tx>
          <c:overlay val="0"/>
        </c:title>
        <c:numFmt formatCode="General" sourceLinked="1"/>
        <c:majorTickMark val="out"/>
        <c:minorTickMark val="none"/>
        <c:tickLblPos val="nextTo"/>
        <c:crossAx val="352439680"/>
        <c:crosses val="autoZero"/>
        <c:crossBetween val="between"/>
      </c:valAx>
    </c:plotArea>
    <c:legend>
      <c:legendPos val="r"/>
      <c:layout>
        <c:manualLayout>
          <c:xMode val="edge"/>
          <c:yMode val="edge"/>
          <c:x val="0.73662856734089333"/>
          <c:y val="2.8098835728593754E-2"/>
          <c:w val="0.24121322304244444"/>
          <c:h val="0.13265253168953073"/>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9129483814499"/>
          <c:y val="5.1400554097404495E-2"/>
          <c:w val="0.69727624671916"/>
          <c:h val="0.73444808982210497"/>
        </c:manualLayout>
      </c:layout>
      <c:barChart>
        <c:barDir val="col"/>
        <c:grouping val="clustered"/>
        <c:varyColors val="0"/>
        <c:ser>
          <c:idx val="0"/>
          <c:order val="0"/>
          <c:tx>
            <c:strRef>
              <c:f>'Abstinence by PDOC and tx'!$C$5</c:f>
              <c:strCache>
                <c:ptCount val="1"/>
                <c:pt idx="0">
                  <c:v>PDOC only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'Abstinence by PDOC and tx'!$D$4:$G$4</c:f>
              <c:strCache>
                <c:ptCount val="4"/>
                <c:pt idx="0">
                  <c:v>Outpatient</c:v>
                </c:pt>
                <c:pt idx="1">
                  <c:v>Acute withdrawal </c:v>
                </c:pt>
                <c:pt idx="2">
                  <c:v>Residential rehabilitation </c:v>
                </c:pt>
                <c:pt idx="3">
                  <c:v>Total</c:v>
                </c:pt>
              </c:strCache>
            </c:strRef>
          </c:cat>
          <c:val>
            <c:numRef>
              <c:f>'Abstinence by PDOC and tx'!$D$5:$G$5</c:f>
              <c:numCache>
                <c:formatCode>General</c:formatCode>
                <c:ptCount val="4"/>
                <c:pt idx="0" formatCode="0.0">
                  <c:v>33</c:v>
                </c:pt>
                <c:pt idx="1">
                  <c:v>30.4</c:v>
                </c:pt>
                <c:pt idx="2">
                  <c:v>55.8</c:v>
                </c:pt>
                <c:pt idx="3">
                  <c:v>37.5</c:v>
                </c:pt>
              </c:numCache>
            </c:numRef>
          </c:val>
        </c:ser>
        <c:ser>
          <c:idx val="1"/>
          <c:order val="1"/>
          <c:tx>
            <c:strRef>
              <c:f>'Abstinence by PDOC and tx'!$C$6</c:f>
              <c:strCache>
                <c:ptCount val="1"/>
                <c:pt idx="0">
                  <c:v>All DOCs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'Abstinence by PDOC and tx'!$D$4:$G$4</c:f>
              <c:strCache>
                <c:ptCount val="4"/>
                <c:pt idx="0">
                  <c:v>Outpatient</c:v>
                </c:pt>
                <c:pt idx="1">
                  <c:v>Acute withdrawal </c:v>
                </c:pt>
                <c:pt idx="2">
                  <c:v>Residential rehabilitation </c:v>
                </c:pt>
                <c:pt idx="3">
                  <c:v>Total</c:v>
                </c:pt>
              </c:strCache>
            </c:strRef>
          </c:cat>
          <c:val>
            <c:numRef>
              <c:f>'Abstinence by PDOC and tx'!$D$6:$G$6</c:f>
              <c:numCache>
                <c:formatCode>General</c:formatCode>
                <c:ptCount val="4"/>
                <c:pt idx="0">
                  <c:v>26.7</c:v>
                </c:pt>
                <c:pt idx="1">
                  <c:v>25.3</c:v>
                </c:pt>
                <c:pt idx="2">
                  <c:v>44.5</c:v>
                </c:pt>
                <c:pt idx="3">
                  <c:v>30.5</c:v>
                </c:pt>
              </c:numCache>
            </c:numRef>
          </c:val>
        </c:ser>
        <c:dLbls>
          <c:showLegendKey val="0"/>
          <c:showVal val="0"/>
          <c:showCatName val="0"/>
          <c:showSerName val="0"/>
          <c:showPercent val="0"/>
          <c:showBubbleSize val="0"/>
        </c:dLbls>
        <c:gapWidth val="150"/>
        <c:axId val="369992832"/>
        <c:axId val="369996160"/>
      </c:barChart>
      <c:catAx>
        <c:axId val="369992832"/>
        <c:scaling>
          <c:orientation val="minMax"/>
        </c:scaling>
        <c:delete val="0"/>
        <c:axPos val="b"/>
        <c:title>
          <c:tx>
            <c:rich>
              <a:bodyPr/>
              <a:lstStyle/>
              <a:p>
                <a:pPr>
                  <a:defRPr/>
                </a:pPr>
                <a:r>
                  <a:rPr lang="en-AU"/>
                  <a:t>Treatment type</a:t>
                </a:r>
              </a:p>
            </c:rich>
          </c:tx>
          <c:layout/>
          <c:overlay val="0"/>
        </c:title>
        <c:numFmt formatCode="General" sourceLinked="0"/>
        <c:majorTickMark val="none"/>
        <c:minorTickMark val="none"/>
        <c:tickLblPos val="nextTo"/>
        <c:crossAx val="369996160"/>
        <c:crosses val="autoZero"/>
        <c:auto val="1"/>
        <c:lblAlgn val="ctr"/>
        <c:lblOffset val="100"/>
        <c:noMultiLvlLbl val="0"/>
      </c:catAx>
      <c:valAx>
        <c:axId val="369996160"/>
        <c:scaling>
          <c:orientation val="minMax"/>
        </c:scaling>
        <c:delete val="0"/>
        <c:axPos val="l"/>
        <c:title>
          <c:tx>
            <c:rich>
              <a:bodyPr/>
              <a:lstStyle/>
              <a:p>
                <a:pPr>
                  <a:defRPr/>
                </a:pPr>
                <a:r>
                  <a:rPr lang="en-AU"/>
                  <a:t>Percentage</a:t>
                </a:r>
                <a:r>
                  <a:rPr lang="en-AU" baseline="0"/>
                  <a:t> of participants</a:t>
                </a:r>
                <a:endParaRPr lang="en-AU"/>
              </a:p>
            </c:rich>
          </c:tx>
          <c:layout/>
          <c:overlay val="0"/>
        </c:title>
        <c:numFmt formatCode="0.0" sourceLinked="1"/>
        <c:majorTickMark val="out"/>
        <c:minorTickMark val="none"/>
        <c:tickLblPos val="nextTo"/>
        <c:crossAx val="369992832"/>
        <c:crosses val="autoZero"/>
        <c:crossBetween val="between"/>
      </c:valAx>
    </c:plotArea>
    <c:legend>
      <c:legendPos val="r"/>
      <c:layout>
        <c:manualLayout>
          <c:xMode val="edge"/>
          <c:yMode val="edge"/>
          <c:x val="0.8170564304461978"/>
          <c:y val="0.14776428988043241"/>
          <c:w val="0.16627690288713917"/>
          <c:h val="0.190582531350248"/>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232863283203888E-2"/>
          <c:y val="0.14372490632414653"/>
          <c:w val="0.89973943963756631"/>
          <c:h val="0.67922708236992391"/>
        </c:manualLayout>
      </c:layout>
      <c:barChart>
        <c:barDir val="col"/>
        <c:grouping val="clustered"/>
        <c:varyColors val="0"/>
        <c:ser>
          <c:idx val="0"/>
          <c:order val="0"/>
          <c:tx>
            <c:strRef>
              <c:f>Sheet1!$B$1</c:f>
              <c:strCache>
                <c:ptCount val="1"/>
                <c:pt idx="0">
                  <c:v>Abstinent</c:v>
                </c:pt>
              </c:strCache>
            </c:strRef>
          </c:tx>
          <c:invertIfNegative val="0"/>
          <c:cat>
            <c:strRef>
              <c:f>Sheet1!$A$2:$A$5</c:f>
              <c:strCache>
                <c:ptCount val="4"/>
                <c:pt idx="0">
                  <c:v>Outpatient</c:v>
                </c:pt>
                <c:pt idx="1">
                  <c:v>Acute withdrawal</c:v>
                </c:pt>
                <c:pt idx="2">
                  <c:v>Residential rehabilitation </c:v>
                </c:pt>
                <c:pt idx="3">
                  <c:v>Total</c:v>
                </c:pt>
              </c:strCache>
            </c:strRef>
          </c:cat>
          <c:val>
            <c:numRef>
              <c:f>Sheet1!$B$2:$B$5</c:f>
              <c:numCache>
                <c:formatCode>0.00</c:formatCode>
                <c:ptCount val="4"/>
                <c:pt idx="0">
                  <c:v>0.33300000000000007</c:v>
                </c:pt>
                <c:pt idx="1">
                  <c:v>0.3040000000000001</c:v>
                </c:pt>
                <c:pt idx="2">
                  <c:v>0.55500000000000005</c:v>
                </c:pt>
                <c:pt idx="3">
                  <c:v>0.37500000000000006</c:v>
                </c:pt>
              </c:numCache>
            </c:numRef>
          </c:val>
        </c:ser>
        <c:ser>
          <c:idx val="1"/>
          <c:order val="1"/>
          <c:tx>
            <c:strRef>
              <c:f>Sheet1!$C$1</c:f>
              <c:strCache>
                <c:ptCount val="1"/>
                <c:pt idx="0">
                  <c:v>Reduced 50%</c:v>
                </c:pt>
              </c:strCache>
            </c:strRef>
          </c:tx>
          <c:invertIfNegative val="0"/>
          <c:cat>
            <c:strRef>
              <c:f>Sheet1!$A$2:$A$5</c:f>
              <c:strCache>
                <c:ptCount val="4"/>
                <c:pt idx="0">
                  <c:v>Outpatient</c:v>
                </c:pt>
                <c:pt idx="1">
                  <c:v>Acute withdrawal</c:v>
                </c:pt>
                <c:pt idx="2">
                  <c:v>Residential rehabilitation </c:v>
                </c:pt>
                <c:pt idx="3">
                  <c:v>Total</c:v>
                </c:pt>
              </c:strCache>
            </c:strRef>
          </c:cat>
          <c:val>
            <c:numRef>
              <c:f>Sheet1!$C$2:$C$5</c:f>
              <c:numCache>
                <c:formatCode>0.00</c:formatCode>
                <c:ptCount val="4"/>
                <c:pt idx="0">
                  <c:v>0.17500000000000002</c:v>
                </c:pt>
                <c:pt idx="1">
                  <c:v>0.2</c:v>
                </c:pt>
                <c:pt idx="2">
                  <c:v>5.8000000000000003E-2</c:v>
                </c:pt>
                <c:pt idx="3">
                  <c:v>0.15700000000000003</c:v>
                </c:pt>
              </c:numCache>
            </c:numRef>
          </c:val>
        </c:ser>
        <c:ser>
          <c:idx val="2"/>
          <c:order val="2"/>
          <c:tx>
            <c:strRef>
              <c:f>Sheet1!$D$1</c:f>
              <c:strCache>
                <c:ptCount val="1"/>
                <c:pt idx="0">
                  <c:v>Did not reduce 50%</c:v>
                </c:pt>
              </c:strCache>
            </c:strRef>
          </c:tx>
          <c:invertIfNegative val="0"/>
          <c:cat>
            <c:strRef>
              <c:f>Sheet1!$A$2:$A$5</c:f>
              <c:strCache>
                <c:ptCount val="4"/>
                <c:pt idx="0">
                  <c:v>Outpatient</c:v>
                </c:pt>
                <c:pt idx="1">
                  <c:v>Acute withdrawal</c:v>
                </c:pt>
                <c:pt idx="2">
                  <c:v>Residential rehabilitation </c:v>
                </c:pt>
                <c:pt idx="3">
                  <c:v>Total</c:v>
                </c:pt>
              </c:strCache>
            </c:strRef>
          </c:cat>
          <c:val>
            <c:numRef>
              <c:f>Sheet1!$D$2:$D$5</c:f>
              <c:numCache>
                <c:formatCode>0.00</c:formatCode>
                <c:ptCount val="4"/>
                <c:pt idx="0">
                  <c:v>0.46300000000000002</c:v>
                </c:pt>
                <c:pt idx="1">
                  <c:v>0.47900000000000004</c:v>
                </c:pt>
                <c:pt idx="2">
                  <c:v>0.38000000000000006</c:v>
                </c:pt>
                <c:pt idx="3">
                  <c:v>0.44900000000000001</c:v>
                </c:pt>
              </c:numCache>
            </c:numRef>
          </c:val>
        </c:ser>
        <c:dLbls>
          <c:showLegendKey val="0"/>
          <c:showVal val="0"/>
          <c:showCatName val="0"/>
          <c:showSerName val="0"/>
          <c:showPercent val="0"/>
          <c:showBubbleSize val="0"/>
        </c:dLbls>
        <c:gapWidth val="150"/>
        <c:axId val="371188096"/>
        <c:axId val="371190400"/>
      </c:barChart>
      <c:catAx>
        <c:axId val="371188096"/>
        <c:scaling>
          <c:orientation val="minMax"/>
        </c:scaling>
        <c:delete val="0"/>
        <c:axPos val="b"/>
        <c:numFmt formatCode="General" sourceLinked="0"/>
        <c:majorTickMark val="out"/>
        <c:minorTickMark val="none"/>
        <c:tickLblPos val="nextTo"/>
        <c:crossAx val="371190400"/>
        <c:crosses val="autoZero"/>
        <c:auto val="1"/>
        <c:lblAlgn val="ctr"/>
        <c:lblOffset val="100"/>
        <c:noMultiLvlLbl val="0"/>
      </c:catAx>
      <c:valAx>
        <c:axId val="371190400"/>
        <c:scaling>
          <c:orientation val="minMax"/>
        </c:scaling>
        <c:delete val="0"/>
        <c:axPos val="l"/>
        <c:numFmt formatCode="0%" sourceLinked="0"/>
        <c:majorTickMark val="out"/>
        <c:minorTickMark val="none"/>
        <c:tickLblPos val="nextTo"/>
        <c:crossAx val="371188096"/>
        <c:crosses val="autoZero"/>
        <c:crossBetween val="between"/>
      </c:valAx>
    </c:plotArea>
    <c:legend>
      <c:legendPos val="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Sheet1!$C$112</c:f>
              <c:strCache>
                <c:ptCount val="1"/>
                <c:pt idx="0">
                  <c:v>Deteriorated</c:v>
                </c:pt>
              </c:strCache>
            </c:strRef>
          </c:tx>
          <c:invertIfNegative val="0"/>
          <c:cat>
            <c:strRef>
              <c:f>Sheet1!$D$111:$G$111</c:f>
              <c:strCache>
                <c:ptCount val="4"/>
                <c:pt idx="0">
                  <c:v>Physical change</c:v>
                </c:pt>
                <c:pt idx="1">
                  <c:v>Psychological change </c:v>
                </c:pt>
                <c:pt idx="2">
                  <c:v>Social change </c:v>
                </c:pt>
                <c:pt idx="3">
                  <c:v>Environmental change </c:v>
                </c:pt>
              </c:strCache>
            </c:strRef>
          </c:cat>
          <c:val>
            <c:numRef>
              <c:f>Sheet1!$D$112:$G$112</c:f>
              <c:numCache>
                <c:formatCode>0.0%</c:formatCode>
                <c:ptCount val="4"/>
                <c:pt idx="0">
                  <c:v>0.10500000000000002</c:v>
                </c:pt>
                <c:pt idx="1">
                  <c:v>0.14500000000000007</c:v>
                </c:pt>
                <c:pt idx="2">
                  <c:v>0.112</c:v>
                </c:pt>
                <c:pt idx="3">
                  <c:v>0.13900000000000001</c:v>
                </c:pt>
              </c:numCache>
            </c:numRef>
          </c:val>
        </c:ser>
        <c:ser>
          <c:idx val="1"/>
          <c:order val="1"/>
          <c:tx>
            <c:strRef>
              <c:f>Sheet1!$C$113</c:f>
              <c:strCache>
                <c:ptCount val="1"/>
                <c:pt idx="0">
                  <c:v>No change</c:v>
                </c:pt>
              </c:strCache>
            </c:strRef>
          </c:tx>
          <c:invertIfNegative val="0"/>
          <c:cat>
            <c:strRef>
              <c:f>Sheet1!$D$111:$G$111</c:f>
              <c:strCache>
                <c:ptCount val="4"/>
                <c:pt idx="0">
                  <c:v>Physical change</c:v>
                </c:pt>
                <c:pt idx="1">
                  <c:v>Psychological change </c:v>
                </c:pt>
                <c:pt idx="2">
                  <c:v>Social change </c:v>
                </c:pt>
                <c:pt idx="3">
                  <c:v>Environmental change </c:v>
                </c:pt>
              </c:strCache>
            </c:strRef>
          </c:cat>
          <c:val>
            <c:numRef>
              <c:f>Sheet1!$D$113:$G$113</c:f>
              <c:numCache>
                <c:formatCode>0.0%</c:formatCode>
                <c:ptCount val="4"/>
                <c:pt idx="0">
                  <c:v>0.61700000000000033</c:v>
                </c:pt>
                <c:pt idx="1">
                  <c:v>0.48300000000000015</c:v>
                </c:pt>
                <c:pt idx="2">
                  <c:v>0.53500000000000003</c:v>
                </c:pt>
                <c:pt idx="3">
                  <c:v>0.53300000000000003</c:v>
                </c:pt>
              </c:numCache>
            </c:numRef>
          </c:val>
        </c:ser>
        <c:ser>
          <c:idx val="2"/>
          <c:order val="2"/>
          <c:tx>
            <c:strRef>
              <c:f>Sheet1!$C$114</c:f>
              <c:strCache>
                <c:ptCount val="1"/>
                <c:pt idx="0">
                  <c:v>Improved</c:v>
                </c:pt>
              </c:strCache>
            </c:strRef>
          </c:tx>
          <c:invertIfNegative val="0"/>
          <c:cat>
            <c:strRef>
              <c:f>Sheet1!$D$111:$G$111</c:f>
              <c:strCache>
                <c:ptCount val="4"/>
                <c:pt idx="0">
                  <c:v>Physical change</c:v>
                </c:pt>
                <c:pt idx="1">
                  <c:v>Psychological change </c:v>
                </c:pt>
                <c:pt idx="2">
                  <c:v>Social change </c:v>
                </c:pt>
                <c:pt idx="3">
                  <c:v>Environmental change </c:v>
                </c:pt>
              </c:strCache>
            </c:strRef>
          </c:cat>
          <c:val>
            <c:numRef>
              <c:f>Sheet1!$D$114:$G$114</c:f>
              <c:numCache>
                <c:formatCode>0.0%</c:formatCode>
                <c:ptCount val="4"/>
                <c:pt idx="0">
                  <c:v>0.27800000000000002</c:v>
                </c:pt>
                <c:pt idx="1">
                  <c:v>0.37300000000000016</c:v>
                </c:pt>
                <c:pt idx="2">
                  <c:v>0.35500000000000015</c:v>
                </c:pt>
                <c:pt idx="3">
                  <c:v>0.32800000000000018</c:v>
                </c:pt>
              </c:numCache>
            </c:numRef>
          </c:val>
        </c:ser>
        <c:dLbls>
          <c:showLegendKey val="0"/>
          <c:showVal val="0"/>
          <c:showCatName val="0"/>
          <c:showSerName val="0"/>
          <c:showPercent val="0"/>
          <c:showBubbleSize val="0"/>
        </c:dLbls>
        <c:gapWidth val="150"/>
        <c:axId val="373830400"/>
        <c:axId val="376758656"/>
      </c:barChart>
      <c:catAx>
        <c:axId val="373830400"/>
        <c:scaling>
          <c:orientation val="minMax"/>
        </c:scaling>
        <c:delete val="0"/>
        <c:axPos val="b"/>
        <c:title>
          <c:tx>
            <c:rich>
              <a:bodyPr/>
              <a:lstStyle/>
              <a:p>
                <a:pPr>
                  <a:defRPr/>
                </a:pPr>
                <a:r>
                  <a:rPr lang="en-AU"/>
                  <a:t>Domains</a:t>
                </a:r>
              </a:p>
            </c:rich>
          </c:tx>
          <c:layout/>
          <c:overlay val="0"/>
        </c:title>
        <c:numFmt formatCode="General" sourceLinked="0"/>
        <c:majorTickMark val="out"/>
        <c:minorTickMark val="none"/>
        <c:tickLblPos val="nextTo"/>
        <c:crossAx val="376758656"/>
        <c:crosses val="autoZero"/>
        <c:auto val="1"/>
        <c:lblAlgn val="ctr"/>
        <c:lblOffset val="100"/>
        <c:noMultiLvlLbl val="0"/>
      </c:catAx>
      <c:valAx>
        <c:axId val="376758656"/>
        <c:scaling>
          <c:orientation val="minMax"/>
        </c:scaling>
        <c:delete val="0"/>
        <c:axPos val="l"/>
        <c:numFmt formatCode="0.0%" sourceLinked="1"/>
        <c:majorTickMark val="out"/>
        <c:minorTickMark val="none"/>
        <c:tickLblPos val="nextTo"/>
        <c:crossAx val="37383040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Sheet1!$B$3:$H$3</c:f>
              <c:strCache>
                <c:ptCount val="7"/>
                <c:pt idx="0">
                  <c:v>-1</c:v>
                </c:pt>
                <c:pt idx="1">
                  <c:v>0</c:v>
                </c:pt>
                <c:pt idx="2">
                  <c:v>1</c:v>
                </c:pt>
                <c:pt idx="3">
                  <c:v>2</c:v>
                </c:pt>
                <c:pt idx="4">
                  <c:v>3</c:v>
                </c:pt>
                <c:pt idx="5">
                  <c:v>4</c:v>
                </c:pt>
                <c:pt idx="6">
                  <c:v>5</c:v>
                </c:pt>
              </c:strCache>
            </c:strRef>
          </c:cat>
          <c:val>
            <c:numRef>
              <c:f>Sheet1!$B$4:$H$4</c:f>
              <c:numCache>
                <c:formatCode>General</c:formatCode>
                <c:ptCount val="7"/>
                <c:pt idx="0">
                  <c:v>1.3</c:v>
                </c:pt>
                <c:pt idx="1">
                  <c:v>9.5</c:v>
                </c:pt>
                <c:pt idx="2">
                  <c:v>16.3</c:v>
                </c:pt>
                <c:pt idx="3">
                  <c:v>24.8</c:v>
                </c:pt>
                <c:pt idx="4">
                  <c:v>28.1</c:v>
                </c:pt>
                <c:pt idx="5">
                  <c:v>15.8</c:v>
                </c:pt>
                <c:pt idx="6">
                  <c:v>4.2</c:v>
                </c:pt>
              </c:numCache>
            </c:numRef>
          </c:val>
        </c:ser>
        <c:dLbls>
          <c:showLegendKey val="0"/>
          <c:showVal val="0"/>
          <c:showCatName val="0"/>
          <c:showSerName val="0"/>
          <c:showPercent val="0"/>
          <c:showBubbleSize val="0"/>
        </c:dLbls>
        <c:gapWidth val="150"/>
        <c:axId val="376821248"/>
        <c:axId val="376823168"/>
      </c:barChart>
      <c:catAx>
        <c:axId val="376821248"/>
        <c:scaling>
          <c:orientation val="minMax"/>
        </c:scaling>
        <c:delete val="0"/>
        <c:axPos val="b"/>
        <c:title>
          <c:tx>
            <c:rich>
              <a:bodyPr/>
              <a:lstStyle/>
              <a:p>
                <a:pPr>
                  <a:defRPr/>
                </a:pPr>
                <a:r>
                  <a:rPr lang="en-US"/>
                  <a:t>Optimal care pathway score</a:t>
                </a:r>
              </a:p>
            </c:rich>
          </c:tx>
          <c:layout/>
          <c:overlay val="0"/>
        </c:title>
        <c:numFmt formatCode="General" sourceLinked="0"/>
        <c:majorTickMark val="out"/>
        <c:minorTickMark val="none"/>
        <c:tickLblPos val="nextTo"/>
        <c:crossAx val="376823168"/>
        <c:crossesAt val="0"/>
        <c:auto val="1"/>
        <c:lblAlgn val="ctr"/>
        <c:lblOffset val="100"/>
        <c:noMultiLvlLbl val="0"/>
      </c:catAx>
      <c:valAx>
        <c:axId val="376823168"/>
        <c:scaling>
          <c:orientation val="minMax"/>
          <c:min val="0"/>
        </c:scaling>
        <c:delete val="0"/>
        <c:axPos val="l"/>
        <c:numFmt formatCode="General" sourceLinked="1"/>
        <c:majorTickMark val="out"/>
        <c:minorTickMark val="none"/>
        <c:tickLblPos val="nextTo"/>
        <c:crossAx val="376821248"/>
        <c:crosses val="autoZero"/>
        <c:crossBetween val="between"/>
      </c:valAx>
      <c:spPr>
        <a:noFill/>
      </c:spPr>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81A355-A08B-4A5D-A681-1B373CDA24CF}"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AU"/>
        </a:p>
      </dgm:t>
    </dgm:pt>
    <dgm:pt modelId="{08BED413-EF5B-4AF1-809D-45A2FA2D0E93}">
      <dgm:prSet phldrT="[Text]" custT="1"/>
      <dgm:spPr/>
      <dgm:t>
        <a:bodyPr/>
        <a:lstStyle/>
        <a:p>
          <a:r>
            <a:rPr lang="en-AU" sz="800" b="1"/>
            <a:t>1054</a:t>
          </a:r>
        </a:p>
        <a:p>
          <a:r>
            <a:rPr lang="en-AU" sz="800" b="1"/>
            <a:t>Referred for screening</a:t>
          </a:r>
        </a:p>
      </dgm:t>
    </dgm:pt>
    <dgm:pt modelId="{58E288F7-002E-4A29-B8D2-41FF714D9FA3}" type="parTrans" cxnId="{BAD8B89B-287A-4125-95E3-8E0FD35A44C1}">
      <dgm:prSet/>
      <dgm:spPr/>
      <dgm:t>
        <a:bodyPr/>
        <a:lstStyle/>
        <a:p>
          <a:endParaRPr lang="en-AU" b="1"/>
        </a:p>
      </dgm:t>
    </dgm:pt>
    <dgm:pt modelId="{992DA58F-CD90-40F5-9492-ACA8863EA224}" type="sibTrans" cxnId="{BAD8B89B-287A-4125-95E3-8E0FD35A44C1}">
      <dgm:prSet/>
      <dgm:spPr/>
      <dgm:t>
        <a:bodyPr/>
        <a:lstStyle/>
        <a:p>
          <a:endParaRPr lang="en-AU" b="1"/>
        </a:p>
      </dgm:t>
    </dgm:pt>
    <dgm:pt modelId="{B9493623-8865-4501-BF3B-D7C9D69EFFF1}">
      <dgm:prSet phldrT="[Text]" custT="1"/>
      <dgm:spPr/>
      <dgm:t>
        <a:bodyPr/>
        <a:lstStyle/>
        <a:p>
          <a:r>
            <a:rPr lang="en-AU" sz="800" b="1"/>
            <a:t>796</a:t>
          </a:r>
        </a:p>
        <a:p>
          <a:r>
            <a:rPr lang="en-AU" sz="800" b="1"/>
            <a:t>Completed</a:t>
          </a:r>
        </a:p>
      </dgm:t>
    </dgm:pt>
    <dgm:pt modelId="{A512E62B-C9B4-4604-B76A-E18C8B2F31FD}" type="parTrans" cxnId="{A4F0A5C8-C1C0-4246-91DB-B24F7176497E}">
      <dgm:prSet custT="1"/>
      <dgm:spPr/>
      <dgm:t>
        <a:bodyPr/>
        <a:lstStyle/>
        <a:p>
          <a:endParaRPr lang="en-AU" sz="700" b="1"/>
        </a:p>
      </dgm:t>
    </dgm:pt>
    <dgm:pt modelId="{1A192F9E-3115-4B7B-835A-B09929EBAB02}" type="sibTrans" cxnId="{A4F0A5C8-C1C0-4246-91DB-B24F7176497E}">
      <dgm:prSet/>
      <dgm:spPr/>
      <dgm:t>
        <a:bodyPr/>
        <a:lstStyle/>
        <a:p>
          <a:endParaRPr lang="en-AU" b="1"/>
        </a:p>
      </dgm:t>
    </dgm:pt>
    <dgm:pt modelId="{7EE0B7FB-9E28-4FFC-B998-175F45EE2739}">
      <dgm:prSet phldrT="[Text]" custT="1"/>
      <dgm:spPr/>
      <dgm:t>
        <a:bodyPr/>
        <a:lstStyle/>
        <a:p>
          <a:r>
            <a:rPr lang="en-AU" sz="800" b="1"/>
            <a:t>214 </a:t>
          </a:r>
        </a:p>
        <a:p>
          <a:r>
            <a:rPr lang="en-AU" sz="800" b="1"/>
            <a:t>Outpatient</a:t>
          </a:r>
        </a:p>
      </dgm:t>
    </dgm:pt>
    <dgm:pt modelId="{10EBB0B6-A97E-4573-A118-FC9B4CAB750B}" type="parTrans" cxnId="{BDE36E0D-638D-4987-900D-914B9A8FD4EC}">
      <dgm:prSet custT="1"/>
      <dgm:spPr/>
      <dgm:t>
        <a:bodyPr/>
        <a:lstStyle/>
        <a:p>
          <a:endParaRPr lang="en-AU" sz="700" b="1"/>
        </a:p>
      </dgm:t>
    </dgm:pt>
    <dgm:pt modelId="{C77033B9-E0BD-4B6E-B308-6D4F856C2CF0}" type="sibTrans" cxnId="{BDE36E0D-638D-4987-900D-914B9A8FD4EC}">
      <dgm:prSet/>
      <dgm:spPr/>
      <dgm:t>
        <a:bodyPr/>
        <a:lstStyle/>
        <a:p>
          <a:endParaRPr lang="en-AU" b="1"/>
        </a:p>
      </dgm:t>
    </dgm:pt>
    <dgm:pt modelId="{B73A4D79-D610-4619-9822-7F17FEDEC1EF}">
      <dgm:prSet phldrT="[Text]" custT="1"/>
      <dgm:spPr/>
      <dgm:t>
        <a:bodyPr/>
        <a:lstStyle/>
        <a:p>
          <a:r>
            <a:rPr lang="en-AU" sz="800" b="1"/>
            <a:t>350 </a:t>
          </a:r>
        </a:p>
        <a:p>
          <a:r>
            <a:rPr lang="en-AU" sz="800" b="1"/>
            <a:t>Inpatient Detox</a:t>
          </a:r>
        </a:p>
      </dgm:t>
    </dgm:pt>
    <dgm:pt modelId="{4918478F-D7A3-4126-A858-ED4AD724A19C}" type="parTrans" cxnId="{5EF8F71E-549A-48D7-A0E1-8B783A72D593}">
      <dgm:prSet custT="1"/>
      <dgm:spPr/>
      <dgm:t>
        <a:bodyPr/>
        <a:lstStyle/>
        <a:p>
          <a:endParaRPr lang="en-AU" sz="700" b="1"/>
        </a:p>
      </dgm:t>
    </dgm:pt>
    <dgm:pt modelId="{56FF8BFF-D891-484D-A160-2B5F9E807D8F}" type="sibTrans" cxnId="{5EF8F71E-549A-48D7-A0E1-8B783A72D593}">
      <dgm:prSet/>
      <dgm:spPr/>
      <dgm:t>
        <a:bodyPr/>
        <a:lstStyle/>
        <a:p>
          <a:endParaRPr lang="en-AU" b="1"/>
        </a:p>
      </dgm:t>
    </dgm:pt>
    <dgm:pt modelId="{DA57D6B7-48E7-47BA-9520-413E26BE1F86}">
      <dgm:prSet phldrT="[Text]" custT="1"/>
      <dgm:spPr/>
      <dgm:t>
        <a:bodyPr/>
        <a:lstStyle/>
        <a:p>
          <a:r>
            <a:rPr lang="en-AU" sz="800" b="1"/>
            <a:t>258 </a:t>
          </a:r>
        </a:p>
        <a:p>
          <a:r>
            <a:rPr lang="en-AU" sz="800" b="1"/>
            <a:t>Failed to complete screen</a:t>
          </a:r>
        </a:p>
      </dgm:t>
    </dgm:pt>
    <dgm:pt modelId="{2C7E14AC-789E-400B-BE5D-F3D6F2B748E0}" type="parTrans" cxnId="{4CA8B333-806B-4C4E-AE0E-A706BA4939F2}">
      <dgm:prSet custT="1"/>
      <dgm:spPr/>
      <dgm:t>
        <a:bodyPr/>
        <a:lstStyle/>
        <a:p>
          <a:endParaRPr lang="en-AU" sz="700" b="1"/>
        </a:p>
      </dgm:t>
    </dgm:pt>
    <dgm:pt modelId="{D6C904C8-DCFD-4270-8C6B-7E0451639AF4}" type="sibTrans" cxnId="{4CA8B333-806B-4C4E-AE0E-A706BA4939F2}">
      <dgm:prSet/>
      <dgm:spPr/>
      <dgm:t>
        <a:bodyPr/>
        <a:lstStyle/>
        <a:p>
          <a:endParaRPr lang="en-AU" b="1"/>
        </a:p>
      </dgm:t>
    </dgm:pt>
    <dgm:pt modelId="{8B2CB265-D489-4A9D-AAD4-887538F3D5E5}">
      <dgm:prSet phldrT="[Text]" custT="1"/>
      <dgm:spPr/>
      <dgm:t>
        <a:bodyPr/>
        <a:lstStyle/>
        <a:p>
          <a:r>
            <a:rPr lang="en-AU" sz="800" b="1"/>
            <a:t>81 </a:t>
          </a:r>
        </a:p>
        <a:p>
          <a:r>
            <a:rPr lang="en-AU" sz="800" b="1"/>
            <a:t>Ineligable</a:t>
          </a:r>
        </a:p>
      </dgm:t>
    </dgm:pt>
    <dgm:pt modelId="{8DFD033E-1C7D-4BEB-8E9C-ABF30DD87A95}" type="parTrans" cxnId="{786F4EAA-E018-420E-A240-22B2F1C936D8}">
      <dgm:prSet custT="1"/>
      <dgm:spPr/>
      <dgm:t>
        <a:bodyPr/>
        <a:lstStyle/>
        <a:p>
          <a:endParaRPr lang="en-AU" sz="700" b="1"/>
        </a:p>
      </dgm:t>
    </dgm:pt>
    <dgm:pt modelId="{2FEA5AB6-6D9F-4B3A-9C59-DD1CB7578D54}" type="sibTrans" cxnId="{786F4EAA-E018-420E-A240-22B2F1C936D8}">
      <dgm:prSet/>
      <dgm:spPr/>
      <dgm:t>
        <a:bodyPr/>
        <a:lstStyle/>
        <a:p>
          <a:endParaRPr lang="en-AU" b="1"/>
        </a:p>
      </dgm:t>
    </dgm:pt>
    <dgm:pt modelId="{7A09D59D-B023-41A2-A387-93CCCCEDCC04}">
      <dgm:prSet custT="1"/>
      <dgm:spPr/>
      <dgm:t>
        <a:bodyPr/>
        <a:lstStyle/>
        <a:p>
          <a:r>
            <a:rPr lang="en-AU" sz="800" b="1"/>
            <a:t>232</a:t>
          </a:r>
        </a:p>
        <a:p>
          <a:r>
            <a:rPr lang="en-AU" sz="800" b="1"/>
            <a:t>Residential Rehab</a:t>
          </a:r>
        </a:p>
      </dgm:t>
    </dgm:pt>
    <dgm:pt modelId="{1BCBE8EF-4B94-488A-8B2D-57B628E2EAE8}" type="parTrans" cxnId="{6A7071A4-A6BF-45DD-85A1-162E7A97072E}">
      <dgm:prSet custT="1"/>
      <dgm:spPr/>
      <dgm:t>
        <a:bodyPr/>
        <a:lstStyle/>
        <a:p>
          <a:endParaRPr lang="en-AU" sz="700" b="1"/>
        </a:p>
      </dgm:t>
    </dgm:pt>
    <dgm:pt modelId="{D0118036-618F-4238-A64E-B32B593E2198}" type="sibTrans" cxnId="{6A7071A4-A6BF-45DD-85A1-162E7A97072E}">
      <dgm:prSet/>
      <dgm:spPr/>
      <dgm:t>
        <a:bodyPr/>
        <a:lstStyle/>
        <a:p>
          <a:endParaRPr lang="en-AU" b="1"/>
        </a:p>
      </dgm:t>
    </dgm:pt>
    <dgm:pt modelId="{24F120E7-5E65-4233-9A7A-C96277AFE254}">
      <dgm:prSet custT="1"/>
      <dgm:spPr/>
      <dgm:t>
        <a:bodyPr/>
        <a:lstStyle/>
        <a:p>
          <a:r>
            <a:rPr lang="en-AU" sz="800" b="1"/>
            <a:t>26 </a:t>
          </a:r>
        </a:p>
        <a:p>
          <a:r>
            <a:rPr lang="en-AU" sz="800" b="1"/>
            <a:t>Declined</a:t>
          </a:r>
        </a:p>
      </dgm:t>
    </dgm:pt>
    <dgm:pt modelId="{C8C52333-8A90-4C5C-BF84-C9AA4906FA1B}" type="parTrans" cxnId="{FA50EF65-F3ED-4A0B-959C-FDAC7FAC4223}">
      <dgm:prSet custT="1"/>
      <dgm:spPr/>
      <dgm:t>
        <a:bodyPr/>
        <a:lstStyle/>
        <a:p>
          <a:endParaRPr lang="en-AU" sz="700" b="1"/>
        </a:p>
      </dgm:t>
    </dgm:pt>
    <dgm:pt modelId="{6DB09DEE-2AB0-494E-83E7-4BD9247B21B6}" type="sibTrans" cxnId="{FA50EF65-F3ED-4A0B-959C-FDAC7FAC4223}">
      <dgm:prSet/>
      <dgm:spPr/>
      <dgm:t>
        <a:bodyPr/>
        <a:lstStyle/>
        <a:p>
          <a:endParaRPr lang="en-AU" b="1"/>
        </a:p>
      </dgm:t>
    </dgm:pt>
    <dgm:pt modelId="{D451A345-2BF2-43D3-96CD-4F449503705C}">
      <dgm:prSet custT="1"/>
      <dgm:spPr/>
      <dgm:t>
        <a:bodyPr/>
        <a:lstStyle/>
        <a:p>
          <a:r>
            <a:rPr lang="en-AU" sz="800" b="1"/>
            <a:t>151</a:t>
          </a:r>
        </a:p>
        <a:p>
          <a:r>
            <a:rPr lang="en-AU" sz="800" b="1"/>
            <a:t>Non-contactable</a:t>
          </a:r>
        </a:p>
      </dgm:t>
    </dgm:pt>
    <dgm:pt modelId="{E6ACBB0C-7088-4618-B896-C801C516AA30}" type="parTrans" cxnId="{73F42F9E-8319-481F-8AFA-D32F13A5CCEA}">
      <dgm:prSet custT="1"/>
      <dgm:spPr/>
      <dgm:t>
        <a:bodyPr/>
        <a:lstStyle/>
        <a:p>
          <a:endParaRPr lang="en-AU" sz="700" b="1"/>
        </a:p>
      </dgm:t>
    </dgm:pt>
    <dgm:pt modelId="{3301055E-AB15-4D0F-95F8-0CBBE3A1D552}" type="sibTrans" cxnId="{73F42F9E-8319-481F-8AFA-D32F13A5CCEA}">
      <dgm:prSet/>
      <dgm:spPr/>
      <dgm:t>
        <a:bodyPr/>
        <a:lstStyle/>
        <a:p>
          <a:endParaRPr lang="en-AU" b="1"/>
        </a:p>
      </dgm:t>
    </dgm:pt>
    <dgm:pt modelId="{181CE218-FDE5-45D6-9BF9-3828F3482521}">
      <dgm:prSet custT="1"/>
      <dgm:spPr/>
      <dgm:t>
        <a:bodyPr/>
        <a:lstStyle/>
        <a:p>
          <a:r>
            <a:rPr lang="en-AU" sz="800" b="1"/>
            <a:t>176</a:t>
          </a:r>
        </a:p>
        <a:p>
          <a:r>
            <a:rPr lang="en-AU" sz="800" b="1"/>
            <a:t>Followed up</a:t>
          </a:r>
        </a:p>
      </dgm:t>
    </dgm:pt>
    <dgm:pt modelId="{33FDD9D5-166F-4AC8-9EFE-103FDEC48392}" type="parTrans" cxnId="{151F7443-3E62-4503-8FAD-5EFC25D9D647}">
      <dgm:prSet custT="1"/>
      <dgm:spPr/>
      <dgm:t>
        <a:bodyPr/>
        <a:lstStyle/>
        <a:p>
          <a:endParaRPr lang="en-AU" sz="700" b="1"/>
        </a:p>
      </dgm:t>
    </dgm:pt>
    <dgm:pt modelId="{323A573D-94FD-4F91-A53E-D2EE8361AFBF}" type="sibTrans" cxnId="{151F7443-3E62-4503-8FAD-5EFC25D9D647}">
      <dgm:prSet/>
      <dgm:spPr/>
      <dgm:t>
        <a:bodyPr/>
        <a:lstStyle/>
        <a:p>
          <a:endParaRPr lang="en-AU" b="1"/>
        </a:p>
      </dgm:t>
    </dgm:pt>
    <dgm:pt modelId="{6A96F143-D10F-40F7-A2F6-C388265788A1}">
      <dgm:prSet custT="1"/>
      <dgm:spPr/>
      <dgm:t>
        <a:bodyPr/>
        <a:lstStyle/>
        <a:p>
          <a:r>
            <a:rPr lang="en-AU" sz="800" b="1"/>
            <a:t>38</a:t>
          </a:r>
        </a:p>
        <a:p>
          <a:r>
            <a:rPr lang="en-AU" sz="800" b="1"/>
            <a:t>Lost</a:t>
          </a:r>
        </a:p>
      </dgm:t>
    </dgm:pt>
    <dgm:pt modelId="{B78CE4DF-F17D-44C9-8630-6EFC322266CA}" type="parTrans" cxnId="{0DB102C6-5F10-45A3-B7D3-4D7445E4A998}">
      <dgm:prSet custT="1"/>
      <dgm:spPr/>
      <dgm:t>
        <a:bodyPr/>
        <a:lstStyle/>
        <a:p>
          <a:endParaRPr lang="en-AU" sz="700" b="1"/>
        </a:p>
      </dgm:t>
    </dgm:pt>
    <dgm:pt modelId="{CF363263-B9B3-4DFA-A477-DBCA8638F3B1}" type="sibTrans" cxnId="{0DB102C6-5F10-45A3-B7D3-4D7445E4A998}">
      <dgm:prSet/>
      <dgm:spPr/>
      <dgm:t>
        <a:bodyPr/>
        <a:lstStyle/>
        <a:p>
          <a:endParaRPr lang="en-AU" b="1"/>
        </a:p>
      </dgm:t>
    </dgm:pt>
    <dgm:pt modelId="{EC82A317-8FE7-4AE3-A1BA-65DA906F756D}">
      <dgm:prSet custT="1"/>
      <dgm:spPr/>
      <dgm:t>
        <a:bodyPr/>
        <a:lstStyle/>
        <a:p>
          <a:r>
            <a:rPr lang="en-AU" sz="800" b="1"/>
            <a:t>241</a:t>
          </a:r>
        </a:p>
        <a:p>
          <a:r>
            <a:rPr lang="en-AU" sz="800" b="1"/>
            <a:t>Followed up</a:t>
          </a:r>
        </a:p>
      </dgm:t>
    </dgm:pt>
    <dgm:pt modelId="{BC5DEE5B-9777-4C47-AA0C-D03402F7C89D}" type="parTrans" cxnId="{79E0E77E-83E9-4A80-A4E3-5A9EC7E69C0C}">
      <dgm:prSet custT="1"/>
      <dgm:spPr/>
      <dgm:t>
        <a:bodyPr/>
        <a:lstStyle/>
        <a:p>
          <a:endParaRPr lang="en-AU" sz="700" b="1"/>
        </a:p>
      </dgm:t>
    </dgm:pt>
    <dgm:pt modelId="{62AF0A97-AED4-4333-801A-029D5FFB46E6}" type="sibTrans" cxnId="{79E0E77E-83E9-4A80-A4E3-5A9EC7E69C0C}">
      <dgm:prSet/>
      <dgm:spPr/>
      <dgm:t>
        <a:bodyPr/>
        <a:lstStyle/>
        <a:p>
          <a:endParaRPr lang="en-AU" b="1"/>
        </a:p>
      </dgm:t>
    </dgm:pt>
    <dgm:pt modelId="{B2296AC5-921C-4018-B953-888EED88508F}">
      <dgm:prSet custT="1"/>
      <dgm:spPr/>
      <dgm:t>
        <a:bodyPr/>
        <a:lstStyle/>
        <a:p>
          <a:r>
            <a:rPr lang="en-AU" sz="800" b="1"/>
            <a:t>109</a:t>
          </a:r>
        </a:p>
        <a:p>
          <a:r>
            <a:rPr lang="en-AU" sz="800" b="1"/>
            <a:t>Lost</a:t>
          </a:r>
        </a:p>
      </dgm:t>
    </dgm:pt>
    <dgm:pt modelId="{87C70866-91FC-4B07-A2E1-7F003996A31D}" type="parTrans" cxnId="{3D6A8920-B32B-4F1B-8BBA-D1052AA05E6E}">
      <dgm:prSet custT="1"/>
      <dgm:spPr/>
      <dgm:t>
        <a:bodyPr/>
        <a:lstStyle/>
        <a:p>
          <a:endParaRPr lang="en-AU" sz="700" b="1"/>
        </a:p>
      </dgm:t>
    </dgm:pt>
    <dgm:pt modelId="{69D7F6E6-5952-4A3D-8C3A-50934297BD9C}" type="sibTrans" cxnId="{3D6A8920-B32B-4F1B-8BBA-D1052AA05E6E}">
      <dgm:prSet/>
      <dgm:spPr/>
      <dgm:t>
        <a:bodyPr/>
        <a:lstStyle/>
        <a:p>
          <a:endParaRPr lang="en-AU" b="1"/>
        </a:p>
      </dgm:t>
    </dgm:pt>
    <dgm:pt modelId="{9FBFFDEB-F4D5-422A-A9B4-B3673B2DBA6E}">
      <dgm:prSet custT="1"/>
      <dgm:spPr/>
      <dgm:t>
        <a:bodyPr/>
        <a:lstStyle/>
        <a:p>
          <a:r>
            <a:rPr lang="en-AU" sz="800" b="1"/>
            <a:t>138</a:t>
          </a:r>
        </a:p>
        <a:p>
          <a:r>
            <a:rPr lang="en-AU" sz="800" b="1"/>
            <a:t>Followed up</a:t>
          </a:r>
        </a:p>
      </dgm:t>
    </dgm:pt>
    <dgm:pt modelId="{27C0F39B-42DD-4A98-A74F-AEC5E6192A57}" type="parTrans" cxnId="{C8BE1D44-133D-4E96-9C34-F9DC29C31D42}">
      <dgm:prSet custT="1"/>
      <dgm:spPr/>
      <dgm:t>
        <a:bodyPr/>
        <a:lstStyle/>
        <a:p>
          <a:endParaRPr lang="en-AU" sz="700" b="1"/>
        </a:p>
      </dgm:t>
    </dgm:pt>
    <dgm:pt modelId="{EBED2320-7C92-4161-B54F-8D9D46DD5847}" type="sibTrans" cxnId="{C8BE1D44-133D-4E96-9C34-F9DC29C31D42}">
      <dgm:prSet/>
      <dgm:spPr/>
      <dgm:t>
        <a:bodyPr/>
        <a:lstStyle/>
        <a:p>
          <a:endParaRPr lang="en-AU" b="1"/>
        </a:p>
      </dgm:t>
    </dgm:pt>
    <dgm:pt modelId="{81AFA1AD-634F-43B2-AD6C-6AF0C3EC2E9D}">
      <dgm:prSet custT="1"/>
      <dgm:spPr/>
      <dgm:t>
        <a:bodyPr/>
        <a:lstStyle/>
        <a:p>
          <a:r>
            <a:rPr lang="en-AU" sz="800" b="1"/>
            <a:t>94</a:t>
          </a:r>
        </a:p>
        <a:p>
          <a:r>
            <a:rPr lang="en-AU" sz="800" b="1"/>
            <a:t>Lost</a:t>
          </a:r>
        </a:p>
      </dgm:t>
    </dgm:pt>
    <dgm:pt modelId="{BB331EF2-F5AF-4E45-A298-905DC42AD62A}" type="parTrans" cxnId="{28EB061B-B2B9-4191-807B-05EB7BAC6D30}">
      <dgm:prSet custT="1"/>
      <dgm:spPr/>
      <dgm:t>
        <a:bodyPr/>
        <a:lstStyle/>
        <a:p>
          <a:endParaRPr lang="en-AU" sz="700" b="1"/>
        </a:p>
      </dgm:t>
    </dgm:pt>
    <dgm:pt modelId="{4452A863-9F47-40F9-81A1-B34D103372AE}" type="sibTrans" cxnId="{28EB061B-B2B9-4191-807B-05EB7BAC6D30}">
      <dgm:prSet/>
      <dgm:spPr/>
      <dgm:t>
        <a:bodyPr/>
        <a:lstStyle/>
        <a:p>
          <a:endParaRPr lang="en-AU" b="1"/>
        </a:p>
      </dgm:t>
    </dgm:pt>
    <dgm:pt modelId="{ED41A430-3E9D-414D-B8FA-E525E671AFB2}">
      <dgm:prSet custT="1"/>
      <dgm:spPr/>
      <dgm:t>
        <a:bodyPr/>
        <a:lstStyle/>
        <a:p>
          <a:r>
            <a:rPr lang="en-AU" sz="800" b="1"/>
            <a:t>84</a:t>
          </a:r>
        </a:p>
        <a:p>
          <a:r>
            <a:rPr lang="en-AU" sz="800" b="1"/>
            <a:t>Sucessful</a:t>
          </a:r>
        </a:p>
      </dgm:t>
    </dgm:pt>
    <dgm:pt modelId="{A2AF0CC2-CE4A-44CE-A00B-F624CCCA61FE}" type="parTrans" cxnId="{1C70C292-9D7B-4A72-B6FD-472D0B919506}">
      <dgm:prSet custT="1"/>
      <dgm:spPr/>
      <dgm:t>
        <a:bodyPr/>
        <a:lstStyle/>
        <a:p>
          <a:endParaRPr lang="en-AU" sz="700" b="1"/>
        </a:p>
      </dgm:t>
    </dgm:pt>
    <dgm:pt modelId="{840C07F2-115B-4870-BF6C-4732B8CAD334}" type="sibTrans" cxnId="{1C70C292-9D7B-4A72-B6FD-472D0B919506}">
      <dgm:prSet/>
      <dgm:spPr/>
      <dgm:t>
        <a:bodyPr/>
        <a:lstStyle/>
        <a:p>
          <a:endParaRPr lang="en-AU" b="1"/>
        </a:p>
      </dgm:t>
    </dgm:pt>
    <dgm:pt modelId="{9ECC1C47-AFB2-42EC-9125-D4AF6B038B19}">
      <dgm:prSet custT="1"/>
      <dgm:spPr/>
      <dgm:t>
        <a:bodyPr/>
        <a:lstStyle/>
        <a:p>
          <a:endParaRPr lang="en-AU" sz="800" b="1"/>
        </a:p>
        <a:p>
          <a:r>
            <a:rPr lang="en-AU" sz="800" b="1"/>
            <a:t>83</a:t>
          </a:r>
        </a:p>
        <a:p>
          <a:r>
            <a:rPr lang="en-AU" sz="800" b="1"/>
            <a:t>Unsuccessful</a:t>
          </a:r>
        </a:p>
        <a:p>
          <a:endParaRPr lang="en-AU" sz="800" b="1"/>
        </a:p>
      </dgm:t>
    </dgm:pt>
    <dgm:pt modelId="{5F0A52B8-E0C8-470C-8A70-777EDBE69F50}" type="parTrans" cxnId="{6A871F89-02BF-4B79-AD3C-88E5946FC63A}">
      <dgm:prSet custT="1"/>
      <dgm:spPr/>
      <dgm:t>
        <a:bodyPr/>
        <a:lstStyle/>
        <a:p>
          <a:endParaRPr lang="en-AU" sz="700" b="1"/>
        </a:p>
      </dgm:t>
    </dgm:pt>
    <dgm:pt modelId="{8D983F15-1592-4455-8A55-38799B7B2469}" type="sibTrans" cxnId="{6A871F89-02BF-4B79-AD3C-88E5946FC63A}">
      <dgm:prSet/>
      <dgm:spPr/>
      <dgm:t>
        <a:bodyPr/>
        <a:lstStyle/>
        <a:p>
          <a:endParaRPr lang="en-AU" b="1"/>
        </a:p>
      </dgm:t>
    </dgm:pt>
    <dgm:pt modelId="{6B4FC7AB-B8F5-4A05-A87A-14B282C351A1}">
      <dgm:prSet custT="1"/>
      <dgm:spPr/>
      <dgm:t>
        <a:bodyPr/>
        <a:lstStyle/>
        <a:p>
          <a:r>
            <a:rPr lang="en-AU" sz="800" b="1"/>
            <a:t>9</a:t>
          </a:r>
        </a:p>
        <a:p>
          <a:r>
            <a:rPr lang="en-AU" sz="800" b="1"/>
            <a:t>Missing</a:t>
          </a:r>
        </a:p>
      </dgm:t>
    </dgm:pt>
    <dgm:pt modelId="{DCF57280-F9FD-492B-941A-19FA2C2C8138}" type="parTrans" cxnId="{711B4CE8-EF57-4D68-9A3F-D99690023DDB}">
      <dgm:prSet custT="1"/>
      <dgm:spPr/>
      <dgm:t>
        <a:bodyPr/>
        <a:lstStyle/>
        <a:p>
          <a:endParaRPr lang="en-AU" sz="700" b="1"/>
        </a:p>
      </dgm:t>
    </dgm:pt>
    <dgm:pt modelId="{0C73183D-2238-4C82-BC88-ABCA2D31F8CE}" type="sibTrans" cxnId="{711B4CE8-EF57-4D68-9A3F-D99690023DDB}">
      <dgm:prSet/>
      <dgm:spPr/>
      <dgm:t>
        <a:bodyPr/>
        <a:lstStyle/>
        <a:p>
          <a:endParaRPr lang="en-AU" b="1"/>
        </a:p>
      </dgm:t>
    </dgm:pt>
    <dgm:pt modelId="{DF5ABDAF-E91B-4EAD-ADF1-7133E583DC92}">
      <dgm:prSet custT="1"/>
      <dgm:spPr/>
      <dgm:t>
        <a:bodyPr/>
        <a:lstStyle/>
        <a:p>
          <a:r>
            <a:rPr lang="en-AU" sz="800" b="1"/>
            <a:t>118</a:t>
          </a:r>
        </a:p>
        <a:p>
          <a:r>
            <a:rPr lang="en-AU" sz="800" b="1"/>
            <a:t>Successful</a:t>
          </a:r>
        </a:p>
      </dgm:t>
    </dgm:pt>
    <dgm:pt modelId="{1DD64CBB-4A50-41DC-96EA-EB70AFCE00AF}" type="parTrans" cxnId="{E81B67CF-EC6A-4463-9B7C-291EE5AFDF7B}">
      <dgm:prSet custT="1"/>
      <dgm:spPr/>
      <dgm:t>
        <a:bodyPr/>
        <a:lstStyle/>
        <a:p>
          <a:endParaRPr lang="en-AU" sz="700" b="1"/>
        </a:p>
      </dgm:t>
    </dgm:pt>
    <dgm:pt modelId="{4ECA505D-4782-434A-8E60-067E2172AB36}" type="sibTrans" cxnId="{E81B67CF-EC6A-4463-9B7C-291EE5AFDF7B}">
      <dgm:prSet/>
      <dgm:spPr/>
      <dgm:t>
        <a:bodyPr/>
        <a:lstStyle/>
        <a:p>
          <a:endParaRPr lang="en-AU" b="1"/>
        </a:p>
      </dgm:t>
    </dgm:pt>
    <dgm:pt modelId="{72351A3B-CA4F-46AD-A067-32BAE2663FAE}">
      <dgm:prSet custT="1"/>
      <dgm:spPr/>
      <dgm:t>
        <a:bodyPr/>
        <a:lstStyle/>
        <a:p>
          <a:r>
            <a:rPr lang="en-AU" sz="800" b="1"/>
            <a:t>116</a:t>
          </a:r>
        </a:p>
        <a:p>
          <a:r>
            <a:rPr lang="en-AU" sz="800" b="1"/>
            <a:t>Unsuccessful</a:t>
          </a:r>
        </a:p>
      </dgm:t>
    </dgm:pt>
    <dgm:pt modelId="{77EF115C-9796-473A-A8F7-BC04566CF088}" type="parTrans" cxnId="{C1582766-3B1F-466F-9CA6-9D064CFF8386}">
      <dgm:prSet custT="1"/>
      <dgm:spPr/>
      <dgm:t>
        <a:bodyPr/>
        <a:lstStyle/>
        <a:p>
          <a:endParaRPr lang="en-AU" sz="700" b="1"/>
        </a:p>
      </dgm:t>
    </dgm:pt>
    <dgm:pt modelId="{9D02BA86-3126-4934-A823-2D7FC82F55E7}" type="sibTrans" cxnId="{C1582766-3B1F-466F-9CA6-9D064CFF8386}">
      <dgm:prSet/>
      <dgm:spPr/>
      <dgm:t>
        <a:bodyPr/>
        <a:lstStyle/>
        <a:p>
          <a:endParaRPr lang="en-AU" b="1"/>
        </a:p>
      </dgm:t>
    </dgm:pt>
    <dgm:pt modelId="{42A70311-54DD-422E-ADBD-C4FAB3AF00D4}">
      <dgm:prSet custT="1"/>
      <dgm:spPr/>
      <dgm:t>
        <a:bodyPr/>
        <a:lstStyle/>
        <a:p>
          <a:r>
            <a:rPr lang="en-AU" sz="800" b="1"/>
            <a:t>7</a:t>
          </a:r>
        </a:p>
        <a:p>
          <a:r>
            <a:rPr lang="en-AU" sz="800" b="1"/>
            <a:t>Missing</a:t>
          </a:r>
        </a:p>
      </dgm:t>
    </dgm:pt>
    <dgm:pt modelId="{8C4F6588-E22C-40EC-B619-ACA17967C22D}" type="parTrans" cxnId="{6C4A7BB1-CF78-43ED-AF9F-77CC4D8C9C79}">
      <dgm:prSet custT="1"/>
      <dgm:spPr/>
      <dgm:t>
        <a:bodyPr/>
        <a:lstStyle/>
        <a:p>
          <a:endParaRPr lang="en-AU" sz="700" b="1"/>
        </a:p>
      </dgm:t>
    </dgm:pt>
    <dgm:pt modelId="{CB701ABE-FA04-46DC-8700-3BADDCF57595}" type="sibTrans" cxnId="{6C4A7BB1-CF78-43ED-AF9F-77CC4D8C9C79}">
      <dgm:prSet/>
      <dgm:spPr/>
      <dgm:t>
        <a:bodyPr/>
        <a:lstStyle/>
        <a:p>
          <a:endParaRPr lang="en-AU" b="1"/>
        </a:p>
      </dgm:t>
    </dgm:pt>
    <dgm:pt modelId="{875B664A-794F-4C94-AEB7-EA4976C00961}">
      <dgm:prSet custT="1"/>
      <dgm:spPr/>
      <dgm:t>
        <a:bodyPr/>
        <a:lstStyle/>
        <a:p>
          <a:r>
            <a:rPr lang="en-AU" sz="800" b="1"/>
            <a:t>85</a:t>
          </a:r>
        </a:p>
        <a:p>
          <a:r>
            <a:rPr lang="en-AU" sz="800" b="1"/>
            <a:t>Sucessful</a:t>
          </a:r>
        </a:p>
      </dgm:t>
    </dgm:pt>
    <dgm:pt modelId="{0FEACB3B-A947-40A3-97AA-728B24ECD229}" type="parTrans" cxnId="{2FCDFAC1-6E20-4072-AF0F-39637282FC31}">
      <dgm:prSet custT="1"/>
      <dgm:spPr/>
      <dgm:t>
        <a:bodyPr/>
        <a:lstStyle/>
        <a:p>
          <a:endParaRPr lang="en-AU" sz="700" b="1"/>
        </a:p>
      </dgm:t>
    </dgm:pt>
    <dgm:pt modelId="{BAF79C6A-9C1B-4927-85C1-16001BABD034}" type="sibTrans" cxnId="{2FCDFAC1-6E20-4072-AF0F-39637282FC31}">
      <dgm:prSet/>
      <dgm:spPr/>
      <dgm:t>
        <a:bodyPr/>
        <a:lstStyle/>
        <a:p>
          <a:endParaRPr lang="en-AU" b="1"/>
        </a:p>
      </dgm:t>
    </dgm:pt>
    <dgm:pt modelId="{60146B18-7146-4880-AC62-5B408E87CBA3}">
      <dgm:prSet custT="1"/>
      <dgm:spPr/>
      <dgm:t>
        <a:bodyPr/>
        <a:lstStyle/>
        <a:p>
          <a:r>
            <a:rPr lang="en-AU" sz="800" b="1"/>
            <a:t>52</a:t>
          </a:r>
        </a:p>
        <a:p>
          <a:r>
            <a:rPr lang="en-AU" sz="800" b="1"/>
            <a:t>Unsucessful</a:t>
          </a:r>
        </a:p>
      </dgm:t>
    </dgm:pt>
    <dgm:pt modelId="{332FDED6-CD9E-49CC-AACD-C1BAE00B9156}" type="parTrans" cxnId="{5DA355A5-AD1F-4D87-834C-04A7CED5887A}">
      <dgm:prSet custT="1"/>
      <dgm:spPr/>
      <dgm:t>
        <a:bodyPr/>
        <a:lstStyle/>
        <a:p>
          <a:endParaRPr lang="en-AU" sz="700" b="1"/>
        </a:p>
      </dgm:t>
    </dgm:pt>
    <dgm:pt modelId="{E620B434-3486-4E23-BC49-561D7C0FEEBE}" type="sibTrans" cxnId="{5DA355A5-AD1F-4D87-834C-04A7CED5887A}">
      <dgm:prSet/>
      <dgm:spPr/>
      <dgm:t>
        <a:bodyPr/>
        <a:lstStyle/>
        <a:p>
          <a:endParaRPr lang="en-AU" b="1"/>
        </a:p>
      </dgm:t>
    </dgm:pt>
    <dgm:pt modelId="{3108EA56-0438-4A8E-8C66-EFA7BD63CD56}">
      <dgm:prSet custT="1"/>
      <dgm:spPr/>
      <dgm:t>
        <a:bodyPr/>
        <a:lstStyle/>
        <a:p>
          <a:r>
            <a:rPr lang="en-AU" sz="800" b="1"/>
            <a:t>1</a:t>
          </a:r>
        </a:p>
        <a:p>
          <a:r>
            <a:rPr lang="en-AU" sz="800" b="1"/>
            <a:t>Missing</a:t>
          </a:r>
        </a:p>
      </dgm:t>
    </dgm:pt>
    <dgm:pt modelId="{8F765444-7FB8-448F-81C4-AC2DEC01A0AF}" type="parTrans" cxnId="{F6FAE9DC-15F5-456A-B545-65EB65796DB0}">
      <dgm:prSet custT="1"/>
      <dgm:spPr/>
      <dgm:t>
        <a:bodyPr/>
        <a:lstStyle/>
        <a:p>
          <a:endParaRPr lang="en-AU" sz="700" b="1"/>
        </a:p>
      </dgm:t>
    </dgm:pt>
    <dgm:pt modelId="{FAB99569-CE09-4B5B-A18A-ED14613DA47B}" type="sibTrans" cxnId="{F6FAE9DC-15F5-456A-B545-65EB65796DB0}">
      <dgm:prSet/>
      <dgm:spPr/>
      <dgm:t>
        <a:bodyPr/>
        <a:lstStyle/>
        <a:p>
          <a:endParaRPr lang="en-AU" b="1"/>
        </a:p>
      </dgm:t>
    </dgm:pt>
    <dgm:pt modelId="{1FFC9314-E0D1-4D26-AD5A-A7F310219F32}" type="pres">
      <dgm:prSet presAssocID="{1A81A355-A08B-4A5D-A681-1B373CDA24CF}" presName="mainComposite" presStyleCnt="0">
        <dgm:presLayoutVars>
          <dgm:chPref val="1"/>
          <dgm:dir/>
          <dgm:animOne val="branch"/>
          <dgm:animLvl val="lvl"/>
          <dgm:resizeHandles val="exact"/>
        </dgm:presLayoutVars>
      </dgm:prSet>
      <dgm:spPr/>
      <dgm:t>
        <a:bodyPr/>
        <a:lstStyle/>
        <a:p>
          <a:endParaRPr lang="en-AU"/>
        </a:p>
      </dgm:t>
    </dgm:pt>
    <dgm:pt modelId="{687143A1-7BB4-470B-9227-00A1FEC197A6}" type="pres">
      <dgm:prSet presAssocID="{1A81A355-A08B-4A5D-A681-1B373CDA24CF}" presName="hierFlow" presStyleCnt="0"/>
      <dgm:spPr/>
      <dgm:t>
        <a:bodyPr/>
        <a:lstStyle/>
        <a:p>
          <a:endParaRPr lang="en-AU"/>
        </a:p>
      </dgm:t>
    </dgm:pt>
    <dgm:pt modelId="{37E12A99-D969-4669-B803-7F281906B6FD}" type="pres">
      <dgm:prSet presAssocID="{1A81A355-A08B-4A5D-A681-1B373CDA24CF}" presName="hierChild1" presStyleCnt="0">
        <dgm:presLayoutVars>
          <dgm:chPref val="1"/>
          <dgm:animOne val="branch"/>
          <dgm:animLvl val="lvl"/>
        </dgm:presLayoutVars>
      </dgm:prSet>
      <dgm:spPr/>
      <dgm:t>
        <a:bodyPr/>
        <a:lstStyle/>
        <a:p>
          <a:endParaRPr lang="en-AU"/>
        </a:p>
      </dgm:t>
    </dgm:pt>
    <dgm:pt modelId="{D6BC240F-E7B8-4498-92D8-021288744B5B}" type="pres">
      <dgm:prSet presAssocID="{08BED413-EF5B-4AF1-809D-45A2FA2D0E93}" presName="Name17" presStyleCnt="0"/>
      <dgm:spPr/>
      <dgm:t>
        <a:bodyPr/>
        <a:lstStyle/>
        <a:p>
          <a:endParaRPr lang="en-AU"/>
        </a:p>
      </dgm:t>
    </dgm:pt>
    <dgm:pt modelId="{BA5B2336-AC11-4855-A94E-5AF90CF28641}" type="pres">
      <dgm:prSet presAssocID="{08BED413-EF5B-4AF1-809D-45A2FA2D0E93}" presName="level1Shape" presStyleLbl="node0" presStyleIdx="0" presStyleCnt="1">
        <dgm:presLayoutVars>
          <dgm:chPref val="3"/>
        </dgm:presLayoutVars>
      </dgm:prSet>
      <dgm:spPr/>
      <dgm:t>
        <a:bodyPr/>
        <a:lstStyle/>
        <a:p>
          <a:endParaRPr lang="en-AU"/>
        </a:p>
      </dgm:t>
    </dgm:pt>
    <dgm:pt modelId="{57E84DD7-489B-4024-B17C-0BFF5644CF2D}" type="pres">
      <dgm:prSet presAssocID="{08BED413-EF5B-4AF1-809D-45A2FA2D0E93}" presName="hierChild2" presStyleCnt="0"/>
      <dgm:spPr/>
      <dgm:t>
        <a:bodyPr/>
        <a:lstStyle/>
        <a:p>
          <a:endParaRPr lang="en-AU"/>
        </a:p>
      </dgm:t>
    </dgm:pt>
    <dgm:pt modelId="{B44AFB69-4BDF-47F6-80A1-234DAB0752F2}" type="pres">
      <dgm:prSet presAssocID="{A512E62B-C9B4-4604-B76A-E18C8B2F31FD}" presName="Name25" presStyleLbl="parChTrans1D2" presStyleIdx="0" presStyleCnt="2"/>
      <dgm:spPr/>
      <dgm:t>
        <a:bodyPr/>
        <a:lstStyle/>
        <a:p>
          <a:endParaRPr lang="en-AU"/>
        </a:p>
      </dgm:t>
    </dgm:pt>
    <dgm:pt modelId="{BE2B20F7-4DC4-4B7E-AAEB-9B28C3E1E3A4}" type="pres">
      <dgm:prSet presAssocID="{A512E62B-C9B4-4604-B76A-E18C8B2F31FD}" presName="connTx" presStyleLbl="parChTrans1D2" presStyleIdx="0" presStyleCnt="2"/>
      <dgm:spPr/>
      <dgm:t>
        <a:bodyPr/>
        <a:lstStyle/>
        <a:p>
          <a:endParaRPr lang="en-AU"/>
        </a:p>
      </dgm:t>
    </dgm:pt>
    <dgm:pt modelId="{1F58DC2B-6DFB-4CE8-B977-CB62F590BBF1}" type="pres">
      <dgm:prSet presAssocID="{B9493623-8865-4501-BF3B-D7C9D69EFFF1}" presName="Name30" presStyleCnt="0"/>
      <dgm:spPr/>
      <dgm:t>
        <a:bodyPr/>
        <a:lstStyle/>
        <a:p>
          <a:endParaRPr lang="en-AU"/>
        </a:p>
      </dgm:t>
    </dgm:pt>
    <dgm:pt modelId="{10542345-F55A-45FA-9557-183EEC17BBA2}" type="pres">
      <dgm:prSet presAssocID="{B9493623-8865-4501-BF3B-D7C9D69EFFF1}" presName="level2Shape" presStyleLbl="node2" presStyleIdx="0" presStyleCnt="2"/>
      <dgm:spPr/>
      <dgm:t>
        <a:bodyPr/>
        <a:lstStyle/>
        <a:p>
          <a:endParaRPr lang="en-AU"/>
        </a:p>
      </dgm:t>
    </dgm:pt>
    <dgm:pt modelId="{0CDA59B7-EE96-4773-86FF-F072D9D6E2B6}" type="pres">
      <dgm:prSet presAssocID="{B9493623-8865-4501-BF3B-D7C9D69EFFF1}" presName="hierChild3" presStyleCnt="0"/>
      <dgm:spPr/>
      <dgm:t>
        <a:bodyPr/>
        <a:lstStyle/>
        <a:p>
          <a:endParaRPr lang="en-AU"/>
        </a:p>
      </dgm:t>
    </dgm:pt>
    <dgm:pt modelId="{D8928978-CA07-4C05-ADBC-DF6F58DB52C3}" type="pres">
      <dgm:prSet presAssocID="{10EBB0B6-A97E-4573-A118-FC9B4CAB750B}" presName="Name25" presStyleLbl="parChTrans1D3" presStyleIdx="0" presStyleCnt="6"/>
      <dgm:spPr/>
      <dgm:t>
        <a:bodyPr/>
        <a:lstStyle/>
        <a:p>
          <a:endParaRPr lang="en-AU"/>
        </a:p>
      </dgm:t>
    </dgm:pt>
    <dgm:pt modelId="{C3E8BA35-D965-4113-A4A8-A974DDF4F570}" type="pres">
      <dgm:prSet presAssocID="{10EBB0B6-A97E-4573-A118-FC9B4CAB750B}" presName="connTx" presStyleLbl="parChTrans1D3" presStyleIdx="0" presStyleCnt="6"/>
      <dgm:spPr/>
      <dgm:t>
        <a:bodyPr/>
        <a:lstStyle/>
        <a:p>
          <a:endParaRPr lang="en-AU"/>
        </a:p>
      </dgm:t>
    </dgm:pt>
    <dgm:pt modelId="{3584C342-11E3-4EC8-BCDA-662EE1D1CB79}" type="pres">
      <dgm:prSet presAssocID="{7EE0B7FB-9E28-4FFC-B998-175F45EE2739}" presName="Name30" presStyleCnt="0"/>
      <dgm:spPr/>
      <dgm:t>
        <a:bodyPr/>
        <a:lstStyle/>
        <a:p>
          <a:endParaRPr lang="en-AU"/>
        </a:p>
      </dgm:t>
    </dgm:pt>
    <dgm:pt modelId="{02AB7DDD-D2FE-41E5-A94D-2D75FE68EF1E}" type="pres">
      <dgm:prSet presAssocID="{7EE0B7FB-9E28-4FFC-B998-175F45EE2739}" presName="level2Shape" presStyleLbl="node3" presStyleIdx="0" presStyleCnt="6"/>
      <dgm:spPr/>
      <dgm:t>
        <a:bodyPr/>
        <a:lstStyle/>
        <a:p>
          <a:endParaRPr lang="en-AU"/>
        </a:p>
      </dgm:t>
    </dgm:pt>
    <dgm:pt modelId="{1B360FC1-C7AC-4565-854F-386E495A9161}" type="pres">
      <dgm:prSet presAssocID="{7EE0B7FB-9E28-4FFC-B998-175F45EE2739}" presName="hierChild3" presStyleCnt="0"/>
      <dgm:spPr/>
      <dgm:t>
        <a:bodyPr/>
        <a:lstStyle/>
        <a:p>
          <a:endParaRPr lang="en-AU"/>
        </a:p>
      </dgm:t>
    </dgm:pt>
    <dgm:pt modelId="{FECD328B-D947-4370-A8CB-7CCA71CE1D5C}" type="pres">
      <dgm:prSet presAssocID="{33FDD9D5-166F-4AC8-9EFE-103FDEC48392}" presName="Name25" presStyleLbl="parChTrans1D4" presStyleIdx="0" presStyleCnt="15"/>
      <dgm:spPr/>
      <dgm:t>
        <a:bodyPr/>
        <a:lstStyle/>
        <a:p>
          <a:endParaRPr lang="en-AU"/>
        </a:p>
      </dgm:t>
    </dgm:pt>
    <dgm:pt modelId="{D9BB9416-5BFF-4C75-BF81-C806944E6D6E}" type="pres">
      <dgm:prSet presAssocID="{33FDD9D5-166F-4AC8-9EFE-103FDEC48392}" presName="connTx" presStyleLbl="parChTrans1D4" presStyleIdx="0" presStyleCnt="15"/>
      <dgm:spPr/>
      <dgm:t>
        <a:bodyPr/>
        <a:lstStyle/>
        <a:p>
          <a:endParaRPr lang="en-AU"/>
        </a:p>
      </dgm:t>
    </dgm:pt>
    <dgm:pt modelId="{CDB7DC47-82F5-4BDF-BDBF-E75868C5B00E}" type="pres">
      <dgm:prSet presAssocID="{181CE218-FDE5-45D6-9BF9-3828F3482521}" presName="Name30" presStyleCnt="0"/>
      <dgm:spPr/>
      <dgm:t>
        <a:bodyPr/>
        <a:lstStyle/>
        <a:p>
          <a:endParaRPr lang="en-AU"/>
        </a:p>
      </dgm:t>
    </dgm:pt>
    <dgm:pt modelId="{34069703-A687-4A3A-9882-288D568F4C3A}" type="pres">
      <dgm:prSet presAssocID="{181CE218-FDE5-45D6-9BF9-3828F3482521}" presName="level2Shape" presStyleLbl="node4" presStyleIdx="0" presStyleCnt="15"/>
      <dgm:spPr/>
      <dgm:t>
        <a:bodyPr/>
        <a:lstStyle/>
        <a:p>
          <a:endParaRPr lang="en-AU"/>
        </a:p>
      </dgm:t>
    </dgm:pt>
    <dgm:pt modelId="{8C34EB5E-2248-43BA-B426-87744C44F85B}" type="pres">
      <dgm:prSet presAssocID="{181CE218-FDE5-45D6-9BF9-3828F3482521}" presName="hierChild3" presStyleCnt="0"/>
      <dgm:spPr/>
      <dgm:t>
        <a:bodyPr/>
        <a:lstStyle/>
        <a:p>
          <a:endParaRPr lang="en-AU"/>
        </a:p>
      </dgm:t>
    </dgm:pt>
    <dgm:pt modelId="{29452E0A-DEA1-444D-8B10-7DE21E58F3AA}" type="pres">
      <dgm:prSet presAssocID="{A2AF0CC2-CE4A-44CE-A00B-F624CCCA61FE}" presName="Name25" presStyleLbl="parChTrans1D4" presStyleIdx="1" presStyleCnt="15"/>
      <dgm:spPr/>
      <dgm:t>
        <a:bodyPr/>
        <a:lstStyle/>
        <a:p>
          <a:endParaRPr lang="en-AU"/>
        </a:p>
      </dgm:t>
    </dgm:pt>
    <dgm:pt modelId="{CAB301BD-ADCD-43E6-B274-D441FBE12953}" type="pres">
      <dgm:prSet presAssocID="{A2AF0CC2-CE4A-44CE-A00B-F624CCCA61FE}" presName="connTx" presStyleLbl="parChTrans1D4" presStyleIdx="1" presStyleCnt="15"/>
      <dgm:spPr/>
      <dgm:t>
        <a:bodyPr/>
        <a:lstStyle/>
        <a:p>
          <a:endParaRPr lang="en-AU"/>
        </a:p>
      </dgm:t>
    </dgm:pt>
    <dgm:pt modelId="{2C3580EE-5E8A-4066-87B0-41E91886E07C}" type="pres">
      <dgm:prSet presAssocID="{ED41A430-3E9D-414D-B8FA-E525E671AFB2}" presName="Name30" presStyleCnt="0"/>
      <dgm:spPr/>
      <dgm:t>
        <a:bodyPr/>
        <a:lstStyle/>
        <a:p>
          <a:endParaRPr lang="en-AU"/>
        </a:p>
      </dgm:t>
    </dgm:pt>
    <dgm:pt modelId="{09BD0F80-B05E-4575-B744-037A126F0939}" type="pres">
      <dgm:prSet presAssocID="{ED41A430-3E9D-414D-B8FA-E525E671AFB2}" presName="level2Shape" presStyleLbl="node4" presStyleIdx="1" presStyleCnt="15"/>
      <dgm:spPr/>
      <dgm:t>
        <a:bodyPr/>
        <a:lstStyle/>
        <a:p>
          <a:endParaRPr lang="en-AU"/>
        </a:p>
      </dgm:t>
    </dgm:pt>
    <dgm:pt modelId="{301517C0-3504-4409-842C-C882CE41623A}" type="pres">
      <dgm:prSet presAssocID="{ED41A430-3E9D-414D-B8FA-E525E671AFB2}" presName="hierChild3" presStyleCnt="0"/>
      <dgm:spPr/>
      <dgm:t>
        <a:bodyPr/>
        <a:lstStyle/>
        <a:p>
          <a:endParaRPr lang="en-AU"/>
        </a:p>
      </dgm:t>
    </dgm:pt>
    <dgm:pt modelId="{812774F8-F848-4EC0-8DB8-26BCBFA53B28}" type="pres">
      <dgm:prSet presAssocID="{5F0A52B8-E0C8-470C-8A70-777EDBE69F50}" presName="Name25" presStyleLbl="parChTrans1D4" presStyleIdx="2" presStyleCnt="15"/>
      <dgm:spPr/>
      <dgm:t>
        <a:bodyPr/>
        <a:lstStyle/>
        <a:p>
          <a:endParaRPr lang="en-AU"/>
        </a:p>
      </dgm:t>
    </dgm:pt>
    <dgm:pt modelId="{6A8DC63F-8F25-43C5-95BC-A1FFB72D1D85}" type="pres">
      <dgm:prSet presAssocID="{5F0A52B8-E0C8-470C-8A70-777EDBE69F50}" presName="connTx" presStyleLbl="parChTrans1D4" presStyleIdx="2" presStyleCnt="15"/>
      <dgm:spPr/>
      <dgm:t>
        <a:bodyPr/>
        <a:lstStyle/>
        <a:p>
          <a:endParaRPr lang="en-AU"/>
        </a:p>
      </dgm:t>
    </dgm:pt>
    <dgm:pt modelId="{2AA59832-7871-426D-BA5D-DB44EA26FADC}" type="pres">
      <dgm:prSet presAssocID="{9ECC1C47-AFB2-42EC-9125-D4AF6B038B19}" presName="Name30" presStyleCnt="0"/>
      <dgm:spPr/>
      <dgm:t>
        <a:bodyPr/>
        <a:lstStyle/>
        <a:p>
          <a:endParaRPr lang="en-AU"/>
        </a:p>
      </dgm:t>
    </dgm:pt>
    <dgm:pt modelId="{801117D0-30FC-4B1C-8441-CDB82E1D2310}" type="pres">
      <dgm:prSet presAssocID="{9ECC1C47-AFB2-42EC-9125-D4AF6B038B19}" presName="level2Shape" presStyleLbl="node4" presStyleIdx="2" presStyleCnt="15"/>
      <dgm:spPr/>
      <dgm:t>
        <a:bodyPr/>
        <a:lstStyle/>
        <a:p>
          <a:endParaRPr lang="en-AU"/>
        </a:p>
      </dgm:t>
    </dgm:pt>
    <dgm:pt modelId="{790F1D6C-ACFE-4DD7-8AEE-1BD9171E45DB}" type="pres">
      <dgm:prSet presAssocID="{9ECC1C47-AFB2-42EC-9125-D4AF6B038B19}" presName="hierChild3" presStyleCnt="0"/>
      <dgm:spPr/>
      <dgm:t>
        <a:bodyPr/>
        <a:lstStyle/>
        <a:p>
          <a:endParaRPr lang="en-AU"/>
        </a:p>
      </dgm:t>
    </dgm:pt>
    <dgm:pt modelId="{DE9564A2-42EE-4EBD-86F2-51FDA32BB63A}" type="pres">
      <dgm:prSet presAssocID="{DCF57280-F9FD-492B-941A-19FA2C2C8138}" presName="Name25" presStyleLbl="parChTrans1D4" presStyleIdx="3" presStyleCnt="15"/>
      <dgm:spPr/>
      <dgm:t>
        <a:bodyPr/>
        <a:lstStyle/>
        <a:p>
          <a:endParaRPr lang="en-AU"/>
        </a:p>
      </dgm:t>
    </dgm:pt>
    <dgm:pt modelId="{AC1B941B-11EE-4914-B924-7882A9EC33A7}" type="pres">
      <dgm:prSet presAssocID="{DCF57280-F9FD-492B-941A-19FA2C2C8138}" presName="connTx" presStyleLbl="parChTrans1D4" presStyleIdx="3" presStyleCnt="15"/>
      <dgm:spPr/>
      <dgm:t>
        <a:bodyPr/>
        <a:lstStyle/>
        <a:p>
          <a:endParaRPr lang="en-AU"/>
        </a:p>
      </dgm:t>
    </dgm:pt>
    <dgm:pt modelId="{AA34BD37-D70A-4130-A0C9-D1A666925CCC}" type="pres">
      <dgm:prSet presAssocID="{6B4FC7AB-B8F5-4A05-A87A-14B282C351A1}" presName="Name30" presStyleCnt="0"/>
      <dgm:spPr/>
      <dgm:t>
        <a:bodyPr/>
        <a:lstStyle/>
        <a:p>
          <a:endParaRPr lang="en-AU"/>
        </a:p>
      </dgm:t>
    </dgm:pt>
    <dgm:pt modelId="{2949A10B-E99A-455E-834B-5A1797423AD3}" type="pres">
      <dgm:prSet presAssocID="{6B4FC7AB-B8F5-4A05-A87A-14B282C351A1}" presName="level2Shape" presStyleLbl="node4" presStyleIdx="3" presStyleCnt="15"/>
      <dgm:spPr/>
      <dgm:t>
        <a:bodyPr/>
        <a:lstStyle/>
        <a:p>
          <a:endParaRPr lang="en-AU"/>
        </a:p>
      </dgm:t>
    </dgm:pt>
    <dgm:pt modelId="{A28C3209-0154-41AA-8825-BFBBFBE44B83}" type="pres">
      <dgm:prSet presAssocID="{6B4FC7AB-B8F5-4A05-A87A-14B282C351A1}" presName="hierChild3" presStyleCnt="0"/>
      <dgm:spPr/>
      <dgm:t>
        <a:bodyPr/>
        <a:lstStyle/>
        <a:p>
          <a:endParaRPr lang="en-AU"/>
        </a:p>
      </dgm:t>
    </dgm:pt>
    <dgm:pt modelId="{66F4DD1F-EEBE-4791-9ACF-62647BE52F1F}" type="pres">
      <dgm:prSet presAssocID="{B78CE4DF-F17D-44C9-8630-6EFC322266CA}" presName="Name25" presStyleLbl="parChTrans1D4" presStyleIdx="4" presStyleCnt="15"/>
      <dgm:spPr/>
      <dgm:t>
        <a:bodyPr/>
        <a:lstStyle/>
        <a:p>
          <a:endParaRPr lang="en-AU"/>
        </a:p>
      </dgm:t>
    </dgm:pt>
    <dgm:pt modelId="{648F6D1A-92CC-4E5D-812E-6477BE777E8E}" type="pres">
      <dgm:prSet presAssocID="{B78CE4DF-F17D-44C9-8630-6EFC322266CA}" presName="connTx" presStyleLbl="parChTrans1D4" presStyleIdx="4" presStyleCnt="15"/>
      <dgm:spPr/>
      <dgm:t>
        <a:bodyPr/>
        <a:lstStyle/>
        <a:p>
          <a:endParaRPr lang="en-AU"/>
        </a:p>
      </dgm:t>
    </dgm:pt>
    <dgm:pt modelId="{D49C4C43-C7EB-4A20-8B3A-DF747B535FED}" type="pres">
      <dgm:prSet presAssocID="{6A96F143-D10F-40F7-A2F6-C388265788A1}" presName="Name30" presStyleCnt="0"/>
      <dgm:spPr/>
      <dgm:t>
        <a:bodyPr/>
        <a:lstStyle/>
        <a:p>
          <a:endParaRPr lang="en-AU"/>
        </a:p>
      </dgm:t>
    </dgm:pt>
    <dgm:pt modelId="{99326077-B656-4B7A-AB0A-0C5C38597939}" type="pres">
      <dgm:prSet presAssocID="{6A96F143-D10F-40F7-A2F6-C388265788A1}" presName="level2Shape" presStyleLbl="node4" presStyleIdx="4" presStyleCnt="15"/>
      <dgm:spPr/>
      <dgm:t>
        <a:bodyPr/>
        <a:lstStyle/>
        <a:p>
          <a:endParaRPr lang="en-AU"/>
        </a:p>
      </dgm:t>
    </dgm:pt>
    <dgm:pt modelId="{F9F9BA09-E361-4414-B7FF-2E148B9E50AE}" type="pres">
      <dgm:prSet presAssocID="{6A96F143-D10F-40F7-A2F6-C388265788A1}" presName="hierChild3" presStyleCnt="0"/>
      <dgm:spPr/>
      <dgm:t>
        <a:bodyPr/>
        <a:lstStyle/>
        <a:p>
          <a:endParaRPr lang="en-AU"/>
        </a:p>
      </dgm:t>
    </dgm:pt>
    <dgm:pt modelId="{ABE86191-48DC-4857-B8C1-FE4B1B2573E3}" type="pres">
      <dgm:prSet presAssocID="{4918478F-D7A3-4126-A858-ED4AD724A19C}" presName="Name25" presStyleLbl="parChTrans1D3" presStyleIdx="1" presStyleCnt="6"/>
      <dgm:spPr/>
      <dgm:t>
        <a:bodyPr/>
        <a:lstStyle/>
        <a:p>
          <a:endParaRPr lang="en-AU"/>
        </a:p>
      </dgm:t>
    </dgm:pt>
    <dgm:pt modelId="{BB516A11-B309-46E5-8662-525CF7CF8766}" type="pres">
      <dgm:prSet presAssocID="{4918478F-D7A3-4126-A858-ED4AD724A19C}" presName="connTx" presStyleLbl="parChTrans1D3" presStyleIdx="1" presStyleCnt="6"/>
      <dgm:spPr/>
      <dgm:t>
        <a:bodyPr/>
        <a:lstStyle/>
        <a:p>
          <a:endParaRPr lang="en-AU"/>
        </a:p>
      </dgm:t>
    </dgm:pt>
    <dgm:pt modelId="{8F5E04EC-D139-477E-A50E-831369B915EE}" type="pres">
      <dgm:prSet presAssocID="{B73A4D79-D610-4619-9822-7F17FEDEC1EF}" presName="Name30" presStyleCnt="0"/>
      <dgm:spPr/>
      <dgm:t>
        <a:bodyPr/>
        <a:lstStyle/>
        <a:p>
          <a:endParaRPr lang="en-AU"/>
        </a:p>
      </dgm:t>
    </dgm:pt>
    <dgm:pt modelId="{2D111339-D58B-4D31-918A-504F61F82AD6}" type="pres">
      <dgm:prSet presAssocID="{B73A4D79-D610-4619-9822-7F17FEDEC1EF}" presName="level2Shape" presStyleLbl="node3" presStyleIdx="1" presStyleCnt="6"/>
      <dgm:spPr/>
      <dgm:t>
        <a:bodyPr/>
        <a:lstStyle/>
        <a:p>
          <a:endParaRPr lang="en-AU"/>
        </a:p>
      </dgm:t>
    </dgm:pt>
    <dgm:pt modelId="{AA14474E-F7ED-4DC0-A278-1220C2758AE6}" type="pres">
      <dgm:prSet presAssocID="{B73A4D79-D610-4619-9822-7F17FEDEC1EF}" presName="hierChild3" presStyleCnt="0"/>
      <dgm:spPr/>
      <dgm:t>
        <a:bodyPr/>
        <a:lstStyle/>
        <a:p>
          <a:endParaRPr lang="en-AU"/>
        </a:p>
      </dgm:t>
    </dgm:pt>
    <dgm:pt modelId="{80346E09-0D6C-4238-A57F-233AE34EFF56}" type="pres">
      <dgm:prSet presAssocID="{BC5DEE5B-9777-4C47-AA0C-D03402F7C89D}" presName="Name25" presStyleLbl="parChTrans1D4" presStyleIdx="5" presStyleCnt="15"/>
      <dgm:spPr/>
      <dgm:t>
        <a:bodyPr/>
        <a:lstStyle/>
        <a:p>
          <a:endParaRPr lang="en-AU"/>
        </a:p>
      </dgm:t>
    </dgm:pt>
    <dgm:pt modelId="{979EF651-D924-40CF-8968-67A002B195D7}" type="pres">
      <dgm:prSet presAssocID="{BC5DEE5B-9777-4C47-AA0C-D03402F7C89D}" presName="connTx" presStyleLbl="parChTrans1D4" presStyleIdx="5" presStyleCnt="15"/>
      <dgm:spPr/>
      <dgm:t>
        <a:bodyPr/>
        <a:lstStyle/>
        <a:p>
          <a:endParaRPr lang="en-AU"/>
        </a:p>
      </dgm:t>
    </dgm:pt>
    <dgm:pt modelId="{DECB7C98-7D4E-41E0-B049-36B08CF8C032}" type="pres">
      <dgm:prSet presAssocID="{EC82A317-8FE7-4AE3-A1BA-65DA906F756D}" presName="Name30" presStyleCnt="0"/>
      <dgm:spPr/>
      <dgm:t>
        <a:bodyPr/>
        <a:lstStyle/>
        <a:p>
          <a:endParaRPr lang="en-AU"/>
        </a:p>
      </dgm:t>
    </dgm:pt>
    <dgm:pt modelId="{A587465A-920E-4954-A298-8146F065C754}" type="pres">
      <dgm:prSet presAssocID="{EC82A317-8FE7-4AE3-A1BA-65DA906F756D}" presName="level2Shape" presStyleLbl="node4" presStyleIdx="5" presStyleCnt="15"/>
      <dgm:spPr/>
      <dgm:t>
        <a:bodyPr/>
        <a:lstStyle/>
        <a:p>
          <a:endParaRPr lang="en-AU"/>
        </a:p>
      </dgm:t>
    </dgm:pt>
    <dgm:pt modelId="{8E1F29B2-1D8E-466D-A610-E588FE199CB8}" type="pres">
      <dgm:prSet presAssocID="{EC82A317-8FE7-4AE3-A1BA-65DA906F756D}" presName="hierChild3" presStyleCnt="0"/>
      <dgm:spPr/>
      <dgm:t>
        <a:bodyPr/>
        <a:lstStyle/>
        <a:p>
          <a:endParaRPr lang="en-AU"/>
        </a:p>
      </dgm:t>
    </dgm:pt>
    <dgm:pt modelId="{8D7C31E9-C3E0-41EE-B20E-2A88ECA12124}" type="pres">
      <dgm:prSet presAssocID="{1DD64CBB-4A50-41DC-96EA-EB70AFCE00AF}" presName="Name25" presStyleLbl="parChTrans1D4" presStyleIdx="6" presStyleCnt="15"/>
      <dgm:spPr/>
      <dgm:t>
        <a:bodyPr/>
        <a:lstStyle/>
        <a:p>
          <a:endParaRPr lang="en-AU"/>
        </a:p>
      </dgm:t>
    </dgm:pt>
    <dgm:pt modelId="{33FDB367-029F-4BE0-A96E-058E8A137316}" type="pres">
      <dgm:prSet presAssocID="{1DD64CBB-4A50-41DC-96EA-EB70AFCE00AF}" presName="connTx" presStyleLbl="parChTrans1D4" presStyleIdx="6" presStyleCnt="15"/>
      <dgm:spPr/>
      <dgm:t>
        <a:bodyPr/>
        <a:lstStyle/>
        <a:p>
          <a:endParaRPr lang="en-AU"/>
        </a:p>
      </dgm:t>
    </dgm:pt>
    <dgm:pt modelId="{8571F01C-C251-4CCC-8D81-5C647C69FC94}" type="pres">
      <dgm:prSet presAssocID="{DF5ABDAF-E91B-4EAD-ADF1-7133E583DC92}" presName="Name30" presStyleCnt="0"/>
      <dgm:spPr/>
      <dgm:t>
        <a:bodyPr/>
        <a:lstStyle/>
        <a:p>
          <a:endParaRPr lang="en-AU"/>
        </a:p>
      </dgm:t>
    </dgm:pt>
    <dgm:pt modelId="{EC1DD8FD-688C-4E93-89FF-F3B27C362A4B}" type="pres">
      <dgm:prSet presAssocID="{DF5ABDAF-E91B-4EAD-ADF1-7133E583DC92}" presName="level2Shape" presStyleLbl="node4" presStyleIdx="6" presStyleCnt="15"/>
      <dgm:spPr/>
      <dgm:t>
        <a:bodyPr/>
        <a:lstStyle/>
        <a:p>
          <a:endParaRPr lang="en-AU"/>
        </a:p>
      </dgm:t>
    </dgm:pt>
    <dgm:pt modelId="{FE5F6AC6-E1D1-4658-98CE-06240C9B7D1F}" type="pres">
      <dgm:prSet presAssocID="{DF5ABDAF-E91B-4EAD-ADF1-7133E583DC92}" presName="hierChild3" presStyleCnt="0"/>
      <dgm:spPr/>
      <dgm:t>
        <a:bodyPr/>
        <a:lstStyle/>
        <a:p>
          <a:endParaRPr lang="en-AU"/>
        </a:p>
      </dgm:t>
    </dgm:pt>
    <dgm:pt modelId="{DA3862F4-2803-44FB-8362-FB70B8B3540E}" type="pres">
      <dgm:prSet presAssocID="{77EF115C-9796-473A-A8F7-BC04566CF088}" presName="Name25" presStyleLbl="parChTrans1D4" presStyleIdx="7" presStyleCnt="15"/>
      <dgm:spPr/>
      <dgm:t>
        <a:bodyPr/>
        <a:lstStyle/>
        <a:p>
          <a:endParaRPr lang="en-AU"/>
        </a:p>
      </dgm:t>
    </dgm:pt>
    <dgm:pt modelId="{9B377034-C2E3-4FB2-BF26-BAE55B85375D}" type="pres">
      <dgm:prSet presAssocID="{77EF115C-9796-473A-A8F7-BC04566CF088}" presName="connTx" presStyleLbl="parChTrans1D4" presStyleIdx="7" presStyleCnt="15"/>
      <dgm:spPr/>
      <dgm:t>
        <a:bodyPr/>
        <a:lstStyle/>
        <a:p>
          <a:endParaRPr lang="en-AU"/>
        </a:p>
      </dgm:t>
    </dgm:pt>
    <dgm:pt modelId="{F5DD80D8-0CE9-4DE7-AF61-5B5CEECFB6C2}" type="pres">
      <dgm:prSet presAssocID="{72351A3B-CA4F-46AD-A067-32BAE2663FAE}" presName="Name30" presStyleCnt="0"/>
      <dgm:spPr/>
      <dgm:t>
        <a:bodyPr/>
        <a:lstStyle/>
        <a:p>
          <a:endParaRPr lang="en-AU"/>
        </a:p>
      </dgm:t>
    </dgm:pt>
    <dgm:pt modelId="{B371E648-3135-4746-899D-54A9997E45A7}" type="pres">
      <dgm:prSet presAssocID="{72351A3B-CA4F-46AD-A067-32BAE2663FAE}" presName="level2Shape" presStyleLbl="node4" presStyleIdx="7" presStyleCnt="15"/>
      <dgm:spPr/>
      <dgm:t>
        <a:bodyPr/>
        <a:lstStyle/>
        <a:p>
          <a:endParaRPr lang="en-AU"/>
        </a:p>
      </dgm:t>
    </dgm:pt>
    <dgm:pt modelId="{1427B5F4-692B-46A0-846D-269D9231D810}" type="pres">
      <dgm:prSet presAssocID="{72351A3B-CA4F-46AD-A067-32BAE2663FAE}" presName="hierChild3" presStyleCnt="0"/>
      <dgm:spPr/>
      <dgm:t>
        <a:bodyPr/>
        <a:lstStyle/>
        <a:p>
          <a:endParaRPr lang="en-AU"/>
        </a:p>
      </dgm:t>
    </dgm:pt>
    <dgm:pt modelId="{7815704F-21B9-4D20-8109-94191230A9CB}" type="pres">
      <dgm:prSet presAssocID="{8C4F6588-E22C-40EC-B619-ACA17967C22D}" presName="Name25" presStyleLbl="parChTrans1D4" presStyleIdx="8" presStyleCnt="15"/>
      <dgm:spPr/>
      <dgm:t>
        <a:bodyPr/>
        <a:lstStyle/>
        <a:p>
          <a:endParaRPr lang="en-AU"/>
        </a:p>
      </dgm:t>
    </dgm:pt>
    <dgm:pt modelId="{78008BB3-7250-4CD1-BABC-7C8406C636A6}" type="pres">
      <dgm:prSet presAssocID="{8C4F6588-E22C-40EC-B619-ACA17967C22D}" presName="connTx" presStyleLbl="parChTrans1D4" presStyleIdx="8" presStyleCnt="15"/>
      <dgm:spPr/>
      <dgm:t>
        <a:bodyPr/>
        <a:lstStyle/>
        <a:p>
          <a:endParaRPr lang="en-AU"/>
        </a:p>
      </dgm:t>
    </dgm:pt>
    <dgm:pt modelId="{AAE9C2E5-12D5-4D72-8264-435F89C893FA}" type="pres">
      <dgm:prSet presAssocID="{42A70311-54DD-422E-ADBD-C4FAB3AF00D4}" presName="Name30" presStyleCnt="0"/>
      <dgm:spPr/>
      <dgm:t>
        <a:bodyPr/>
        <a:lstStyle/>
        <a:p>
          <a:endParaRPr lang="en-AU"/>
        </a:p>
      </dgm:t>
    </dgm:pt>
    <dgm:pt modelId="{417CE763-226E-421A-A2ED-B13648A6F9B6}" type="pres">
      <dgm:prSet presAssocID="{42A70311-54DD-422E-ADBD-C4FAB3AF00D4}" presName="level2Shape" presStyleLbl="node4" presStyleIdx="8" presStyleCnt="15"/>
      <dgm:spPr/>
      <dgm:t>
        <a:bodyPr/>
        <a:lstStyle/>
        <a:p>
          <a:endParaRPr lang="en-AU"/>
        </a:p>
      </dgm:t>
    </dgm:pt>
    <dgm:pt modelId="{D42F8746-2C29-4E34-B49B-D093FB5FDCAA}" type="pres">
      <dgm:prSet presAssocID="{42A70311-54DD-422E-ADBD-C4FAB3AF00D4}" presName="hierChild3" presStyleCnt="0"/>
      <dgm:spPr/>
      <dgm:t>
        <a:bodyPr/>
        <a:lstStyle/>
        <a:p>
          <a:endParaRPr lang="en-AU"/>
        </a:p>
      </dgm:t>
    </dgm:pt>
    <dgm:pt modelId="{2B8BEE0C-CE19-4AB9-8BF1-7D734699FF1E}" type="pres">
      <dgm:prSet presAssocID="{87C70866-91FC-4B07-A2E1-7F003996A31D}" presName="Name25" presStyleLbl="parChTrans1D4" presStyleIdx="9" presStyleCnt="15"/>
      <dgm:spPr/>
      <dgm:t>
        <a:bodyPr/>
        <a:lstStyle/>
        <a:p>
          <a:endParaRPr lang="en-AU"/>
        </a:p>
      </dgm:t>
    </dgm:pt>
    <dgm:pt modelId="{C56A27BC-B4EC-49E2-BC67-551992123AFB}" type="pres">
      <dgm:prSet presAssocID="{87C70866-91FC-4B07-A2E1-7F003996A31D}" presName="connTx" presStyleLbl="parChTrans1D4" presStyleIdx="9" presStyleCnt="15"/>
      <dgm:spPr/>
      <dgm:t>
        <a:bodyPr/>
        <a:lstStyle/>
        <a:p>
          <a:endParaRPr lang="en-AU"/>
        </a:p>
      </dgm:t>
    </dgm:pt>
    <dgm:pt modelId="{92B02756-01CC-4F19-B72C-2B1533FCF8EE}" type="pres">
      <dgm:prSet presAssocID="{B2296AC5-921C-4018-B953-888EED88508F}" presName="Name30" presStyleCnt="0"/>
      <dgm:spPr/>
      <dgm:t>
        <a:bodyPr/>
        <a:lstStyle/>
        <a:p>
          <a:endParaRPr lang="en-AU"/>
        </a:p>
      </dgm:t>
    </dgm:pt>
    <dgm:pt modelId="{EDABB4A0-2E25-4E08-B9B7-9EAFD7F19330}" type="pres">
      <dgm:prSet presAssocID="{B2296AC5-921C-4018-B953-888EED88508F}" presName="level2Shape" presStyleLbl="node4" presStyleIdx="9" presStyleCnt="15"/>
      <dgm:spPr/>
      <dgm:t>
        <a:bodyPr/>
        <a:lstStyle/>
        <a:p>
          <a:endParaRPr lang="en-AU"/>
        </a:p>
      </dgm:t>
    </dgm:pt>
    <dgm:pt modelId="{F3E9A30E-AC98-443E-876B-A5EA7D5890C0}" type="pres">
      <dgm:prSet presAssocID="{B2296AC5-921C-4018-B953-888EED88508F}" presName="hierChild3" presStyleCnt="0"/>
      <dgm:spPr/>
      <dgm:t>
        <a:bodyPr/>
        <a:lstStyle/>
        <a:p>
          <a:endParaRPr lang="en-AU"/>
        </a:p>
      </dgm:t>
    </dgm:pt>
    <dgm:pt modelId="{6EAEEBAD-278B-48E1-A749-7550CE7F5737}" type="pres">
      <dgm:prSet presAssocID="{1BCBE8EF-4B94-488A-8B2D-57B628E2EAE8}" presName="Name25" presStyleLbl="parChTrans1D3" presStyleIdx="2" presStyleCnt="6"/>
      <dgm:spPr/>
      <dgm:t>
        <a:bodyPr/>
        <a:lstStyle/>
        <a:p>
          <a:endParaRPr lang="en-AU"/>
        </a:p>
      </dgm:t>
    </dgm:pt>
    <dgm:pt modelId="{50138C9B-0159-44C9-B8DB-1A259CDD7DF9}" type="pres">
      <dgm:prSet presAssocID="{1BCBE8EF-4B94-488A-8B2D-57B628E2EAE8}" presName="connTx" presStyleLbl="parChTrans1D3" presStyleIdx="2" presStyleCnt="6"/>
      <dgm:spPr/>
      <dgm:t>
        <a:bodyPr/>
        <a:lstStyle/>
        <a:p>
          <a:endParaRPr lang="en-AU"/>
        </a:p>
      </dgm:t>
    </dgm:pt>
    <dgm:pt modelId="{2CA589F4-1765-45CB-84C5-35CC65B03ACB}" type="pres">
      <dgm:prSet presAssocID="{7A09D59D-B023-41A2-A387-93CCCCEDCC04}" presName="Name30" presStyleCnt="0"/>
      <dgm:spPr/>
      <dgm:t>
        <a:bodyPr/>
        <a:lstStyle/>
        <a:p>
          <a:endParaRPr lang="en-AU"/>
        </a:p>
      </dgm:t>
    </dgm:pt>
    <dgm:pt modelId="{D290BF90-4F32-4016-8A8F-E313C05CE7AC}" type="pres">
      <dgm:prSet presAssocID="{7A09D59D-B023-41A2-A387-93CCCCEDCC04}" presName="level2Shape" presStyleLbl="node3" presStyleIdx="2" presStyleCnt="6"/>
      <dgm:spPr/>
      <dgm:t>
        <a:bodyPr/>
        <a:lstStyle/>
        <a:p>
          <a:endParaRPr lang="en-AU"/>
        </a:p>
      </dgm:t>
    </dgm:pt>
    <dgm:pt modelId="{8ECA93E4-32BC-45DC-A77D-AD25C011EC7A}" type="pres">
      <dgm:prSet presAssocID="{7A09D59D-B023-41A2-A387-93CCCCEDCC04}" presName="hierChild3" presStyleCnt="0"/>
      <dgm:spPr/>
      <dgm:t>
        <a:bodyPr/>
        <a:lstStyle/>
        <a:p>
          <a:endParaRPr lang="en-AU"/>
        </a:p>
      </dgm:t>
    </dgm:pt>
    <dgm:pt modelId="{90DFE0E2-23E1-4CBF-A0A3-1F890F447F7D}" type="pres">
      <dgm:prSet presAssocID="{27C0F39B-42DD-4A98-A74F-AEC5E6192A57}" presName="Name25" presStyleLbl="parChTrans1D4" presStyleIdx="10" presStyleCnt="15"/>
      <dgm:spPr/>
      <dgm:t>
        <a:bodyPr/>
        <a:lstStyle/>
        <a:p>
          <a:endParaRPr lang="en-AU"/>
        </a:p>
      </dgm:t>
    </dgm:pt>
    <dgm:pt modelId="{3C1C5B49-E5A0-4109-87E1-DB1C0665B98C}" type="pres">
      <dgm:prSet presAssocID="{27C0F39B-42DD-4A98-A74F-AEC5E6192A57}" presName="connTx" presStyleLbl="parChTrans1D4" presStyleIdx="10" presStyleCnt="15"/>
      <dgm:spPr/>
      <dgm:t>
        <a:bodyPr/>
        <a:lstStyle/>
        <a:p>
          <a:endParaRPr lang="en-AU"/>
        </a:p>
      </dgm:t>
    </dgm:pt>
    <dgm:pt modelId="{1FD27FE1-A79C-4574-B0A0-EC7F918719E0}" type="pres">
      <dgm:prSet presAssocID="{9FBFFDEB-F4D5-422A-A9B4-B3673B2DBA6E}" presName="Name30" presStyleCnt="0"/>
      <dgm:spPr/>
      <dgm:t>
        <a:bodyPr/>
        <a:lstStyle/>
        <a:p>
          <a:endParaRPr lang="en-AU"/>
        </a:p>
      </dgm:t>
    </dgm:pt>
    <dgm:pt modelId="{C1508B2E-F1E2-4A0D-B325-6FF8E68F662F}" type="pres">
      <dgm:prSet presAssocID="{9FBFFDEB-F4D5-422A-A9B4-B3673B2DBA6E}" presName="level2Shape" presStyleLbl="node4" presStyleIdx="10" presStyleCnt="15"/>
      <dgm:spPr/>
      <dgm:t>
        <a:bodyPr/>
        <a:lstStyle/>
        <a:p>
          <a:endParaRPr lang="en-AU"/>
        </a:p>
      </dgm:t>
    </dgm:pt>
    <dgm:pt modelId="{575276E7-515B-4C1C-ABEA-7BF6A9B64C56}" type="pres">
      <dgm:prSet presAssocID="{9FBFFDEB-F4D5-422A-A9B4-B3673B2DBA6E}" presName="hierChild3" presStyleCnt="0"/>
      <dgm:spPr/>
      <dgm:t>
        <a:bodyPr/>
        <a:lstStyle/>
        <a:p>
          <a:endParaRPr lang="en-AU"/>
        </a:p>
      </dgm:t>
    </dgm:pt>
    <dgm:pt modelId="{52343FEC-AA8D-4BF5-9E93-7707DB115815}" type="pres">
      <dgm:prSet presAssocID="{0FEACB3B-A947-40A3-97AA-728B24ECD229}" presName="Name25" presStyleLbl="parChTrans1D4" presStyleIdx="11" presStyleCnt="15"/>
      <dgm:spPr/>
      <dgm:t>
        <a:bodyPr/>
        <a:lstStyle/>
        <a:p>
          <a:endParaRPr lang="en-AU"/>
        </a:p>
      </dgm:t>
    </dgm:pt>
    <dgm:pt modelId="{5B163344-A3E7-4BB9-AD7B-EB14991B4C9C}" type="pres">
      <dgm:prSet presAssocID="{0FEACB3B-A947-40A3-97AA-728B24ECD229}" presName="connTx" presStyleLbl="parChTrans1D4" presStyleIdx="11" presStyleCnt="15"/>
      <dgm:spPr/>
      <dgm:t>
        <a:bodyPr/>
        <a:lstStyle/>
        <a:p>
          <a:endParaRPr lang="en-AU"/>
        </a:p>
      </dgm:t>
    </dgm:pt>
    <dgm:pt modelId="{1848A041-F152-400E-867E-C1804786A18C}" type="pres">
      <dgm:prSet presAssocID="{875B664A-794F-4C94-AEB7-EA4976C00961}" presName="Name30" presStyleCnt="0"/>
      <dgm:spPr/>
      <dgm:t>
        <a:bodyPr/>
        <a:lstStyle/>
        <a:p>
          <a:endParaRPr lang="en-AU"/>
        </a:p>
      </dgm:t>
    </dgm:pt>
    <dgm:pt modelId="{D931C509-0F57-4529-BF57-FDB0C6AE86B6}" type="pres">
      <dgm:prSet presAssocID="{875B664A-794F-4C94-AEB7-EA4976C00961}" presName="level2Shape" presStyleLbl="node4" presStyleIdx="11" presStyleCnt="15"/>
      <dgm:spPr/>
      <dgm:t>
        <a:bodyPr/>
        <a:lstStyle/>
        <a:p>
          <a:endParaRPr lang="en-AU"/>
        </a:p>
      </dgm:t>
    </dgm:pt>
    <dgm:pt modelId="{2C06C8F0-7E41-4A81-B616-1AD9F1CA98B1}" type="pres">
      <dgm:prSet presAssocID="{875B664A-794F-4C94-AEB7-EA4976C00961}" presName="hierChild3" presStyleCnt="0"/>
      <dgm:spPr/>
      <dgm:t>
        <a:bodyPr/>
        <a:lstStyle/>
        <a:p>
          <a:endParaRPr lang="en-AU"/>
        </a:p>
      </dgm:t>
    </dgm:pt>
    <dgm:pt modelId="{3B15D8BB-32D8-4C0C-B5A4-15B1E2ED03D9}" type="pres">
      <dgm:prSet presAssocID="{332FDED6-CD9E-49CC-AACD-C1BAE00B9156}" presName="Name25" presStyleLbl="parChTrans1D4" presStyleIdx="12" presStyleCnt="15"/>
      <dgm:spPr/>
      <dgm:t>
        <a:bodyPr/>
        <a:lstStyle/>
        <a:p>
          <a:endParaRPr lang="en-AU"/>
        </a:p>
      </dgm:t>
    </dgm:pt>
    <dgm:pt modelId="{62B2F4FE-0946-4796-90D6-08D67923ADF2}" type="pres">
      <dgm:prSet presAssocID="{332FDED6-CD9E-49CC-AACD-C1BAE00B9156}" presName="connTx" presStyleLbl="parChTrans1D4" presStyleIdx="12" presStyleCnt="15"/>
      <dgm:spPr/>
      <dgm:t>
        <a:bodyPr/>
        <a:lstStyle/>
        <a:p>
          <a:endParaRPr lang="en-AU"/>
        </a:p>
      </dgm:t>
    </dgm:pt>
    <dgm:pt modelId="{DF1C70D5-2AA4-4615-B051-606AF6C72FCA}" type="pres">
      <dgm:prSet presAssocID="{60146B18-7146-4880-AC62-5B408E87CBA3}" presName="Name30" presStyleCnt="0"/>
      <dgm:spPr/>
      <dgm:t>
        <a:bodyPr/>
        <a:lstStyle/>
        <a:p>
          <a:endParaRPr lang="en-AU"/>
        </a:p>
      </dgm:t>
    </dgm:pt>
    <dgm:pt modelId="{F7FF7DE3-1B00-4948-9159-C9A50A6A0476}" type="pres">
      <dgm:prSet presAssocID="{60146B18-7146-4880-AC62-5B408E87CBA3}" presName="level2Shape" presStyleLbl="node4" presStyleIdx="12" presStyleCnt="15"/>
      <dgm:spPr/>
      <dgm:t>
        <a:bodyPr/>
        <a:lstStyle/>
        <a:p>
          <a:endParaRPr lang="en-AU"/>
        </a:p>
      </dgm:t>
    </dgm:pt>
    <dgm:pt modelId="{16DC2570-12FF-4233-A2CB-C556755C3E39}" type="pres">
      <dgm:prSet presAssocID="{60146B18-7146-4880-AC62-5B408E87CBA3}" presName="hierChild3" presStyleCnt="0"/>
      <dgm:spPr/>
      <dgm:t>
        <a:bodyPr/>
        <a:lstStyle/>
        <a:p>
          <a:endParaRPr lang="en-AU"/>
        </a:p>
      </dgm:t>
    </dgm:pt>
    <dgm:pt modelId="{085C8FA5-E351-482C-AC74-D2E4979F5CC5}" type="pres">
      <dgm:prSet presAssocID="{8F765444-7FB8-448F-81C4-AC2DEC01A0AF}" presName="Name25" presStyleLbl="parChTrans1D4" presStyleIdx="13" presStyleCnt="15"/>
      <dgm:spPr/>
      <dgm:t>
        <a:bodyPr/>
        <a:lstStyle/>
        <a:p>
          <a:endParaRPr lang="en-AU"/>
        </a:p>
      </dgm:t>
    </dgm:pt>
    <dgm:pt modelId="{A8F0775E-0028-4068-9358-ADCDF08D0279}" type="pres">
      <dgm:prSet presAssocID="{8F765444-7FB8-448F-81C4-AC2DEC01A0AF}" presName="connTx" presStyleLbl="parChTrans1D4" presStyleIdx="13" presStyleCnt="15"/>
      <dgm:spPr/>
      <dgm:t>
        <a:bodyPr/>
        <a:lstStyle/>
        <a:p>
          <a:endParaRPr lang="en-AU"/>
        </a:p>
      </dgm:t>
    </dgm:pt>
    <dgm:pt modelId="{FF4E7EFE-614C-46E7-ACDD-ADD0F633001F}" type="pres">
      <dgm:prSet presAssocID="{3108EA56-0438-4A8E-8C66-EFA7BD63CD56}" presName="Name30" presStyleCnt="0"/>
      <dgm:spPr/>
      <dgm:t>
        <a:bodyPr/>
        <a:lstStyle/>
        <a:p>
          <a:endParaRPr lang="en-AU"/>
        </a:p>
      </dgm:t>
    </dgm:pt>
    <dgm:pt modelId="{02CFC812-6E0F-4FBA-BBC3-B33E96DFE345}" type="pres">
      <dgm:prSet presAssocID="{3108EA56-0438-4A8E-8C66-EFA7BD63CD56}" presName="level2Shape" presStyleLbl="node4" presStyleIdx="13" presStyleCnt="15"/>
      <dgm:spPr/>
      <dgm:t>
        <a:bodyPr/>
        <a:lstStyle/>
        <a:p>
          <a:endParaRPr lang="en-AU"/>
        </a:p>
      </dgm:t>
    </dgm:pt>
    <dgm:pt modelId="{045D57E5-7606-4A10-8C65-E200A9A5DF75}" type="pres">
      <dgm:prSet presAssocID="{3108EA56-0438-4A8E-8C66-EFA7BD63CD56}" presName="hierChild3" presStyleCnt="0"/>
      <dgm:spPr/>
      <dgm:t>
        <a:bodyPr/>
        <a:lstStyle/>
        <a:p>
          <a:endParaRPr lang="en-AU"/>
        </a:p>
      </dgm:t>
    </dgm:pt>
    <dgm:pt modelId="{870F293D-D118-4EB6-BC47-AC8DCF1AA4CE}" type="pres">
      <dgm:prSet presAssocID="{BB331EF2-F5AF-4E45-A298-905DC42AD62A}" presName="Name25" presStyleLbl="parChTrans1D4" presStyleIdx="14" presStyleCnt="15"/>
      <dgm:spPr/>
      <dgm:t>
        <a:bodyPr/>
        <a:lstStyle/>
        <a:p>
          <a:endParaRPr lang="en-AU"/>
        </a:p>
      </dgm:t>
    </dgm:pt>
    <dgm:pt modelId="{B98B6C76-0144-4B8A-91E2-080D5B452162}" type="pres">
      <dgm:prSet presAssocID="{BB331EF2-F5AF-4E45-A298-905DC42AD62A}" presName="connTx" presStyleLbl="parChTrans1D4" presStyleIdx="14" presStyleCnt="15"/>
      <dgm:spPr/>
      <dgm:t>
        <a:bodyPr/>
        <a:lstStyle/>
        <a:p>
          <a:endParaRPr lang="en-AU"/>
        </a:p>
      </dgm:t>
    </dgm:pt>
    <dgm:pt modelId="{52E321D8-C605-474C-B524-6C0059A760AB}" type="pres">
      <dgm:prSet presAssocID="{81AFA1AD-634F-43B2-AD6C-6AF0C3EC2E9D}" presName="Name30" presStyleCnt="0"/>
      <dgm:spPr/>
      <dgm:t>
        <a:bodyPr/>
        <a:lstStyle/>
        <a:p>
          <a:endParaRPr lang="en-AU"/>
        </a:p>
      </dgm:t>
    </dgm:pt>
    <dgm:pt modelId="{25E7662B-18ED-4B5B-9919-9A2A12702B9D}" type="pres">
      <dgm:prSet presAssocID="{81AFA1AD-634F-43B2-AD6C-6AF0C3EC2E9D}" presName="level2Shape" presStyleLbl="node4" presStyleIdx="14" presStyleCnt="15"/>
      <dgm:spPr/>
      <dgm:t>
        <a:bodyPr/>
        <a:lstStyle/>
        <a:p>
          <a:endParaRPr lang="en-AU"/>
        </a:p>
      </dgm:t>
    </dgm:pt>
    <dgm:pt modelId="{EB98A590-CF9F-4862-A7B1-18D827628EE4}" type="pres">
      <dgm:prSet presAssocID="{81AFA1AD-634F-43B2-AD6C-6AF0C3EC2E9D}" presName="hierChild3" presStyleCnt="0"/>
      <dgm:spPr/>
      <dgm:t>
        <a:bodyPr/>
        <a:lstStyle/>
        <a:p>
          <a:endParaRPr lang="en-AU"/>
        </a:p>
      </dgm:t>
    </dgm:pt>
    <dgm:pt modelId="{0E88DC31-6D65-43E9-9C20-5FF2346D09BD}" type="pres">
      <dgm:prSet presAssocID="{2C7E14AC-789E-400B-BE5D-F3D6F2B748E0}" presName="Name25" presStyleLbl="parChTrans1D2" presStyleIdx="1" presStyleCnt="2"/>
      <dgm:spPr/>
      <dgm:t>
        <a:bodyPr/>
        <a:lstStyle/>
        <a:p>
          <a:endParaRPr lang="en-AU"/>
        </a:p>
      </dgm:t>
    </dgm:pt>
    <dgm:pt modelId="{5B55226A-23ED-4672-917A-6F862247AF97}" type="pres">
      <dgm:prSet presAssocID="{2C7E14AC-789E-400B-BE5D-F3D6F2B748E0}" presName="connTx" presStyleLbl="parChTrans1D2" presStyleIdx="1" presStyleCnt="2"/>
      <dgm:spPr/>
      <dgm:t>
        <a:bodyPr/>
        <a:lstStyle/>
        <a:p>
          <a:endParaRPr lang="en-AU"/>
        </a:p>
      </dgm:t>
    </dgm:pt>
    <dgm:pt modelId="{91724359-A9C9-4845-9045-10CD1E32F49F}" type="pres">
      <dgm:prSet presAssocID="{DA57D6B7-48E7-47BA-9520-413E26BE1F86}" presName="Name30" presStyleCnt="0"/>
      <dgm:spPr/>
      <dgm:t>
        <a:bodyPr/>
        <a:lstStyle/>
        <a:p>
          <a:endParaRPr lang="en-AU"/>
        </a:p>
      </dgm:t>
    </dgm:pt>
    <dgm:pt modelId="{114CA2FF-087D-4CCA-868C-A2D1AC6709F1}" type="pres">
      <dgm:prSet presAssocID="{DA57D6B7-48E7-47BA-9520-413E26BE1F86}" presName="level2Shape" presStyleLbl="node2" presStyleIdx="1" presStyleCnt="2"/>
      <dgm:spPr/>
      <dgm:t>
        <a:bodyPr/>
        <a:lstStyle/>
        <a:p>
          <a:endParaRPr lang="en-AU"/>
        </a:p>
      </dgm:t>
    </dgm:pt>
    <dgm:pt modelId="{5A82B180-8752-405C-BF1E-D99DD98AA7B7}" type="pres">
      <dgm:prSet presAssocID="{DA57D6B7-48E7-47BA-9520-413E26BE1F86}" presName="hierChild3" presStyleCnt="0"/>
      <dgm:spPr/>
      <dgm:t>
        <a:bodyPr/>
        <a:lstStyle/>
        <a:p>
          <a:endParaRPr lang="en-AU"/>
        </a:p>
      </dgm:t>
    </dgm:pt>
    <dgm:pt modelId="{9557F60B-3F99-4495-9680-25B96D6D2685}" type="pres">
      <dgm:prSet presAssocID="{8DFD033E-1C7D-4BEB-8E9C-ABF30DD87A95}" presName="Name25" presStyleLbl="parChTrans1D3" presStyleIdx="3" presStyleCnt="6"/>
      <dgm:spPr/>
      <dgm:t>
        <a:bodyPr/>
        <a:lstStyle/>
        <a:p>
          <a:endParaRPr lang="en-AU"/>
        </a:p>
      </dgm:t>
    </dgm:pt>
    <dgm:pt modelId="{2DA3BB91-2E9E-417F-85BC-BC4458796466}" type="pres">
      <dgm:prSet presAssocID="{8DFD033E-1C7D-4BEB-8E9C-ABF30DD87A95}" presName="connTx" presStyleLbl="parChTrans1D3" presStyleIdx="3" presStyleCnt="6"/>
      <dgm:spPr/>
      <dgm:t>
        <a:bodyPr/>
        <a:lstStyle/>
        <a:p>
          <a:endParaRPr lang="en-AU"/>
        </a:p>
      </dgm:t>
    </dgm:pt>
    <dgm:pt modelId="{C76466DE-0213-491C-8592-197F0161DA93}" type="pres">
      <dgm:prSet presAssocID="{8B2CB265-D489-4A9D-AAD4-887538F3D5E5}" presName="Name30" presStyleCnt="0"/>
      <dgm:spPr/>
      <dgm:t>
        <a:bodyPr/>
        <a:lstStyle/>
        <a:p>
          <a:endParaRPr lang="en-AU"/>
        </a:p>
      </dgm:t>
    </dgm:pt>
    <dgm:pt modelId="{004ADAE1-5E6D-40CD-85F5-C9914C499B2B}" type="pres">
      <dgm:prSet presAssocID="{8B2CB265-D489-4A9D-AAD4-887538F3D5E5}" presName="level2Shape" presStyleLbl="node3" presStyleIdx="3" presStyleCnt="6" custLinFactY="4554" custLinFactNeighborX="1089" custLinFactNeighborY="100000"/>
      <dgm:spPr/>
      <dgm:t>
        <a:bodyPr/>
        <a:lstStyle/>
        <a:p>
          <a:endParaRPr lang="en-AU"/>
        </a:p>
      </dgm:t>
    </dgm:pt>
    <dgm:pt modelId="{0DB8E6CB-2D3D-4869-93D3-4113069B132F}" type="pres">
      <dgm:prSet presAssocID="{8B2CB265-D489-4A9D-AAD4-887538F3D5E5}" presName="hierChild3" presStyleCnt="0"/>
      <dgm:spPr/>
      <dgm:t>
        <a:bodyPr/>
        <a:lstStyle/>
        <a:p>
          <a:endParaRPr lang="en-AU"/>
        </a:p>
      </dgm:t>
    </dgm:pt>
    <dgm:pt modelId="{C6A8B198-EF3F-496A-A90E-CBADB27B70D5}" type="pres">
      <dgm:prSet presAssocID="{C8C52333-8A90-4C5C-BF84-C9AA4906FA1B}" presName="Name25" presStyleLbl="parChTrans1D3" presStyleIdx="4" presStyleCnt="6"/>
      <dgm:spPr/>
      <dgm:t>
        <a:bodyPr/>
        <a:lstStyle/>
        <a:p>
          <a:endParaRPr lang="en-AU"/>
        </a:p>
      </dgm:t>
    </dgm:pt>
    <dgm:pt modelId="{A93E45EB-8AB8-4FC1-BF34-B77FB80B9124}" type="pres">
      <dgm:prSet presAssocID="{C8C52333-8A90-4C5C-BF84-C9AA4906FA1B}" presName="connTx" presStyleLbl="parChTrans1D3" presStyleIdx="4" presStyleCnt="6"/>
      <dgm:spPr/>
      <dgm:t>
        <a:bodyPr/>
        <a:lstStyle/>
        <a:p>
          <a:endParaRPr lang="en-AU"/>
        </a:p>
      </dgm:t>
    </dgm:pt>
    <dgm:pt modelId="{D6135CED-B585-47E7-9CC4-3F0467E3BFF4}" type="pres">
      <dgm:prSet presAssocID="{24F120E7-5E65-4233-9A7A-C96277AFE254}" presName="Name30" presStyleCnt="0"/>
      <dgm:spPr/>
      <dgm:t>
        <a:bodyPr/>
        <a:lstStyle/>
        <a:p>
          <a:endParaRPr lang="en-AU"/>
        </a:p>
      </dgm:t>
    </dgm:pt>
    <dgm:pt modelId="{C6E4AE76-25F9-44B8-A7B0-8C09C5760714}" type="pres">
      <dgm:prSet presAssocID="{24F120E7-5E65-4233-9A7A-C96277AFE254}" presName="level2Shape" presStyleLbl="node3" presStyleIdx="4" presStyleCnt="6" custLinFactY="2375" custLinFactNeighborX="-1089" custLinFactNeighborY="100000"/>
      <dgm:spPr/>
      <dgm:t>
        <a:bodyPr/>
        <a:lstStyle/>
        <a:p>
          <a:endParaRPr lang="en-AU"/>
        </a:p>
      </dgm:t>
    </dgm:pt>
    <dgm:pt modelId="{CAD124F0-F1FD-4751-8A50-7B06557414CD}" type="pres">
      <dgm:prSet presAssocID="{24F120E7-5E65-4233-9A7A-C96277AFE254}" presName="hierChild3" presStyleCnt="0"/>
      <dgm:spPr/>
      <dgm:t>
        <a:bodyPr/>
        <a:lstStyle/>
        <a:p>
          <a:endParaRPr lang="en-AU"/>
        </a:p>
      </dgm:t>
    </dgm:pt>
    <dgm:pt modelId="{EAFB5BB9-B225-4722-811F-4185776E03B1}" type="pres">
      <dgm:prSet presAssocID="{E6ACBB0C-7088-4618-B896-C801C516AA30}" presName="Name25" presStyleLbl="parChTrans1D3" presStyleIdx="5" presStyleCnt="6"/>
      <dgm:spPr/>
      <dgm:t>
        <a:bodyPr/>
        <a:lstStyle/>
        <a:p>
          <a:endParaRPr lang="en-AU"/>
        </a:p>
      </dgm:t>
    </dgm:pt>
    <dgm:pt modelId="{C5D6D3BB-B188-4544-81B1-8BDD98142745}" type="pres">
      <dgm:prSet presAssocID="{E6ACBB0C-7088-4618-B896-C801C516AA30}" presName="connTx" presStyleLbl="parChTrans1D3" presStyleIdx="5" presStyleCnt="6"/>
      <dgm:spPr/>
      <dgm:t>
        <a:bodyPr/>
        <a:lstStyle/>
        <a:p>
          <a:endParaRPr lang="en-AU"/>
        </a:p>
      </dgm:t>
    </dgm:pt>
    <dgm:pt modelId="{3EC2FA3B-B2A5-48D5-B299-DD98F3AA1F2D}" type="pres">
      <dgm:prSet presAssocID="{D451A345-2BF2-43D3-96CD-4F449503705C}" presName="Name30" presStyleCnt="0"/>
      <dgm:spPr/>
      <dgm:t>
        <a:bodyPr/>
        <a:lstStyle/>
        <a:p>
          <a:endParaRPr lang="en-AU"/>
        </a:p>
      </dgm:t>
    </dgm:pt>
    <dgm:pt modelId="{932CB3E0-1829-4AED-9A93-7BE1142878D2}" type="pres">
      <dgm:prSet presAssocID="{D451A345-2BF2-43D3-96CD-4F449503705C}" presName="level2Shape" presStyleLbl="node3" presStyleIdx="5" presStyleCnt="6" custLinFactY="197" custLinFactNeighborX="-1089" custLinFactNeighborY="100000"/>
      <dgm:spPr/>
      <dgm:t>
        <a:bodyPr/>
        <a:lstStyle/>
        <a:p>
          <a:endParaRPr lang="en-AU"/>
        </a:p>
      </dgm:t>
    </dgm:pt>
    <dgm:pt modelId="{CD036085-8800-4835-9094-73A6012F78F6}" type="pres">
      <dgm:prSet presAssocID="{D451A345-2BF2-43D3-96CD-4F449503705C}" presName="hierChild3" presStyleCnt="0"/>
      <dgm:spPr/>
      <dgm:t>
        <a:bodyPr/>
        <a:lstStyle/>
        <a:p>
          <a:endParaRPr lang="en-AU"/>
        </a:p>
      </dgm:t>
    </dgm:pt>
    <dgm:pt modelId="{91C4A373-C1C1-4409-9A4E-954A09F718AF}" type="pres">
      <dgm:prSet presAssocID="{1A81A355-A08B-4A5D-A681-1B373CDA24CF}" presName="bgShapesFlow" presStyleCnt="0"/>
      <dgm:spPr/>
      <dgm:t>
        <a:bodyPr/>
        <a:lstStyle/>
        <a:p>
          <a:endParaRPr lang="en-AU"/>
        </a:p>
      </dgm:t>
    </dgm:pt>
  </dgm:ptLst>
  <dgm:cxnLst>
    <dgm:cxn modelId="{B379A501-220F-46CC-B6E5-F47CDC64A125}" type="presOf" srcId="{C8C52333-8A90-4C5C-BF84-C9AA4906FA1B}" destId="{C6A8B198-EF3F-496A-A90E-CBADB27B70D5}" srcOrd="0" destOrd="0" presId="urn:microsoft.com/office/officeart/2005/8/layout/hierarchy5"/>
    <dgm:cxn modelId="{B977C4C6-62F9-47B8-A635-790A90A36EA0}" type="presOf" srcId="{8C4F6588-E22C-40EC-B619-ACA17967C22D}" destId="{7815704F-21B9-4D20-8109-94191230A9CB}" srcOrd="0" destOrd="0" presId="urn:microsoft.com/office/officeart/2005/8/layout/hierarchy5"/>
    <dgm:cxn modelId="{BCBFB319-E134-4EBF-85EF-855D6B98F37F}" type="presOf" srcId="{332FDED6-CD9E-49CC-AACD-C1BAE00B9156}" destId="{3B15D8BB-32D8-4C0C-B5A4-15B1E2ED03D9}" srcOrd="0" destOrd="0" presId="urn:microsoft.com/office/officeart/2005/8/layout/hierarchy5"/>
    <dgm:cxn modelId="{5EE345A6-F44E-49C5-8230-BCD4A65CEE17}" type="presOf" srcId="{A512E62B-C9B4-4604-B76A-E18C8B2F31FD}" destId="{B44AFB69-4BDF-47F6-80A1-234DAB0752F2}" srcOrd="0" destOrd="0" presId="urn:microsoft.com/office/officeart/2005/8/layout/hierarchy5"/>
    <dgm:cxn modelId="{C0597A2D-51C9-410C-A299-EE4BC7D867E6}" type="presOf" srcId="{BC5DEE5B-9777-4C47-AA0C-D03402F7C89D}" destId="{979EF651-D924-40CF-8968-67A002B195D7}" srcOrd="1" destOrd="0" presId="urn:microsoft.com/office/officeart/2005/8/layout/hierarchy5"/>
    <dgm:cxn modelId="{3D6A8920-B32B-4F1B-8BBA-D1052AA05E6E}" srcId="{B73A4D79-D610-4619-9822-7F17FEDEC1EF}" destId="{B2296AC5-921C-4018-B953-888EED88508F}" srcOrd="1" destOrd="0" parTransId="{87C70866-91FC-4B07-A2E1-7F003996A31D}" sibTransId="{69D7F6E6-5952-4A3D-8C3A-50934297BD9C}"/>
    <dgm:cxn modelId="{9777D59D-1262-4184-AB41-E5371B60FBE2}" type="presOf" srcId="{0FEACB3B-A947-40A3-97AA-728B24ECD229}" destId="{5B163344-A3E7-4BB9-AD7B-EB14991B4C9C}" srcOrd="1" destOrd="0" presId="urn:microsoft.com/office/officeart/2005/8/layout/hierarchy5"/>
    <dgm:cxn modelId="{BFFA621A-80D9-4A81-9518-4D84C4E7F632}" type="presOf" srcId="{8F765444-7FB8-448F-81C4-AC2DEC01A0AF}" destId="{A8F0775E-0028-4068-9358-ADCDF08D0279}" srcOrd="1" destOrd="0" presId="urn:microsoft.com/office/officeart/2005/8/layout/hierarchy5"/>
    <dgm:cxn modelId="{4CA8B333-806B-4C4E-AE0E-A706BA4939F2}" srcId="{08BED413-EF5B-4AF1-809D-45A2FA2D0E93}" destId="{DA57D6B7-48E7-47BA-9520-413E26BE1F86}" srcOrd="1" destOrd="0" parTransId="{2C7E14AC-789E-400B-BE5D-F3D6F2B748E0}" sibTransId="{D6C904C8-DCFD-4270-8C6B-7E0451639AF4}"/>
    <dgm:cxn modelId="{DC01C83F-7C46-4588-B337-2F366BC0F235}" type="presOf" srcId="{10EBB0B6-A97E-4573-A118-FC9B4CAB750B}" destId="{C3E8BA35-D965-4113-A4A8-A974DDF4F570}" srcOrd="1" destOrd="0" presId="urn:microsoft.com/office/officeart/2005/8/layout/hierarchy5"/>
    <dgm:cxn modelId="{3C29552D-D884-42EE-BEAC-792902017CCA}" type="presOf" srcId="{9FBFFDEB-F4D5-422A-A9B4-B3673B2DBA6E}" destId="{C1508B2E-F1E2-4A0D-B325-6FF8E68F662F}" srcOrd="0" destOrd="0" presId="urn:microsoft.com/office/officeart/2005/8/layout/hierarchy5"/>
    <dgm:cxn modelId="{F82BD8A9-2BEE-4CA2-989A-397FCBBF8AE6}" type="presOf" srcId="{1BCBE8EF-4B94-488A-8B2D-57B628E2EAE8}" destId="{6EAEEBAD-278B-48E1-A749-7550CE7F5737}" srcOrd="0" destOrd="0" presId="urn:microsoft.com/office/officeart/2005/8/layout/hierarchy5"/>
    <dgm:cxn modelId="{A4F0A5C8-C1C0-4246-91DB-B24F7176497E}" srcId="{08BED413-EF5B-4AF1-809D-45A2FA2D0E93}" destId="{B9493623-8865-4501-BF3B-D7C9D69EFFF1}" srcOrd="0" destOrd="0" parTransId="{A512E62B-C9B4-4604-B76A-E18C8B2F31FD}" sibTransId="{1A192F9E-3115-4B7B-835A-B09929EBAB02}"/>
    <dgm:cxn modelId="{A90F77E2-20C8-42FD-B7D1-DB061C9B1886}" type="presOf" srcId="{5F0A52B8-E0C8-470C-8A70-777EDBE69F50}" destId="{6A8DC63F-8F25-43C5-95BC-A1FFB72D1D85}" srcOrd="1" destOrd="0" presId="urn:microsoft.com/office/officeart/2005/8/layout/hierarchy5"/>
    <dgm:cxn modelId="{79E0E77E-83E9-4A80-A4E3-5A9EC7E69C0C}" srcId="{B73A4D79-D610-4619-9822-7F17FEDEC1EF}" destId="{EC82A317-8FE7-4AE3-A1BA-65DA906F756D}" srcOrd="0" destOrd="0" parTransId="{BC5DEE5B-9777-4C47-AA0C-D03402F7C89D}" sibTransId="{62AF0A97-AED4-4333-801A-029D5FFB46E6}"/>
    <dgm:cxn modelId="{03D82F51-271D-4AF3-8B53-2B1E6A3E6B98}" type="presOf" srcId="{8DFD033E-1C7D-4BEB-8E9C-ABF30DD87A95}" destId="{9557F60B-3F99-4495-9680-25B96D6D2685}" srcOrd="0" destOrd="0" presId="urn:microsoft.com/office/officeart/2005/8/layout/hierarchy5"/>
    <dgm:cxn modelId="{4E543ED7-2245-4E8F-9D88-F059CC2E8AAD}" type="presOf" srcId="{9ECC1C47-AFB2-42EC-9125-D4AF6B038B19}" destId="{801117D0-30FC-4B1C-8441-CDB82E1D2310}" srcOrd="0" destOrd="0" presId="urn:microsoft.com/office/officeart/2005/8/layout/hierarchy5"/>
    <dgm:cxn modelId="{5DA355A5-AD1F-4D87-834C-04A7CED5887A}" srcId="{9FBFFDEB-F4D5-422A-A9B4-B3673B2DBA6E}" destId="{60146B18-7146-4880-AC62-5B408E87CBA3}" srcOrd="1" destOrd="0" parTransId="{332FDED6-CD9E-49CC-AACD-C1BAE00B9156}" sibTransId="{E620B434-3486-4E23-BC49-561D7C0FEEBE}"/>
    <dgm:cxn modelId="{73F03ABF-1A3E-442F-8A76-4FCC1A157E81}" type="presOf" srcId="{D451A345-2BF2-43D3-96CD-4F449503705C}" destId="{932CB3E0-1829-4AED-9A93-7BE1142878D2}" srcOrd="0" destOrd="0" presId="urn:microsoft.com/office/officeart/2005/8/layout/hierarchy5"/>
    <dgm:cxn modelId="{E93203BB-EDE8-483B-B482-6DA13E7F0FCD}" type="presOf" srcId="{0FEACB3B-A947-40A3-97AA-728B24ECD229}" destId="{52343FEC-AA8D-4BF5-9E93-7707DB115815}" srcOrd="0" destOrd="0" presId="urn:microsoft.com/office/officeart/2005/8/layout/hierarchy5"/>
    <dgm:cxn modelId="{46F59A52-1C8A-4E12-82B6-5C48F9C25C32}" type="presOf" srcId="{1DD64CBB-4A50-41DC-96EA-EB70AFCE00AF}" destId="{33FDB367-029F-4BE0-A96E-058E8A137316}" srcOrd="1" destOrd="0" presId="urn:microsoft.com/office/officeart/2005/8/layout/hierarchy5"/>
    <dgm:cxn modelId="{A1A931E0-8311-4BCF-9B3E-3C1107463329}" type="presOf" srcId="{875B664A-794F-4C94-AEB7-EA4976C00961}" destId="{D931C509-0F57-4529-BF57-FDB0C6AE86B6}" srcOrd="0" destOrd="0" presId="urn:microsoft.com/office/officeart/2005/8/layout/hierarchy5"/>
    <dgm:cxn modelId="{F8E93BFA-0DBF-4FED-AEAE-2A8D3C20A3A8}" type="presOf" srcId="{E6ACBB0C-7088-4618-B896-C801C516AA30}" destId="{C5D6D3BB-B188-4544-81B1-8BDD98142745}" srcOrd="1" destOrd="0" presId="urn:microsoft.com/office/officeart/2005/8/layout/hierarchy5"/>
    <dgm:cxn modelId="{C90EDE41-D157-4639-AA99-AC5FD3EFD161}" type="presOf" srcId="{DCF57280-F9FD-492B-941A-19FA2C2C8138}" destId="{DE9564A2-42EE-4EBD-86F2-51FDA32BB63A}" srcOrd="0" destOrd="0" presId="urn:microsoft.com/office/officeart/2005/8/layout/hierarchy5"/>
    <dgm:cxn modelId="{2B6C0AD7-3D17-4480-AADF-FA332944D710}" type="presOf" srcId="{7EE0B7FB-9E28-4FFC-B998-175F45EE2739}" destId="{02AB7DDD-D2FE-41E5-A94D-2D75FE68EF1E}" srcOrd="0" destOrd="0" presId="urn:microsoft.com/office/officeart/2005/8/layout/hierarchy5"/>
    <dgm:cxn modelId="{4AFC9339-1F22-47B6-B81E-B3344A17770B}" type="presOf" srcId="{08BED413-EF5B-4AF1-809D-45A2FA2D0E93}" destId="{BA5B2336-AC11-4855-A94E-5AF90CF28641}" srcOrd="0" destOrd="0" presId="urn:microsoft.com/office/officeart/2005/8/layout/hierarchy5"/>
    <dgm:cxn modelId="{E2A14228-CA62-4225-B0E4-546986E24D18}" type="presOf" srcId="{332FDED6-CD9E-49CC-AACD-C1BAE00B9156}" destId="{62B2F4FE-0946-4796-90D6-08D67923ADF2}" srcOrd="1" destOrd="0" presId="urn:microsoft.com/office/officeart/2005/8/layout/hierarchy5"/>
    <dgm:cxn modelId="{A7349076-3AF1-4278-92AF-D3D38069AB15}" type="presOf" srcId="{BB331EF2-F5AF-4E45-A298-905DC42AD62A}" destId="{870F293D-D118-4EB6-BC47-AC8DCF1AA4CE}" srcOrd="0" destOrd="0" presId="urn:microsoft.com/office/officeart/2005/8/layout/hierarchy5"/>
    <dgm:cxn modelId="{6A7071A4-A6BF-45DD-85A1-162E7A97072E}" srcId="{B9493623-8865-4501-BF3B-D7C9D69EFFF1}" destId="{7A09D59D-B023-41A2-A387-93CCCCEDCC04}" srcOrd="2" destOrd="0" parTransId="{1BCBE8EF-4B94-488A-8B2D-57B628E2EAE8}" sibTransId="{D0118036-618F-4238-A64E-B32B593E2198}"/>
    <dgm:cxn modelId="{633A0202-7422-48F4-AB0A-3956D238A504}" type="presOf" srcId="{A512E62B-C9B4-4604-B76A-E18C8B2F31FD}" destId="{BE2B20F7-4DC4-4B7E-AAEB-9B28C3E1E3A4}" srcOrd="1" destOrd="0" presId="urn:microsoft.com/office/officeart/2005/8/layout/hierarchy5"/>
    <dgm:cxn modelId="{BDE36E0D-638D-4987-900D-914B9A8FD4EC}" srcId="{B9493623-8865-4501-BF3B-D7C9D69EFFF1}" destId="{7EE0B7FB-9E28-4FFC-B998-175F45EE2739}" srcOrd="0" destOrd="0" parTransId="{10EBB0B6-A97E-4573-A118-FC9B4CAB750B}" sibTransId="{C77033B9-E0BD-4B6E-B308-6D4F856C2CF0}"/>
    <dgm:cxn modelId="{A6BE363D-1B25-4E30-AA4E-0F5B98DA9749}" type="presOf" srcId="{1BCBE8EF-4B94-488A-8B2D-57B628E2EAE8}" destId="{50138C9B-0159-44C9-B8DB-1A259CDD7DF9}" srcOrd="1" destOrd="0" presId="urn:microsoft.com/office/officeart/2005/8/layout/hierarchy5"/>
    <dgm:cxn modelId="{C2CB2D0A-E6BE-4EE8-907B-8AC3B7A861B5}" type="presOf" srcId="{DF5ABDAF-E91B-4EAD-ADF1-7133E583DC92}" destId="{EC1DD8FD-688C-4E93-89FF-F3B27C362A4B}" srcOrd="0" destOrd="0" presId="urn:microsoft.com/office/officeart/2005/8/layout/hierarchy5"/>
    <dgm:cxn modelId="{85C0AAC2-3A0D-42C8-922F-532D942189AB}" type="presOf" srcId="{A2AF0CC2-CE4A-44CE-A00B-F624CCCA61FE}" destId="{CAB301BD-ADCD-43E6-B274-D441FBE12953}" srcOrd="1" destOrd="0" presId="urn:microsoft.com/office/officeart/2005/8/layout/hierarchy5"/>
    <dgm:cxn modelId="{458B095A-28BF-45CB-872F-FEEA7E76D246}" type="presOf" srcId="{EC82A317-8FE7-4AE3-A1BA-65DA906F756D}" destId="{A587465A-920E-4954-A298-8146F065C754}" srcOrd="0" destOrd="0" presId="urn:microsoft.com/office/officeart/2005/8/layout/hierarchy5"/>
    <dgm:cxn modelId="{3DD03569-2026-487B-AC74-985254C0E004}" type="presOf" srcId="{87C70866-91FC-4B07-A2E1-7F003996A31D}" destId="{C56A27BC-B4EC-49E2-BC67-551992123AFB}" srcOrd="1" destOrd="0" presId="urn:microsoft.com/office/officeart/2005/8/layout/hierarchy5"/>
    <dgm:cxn modelId="{06C5DB57-371D-43DD-BA29-910FC9C63068}" type="presOf" srcId="{181CE218-FDE5-45D6-9BF9-3828F3482521}" destId="{34069703-A687-4A3A-9882-288D568F4C3A}" srcOrd="0" destOrd="0" presId="urn:microsoft.com/office/officeart/2005/8/layout/hierarchy5"/>
    <dgm:cxn modelId="{FA50EF65-F3ED-4A0B-959C-FDAC7FAC4223}" srcId="{DA57D6B7-48E7-47BA-9520-413E26BE1F86}" destId="{24F120E7-5E65-4233-9A7A-C96277AFE254}" srcOrd="1" destOrd="0" parTransId="{C8C52333-8A90-4C5C-BF84-C9AA4906FA1B}" sibTransId="{6DB09DEE-2AB0-494E-83E7-4BD9247B21B6}"/>
    <dgm:cxn modelId="{58A8A1AF-E35B-41CE-97DD-4C46BBFA766E}" type="presOf" srcId="{33FDD9D5-166F-4AC8-9EFE-103FDEC48392}" destId="{D9BB9416-5BFF-4C75-BF81-C806944E6D6E}" srcOrd="1" destOrd="0" presId="urn:microsoft.com/office/officeart/2005/8/layout/hierarchy5"/>
    <dgm:cxn modelId="{852ECFF5-B390-4945-B558-A4B8B0765191}" type="presOf" srcId="{E6ACBB0C-7088-4618-B896-C801C516AA30}" destId="{EAFB5BB9-B225-4722-811F-4185776E03B1}" srcOrd="0" destOrd="0" presId="urn:microsoft.com/office/officeart/2005/8/layout/hierarchy5"/>
    <dgm:cxn modelId="{30C0CF71-0179-4121-82FA-A030052E5BD9}" type="presOf" srcId="{87C70866-91FC-4B07-A2E1-7F003996A31D}" destId="{2B8BEE0C-CE19-4AB9-8BF1-7D734699FF1E}" srcOrd="0" destOrd="0" presId="urn:microsoft.com/office/officeart/2005/8/layout/hierarchy5"/>
    <dgm:cxn modelId="{C1582766-3B1F-466F-9CA6-9D064CFF8386}" srcId="{EC82A317-8FE7-4AE3-A1BA-65DA906F756D}" destId="{72351A3B-CA4F-46AD-A067-32BAE2663FAE}" srcOrd="1" destOrd="0" parTransId="{77EF115C-9796-473A-A8F7-BC04566CF088}" sibTransId="{9D02BA86-3126-4934-A823-2D7FC82F55E7}"/>
    <dgm:cxn modelId="{AF80832B-7DE3-4869-A435-147AC855F187}" type="presOf" srcId="{B73A4D79-D610-4619-9822-7F17FEDEC1EF}" destId="{2D111339-D58B-4D31-918A-504F61F82AD6}" srcOrd="0" destOrd="0" presId="urn:microsoft.com/office/officeart/2005/8/layout/hierarchy5"/>
    <dgm:cxn modelId="{4507C886-9B85-47D2-995E-0516AD3E0456}" type="presOf" srcId="{BC5DEE5B-9777-4C47-AA0C-D03402F7C89D}" destId="{80346E09-0D6C-4238-A57F-233AE34EFF56}" srcOrd="0" destOrd="0" presId="urn:microsoft.com/office/officeart/2005/8/layout/hierarchy5"/>
    <dgm:cxn modelId="{01540F6E-C755-4A7B-9A10-0E5A7DE4ABC8}" type="presOf" srcId="{1A81A355-A08B-4A5D-A681-1B373CDA24CF}" destId="{1FFC9314-E0D1-4D26-AD5A-A7F310219F32}" srcOrd="0" destOrd="0" presId="urn:microsoft.com/office/officeart/2005/8/layout/hierarchy5"/>
    <dgm:cxn modelId="{F6FAE9DC-15F5-456A-B545-65EB65796DB0}" srcId="{9FBFFDEB-F4D5-422A-A9B4-B3673B2DBA6E}" destId="{3108EA56-0438-4A8E-8C66-EFA7BD63CD56}" srcOrd="2" destOrd="0" parTransId="{8F765444-7FB8-448F-81C4-AC2DEC01A0AF}" sibTransId="{FAB99569-CE09-4B5B-A18A-ED14613DA47B}"/>
    <dgm:cxn modelId="{EBB8FAEA-814B-4850-9B98-4E9AEFC4C5E6}" type="presOf" srcId="{DA57D6B7-48E7-47BA-9520-413E26BE1F86}" destId="{114CA2FF-087D-4CCA-868C-A2D1AC6709F1}" srcOrd="0" destOrd="0" presId="urn:microsoft.com/office/officeart/2005/8/layout/hierarchy5"/>
    <dgm:cxn modelId="{786F4EAA-E018-420E-A240-22B2F1C936D8}" srcId="{DA57D6B7-48E7-47BA-9520-413E26BE1F86}" destId="{8B2CB265-D489-4A9D-AAD4-887538F3D5E5}" srcOrd="0" destOrd="0" parTransId="{8DFD033E-1C7D-4BEB-8E9C-ABF30DD87A95}" sibTransId="{2FEA5AB6-6D9F-4B3A-9C59-DD1CB7578D54}"/>
    <dgm:cxn modelId="{4EA2442C-4B6A-4892-8E96-E940B531E18B}" type="presOf" srcId="{6A96F143-D10F-40F7-A2F6-C388265788A1}" destId="{99326077-B656-4B7A-AB0A-0C5C38597939}" srcOrd="0" destOrd="0" presId="urn:microsoft.com/office/officeart/2005/8/layout/hierarchy5"/>
    <dgm:cxn modelId="{0BABDC4F-EA29-4B2C-A480-AA55685E6869}" type="presOf" srcId="{B78CE4DF-F17D-44C9-8630-6EFC322266CA}" destId="{648F6D1A-92CC-4E5D-812E-6477BE777E8E}" srcOrd="1" destOrd="0" presId="urn:microsoft.com/office/officeart/2005/8/layout/hierarchy5"/>
    <dgm:cxn modelId="{68F43B45-4B14-4517-BDB5-B6C9A7421283}" type="presOf" srcId="{B9493623-8865-4501-BF3B-D7C9D69EFFF1}" destId="{10542345-F55A-45FA-9557-183EEC17BBA2}" srcOrd="0" destOrd="0" presId="urn:microsoft.com/office/officeart/2005/8/layout/hierarchy5"/>
    <dgm:cxn modelId="{7225DA61-E7DC-4556-A1EC-3016F42CB883}" type="presOf" srcId="{81AFA1AD-634F-43B2-AD6C-6AF0C3EC2E9D}" destId="{25E7662B-18ED-4B5B-9919-9A2A12702B9D}" srcOrd="0" destOrd="0" presId="urn:microsoft.com/office/officeart/2005/8/layout/hierarchy5"/>
    <dgm:cxn modelId="{C8BE1D44-133D-4E96-9C34-F9DC29C31D42}" srcId="{7A09D59D-B023-41A2-A387-93CCCCEDCC04}" destId="{9FBFFDEB-F4D5-422A-A9B4-B3673B2DBA6E}" srcOrd="0" destOrd="0" parTransId="{27C0F39B-42DD-4A98-A74F-AEC5E6192A57}" sibTransId="{EBED2320-7C92-4161-B54F-8D9D46DD5847}"/>
    <dgm:cxn modelId="{28EB061B-B2B9-4191-807B-05EB7BAC6D30}" srcId="{7A09D59D-B023-41A2-A387-93CCCCEDCC04}" destId="{81AFA1AD-634F-43B2-AD6C-6AF0C3EC2E9D}" srcOrd="1" destOrd="0" parTransId="{BB331EF2-F5AF-4E45-A298-905DC42AD62A}" sibTransId="{4452A863-9F47-40F9-81A1-B34D103372AE}"/>
    <dgm:cxn modelId="{75F3F858-0B37-48C7-BCCD-4A452A3596D2}" type="presOf" srcId="{B2296AC5-921C-4018-B953-888EED88508F}" destId="{EDABB4A0-2E25-4E08-B9B7-9EAFD7F19330}" srcOrd="0" destOrd="0" presId="urn:microsoft.com/office/officeart/2005/8/layout/hierarchy5"/>
    <dgm:cxn modelId="{17E0C208-8646-4D54-A41E-F0EE29676167}" type="presOf" srcId="{8DFD033E-1C7D-4BEB-8E9C-ABF30DD87A95}" destId="{2DA3BB91-2E9E-417F-85BC-BC4458796466}" srcOrd="1" destOrd="0" presId="urn:microsoft.com/office/officeart/2005/8/layout/hierarchy5"/>
    <dgm:cxn modelId="{12D0BAFA-D7FD-4303-97FA-A99EA7F745D1}" type="presOf" srcId="{77EF115C-9796-473A-A8F7-BC04566CF088}" destId="{9B377034-C2E3-4FB2-BF26-BAE55B85375D}" srcOrd="1" destOrd="0" presId="urn:microsoft.com/office/officeart/2005/8/layout/hierarchy5"/>
    <dgm:cxn modelId="{8BBB6B54-4F06-48D5-BABC-967829E8A701}" type="presOf" srcId="{7A09D59D-B023-41A2-A387-93CCCCEDCC04}" destId="{D290BF90-4F32-4016-8A8F-E313C05CE7AC}" srcOrd="0" destOrd="0" presId="urn:microsoft.com/office/officeart/2005/8/layout/hierarchy5"/>
    <dgm:cxn modelId="{6C4A7BB1-CF78-43ED-AF9F-77CC4D8C9C79}" srcId="{EC82A317-8FE7-4AE3-A1BA-65DA906F756D}" destId="{42A70311-54DD-422E-ADBD-C4FAB3AF00D4}" srcOrd="2" destOrd="0" parTransId="{8C4F6588-E22C-40EC-B619-ACA17967C22D}" sibTransId="{CB701ABE-FA04-46DC-8700-3BADDCF57595}"/>
    <dgm:cxn modelId="{BAD8B89B-287A-4125-95E3-8E0FD35A44C1}" srcId="{1A81A355-A08B-4A5D-A681-1B373CDA24CF}" destId="{08BED413-EF5B-4AF1-809D-45A2FA2D0E93}" srcOrd="0" destOrd="0" parTransId="{58E288F7-002E-4A29-B8D2-41FF714D9FA3}" sibTransId="{992DA58F-CD90-40F5-9492-ACA8863EA224}"/>
    <dgm:cxn modelId="{78FB4EB0-42DE-455D-A52F-AEBA0EF1D1D0}" type="presOf" srcId="{1DD64CBB-4A50-41DC-96EA-EB70AFCE00AF}" destId="{8D7C31E9-C3E0-41EE-B20E-2A88ECA12124}" srcOrd="0" destOrd="0" presId="urn:microsoft.com/office/officeart/2005/8/layout/hierarchy5"/>
    <dgm:cxn modelId="{C0607952-1BDD-49B7-BBA3-D4A4657D32C6}" type="presOf" srcId="{8C4F6588-E22C-40EC-B619-ACA17967C22D}" destId="{78008BB3-7250-4CD1-BABC-7C8406C636A6}" srcOrd="1" destOrd="0" presId="urn:microsoft.com/office/officeart/2005/8/layout/hierarchy5"/>
    <dgm:cxn modelId="{CA35ECAD-200F-4C54-A7C0-4E4A340032C7}" type="presOf" srcId="{DCF57280-F9FD-492B-941A-19FA2C2C8138}" destId="{AC1B941B-11EE-4914-B924-7882A9EC33A7}" srcOrd="1" destOrd="0" presId="urn:microsoft.com/office/officeart/2005/8/layout/hierarchy5"/>
    <dgm:cxn modelId="{B4284774-3741-4A15-B6A7-2FA81AF36808}" type="presOf" srcId="{27C0F39B-42DD-4A98-A74F-AEC5E6192A57}" destId="{3C1C5B49-E5A0-4109-87E1-DB1C0665B98C}" srcOrd="1" destOrd="0" presId="urn:microsoft.com/office/officeart/2005/8/layout/hierarchy5"/>
    <dgm:cxn modelId="{1F68E2FC-D1C1-44B2-B19E-37E6A588EB95}" type="presOf" srcId="{8F765444-7FB8-448F-81C4-AC2DEC01A0AF}" destId="{085C8FA5-E351-482C-AC74-D2E4979F5CC5}" srcOrd="0" destOrd="0" presId="urn:microsoft.com/office/officeart/2005/8/layout/hierarchy5"/>
    <dgm:cxn modelId="{A5D7F1D1-B93E-4A43-8BEF-664B61251FC6}" type="presOf" srcId="{24F120E7-5E65-4233-9A7A-C96277AFE254}" destId="{C6E4AE76-25F9-44B8-A7B0-8C09C5760714}" srcOrd="0" destOrd="0" presId="urn:microsoft.com/office/officeart/2005/8/layout/hierarchy5"/>
    <dgm:cxn modelId="{1C70C292-9D7B-4A72-B6FD-472D0B919506}" srcId="{181CE218-FDE5-45D6-9BF9-3828F3482521}" destId="{ED41A430-3E9D-414D-B8FA-E525E671AFB2}" srcOrd="0" destOrd="0" parTransId="{A2AF0CC2-CE4A-44CE-A00B-F624CCCA61FE}" sibTransId="{840C07F2-115B-4870-BF6C-4732B8CAD334}"/>
    <dgm:cxn modelId="{CEDC3E42-3967-4D3C-B789-2F5B4D3C61C5}" type="presOf" srcId="{C8C52333-8A90-4C5C-BF84-C9AA4906FA1B}" destId="{A93E45EB-8AB8-4FC1-BF34-B77FB80B9124}" srcOrd="1" destOrd="0" presId="urn:microsoft.com/office/officeart/2005/8/layout/hierarchy5"/>
    <dgm:cxn modelId="{6A871F89-02BF-4B79-AD3C-88E5946FC63A}" srcId="{181CE218-FDE5-45D6-9BF9-3828F3482521}" destId="{9ECC1C47-AFB2-42EC-9125-D4AF6B038B19}" srcOrd="1" destOrd="0" parTransId="{5F0A52B8-E0C8-470C-8A70-777EDBE69F50}" sibTransId="{8D983F15-1592-4455-8A55-38799B7B2469}"/>
    <dgm:cxn modelId="{151F7443-3E62-4503-8FAD-5EFC25D9D647}" srcId="{7EE0B7FB-9E28-4FFC-B998-175F45EE2739}" destId="{181CE218-FDE5-45D6-9BF9-3828F3482521}" srcOrd="0" destOrd="0" parTransId="{33FDD9D5-166F-4AC8-9EFE-103FDEC48392}" sibTransId="{323A573D-94FD-4F91-A53E-D2EE8361AFBF}"/>
    <dgm:cxn modelId="{55155920-4EE7-425D-BD79-62661C30EA81}" type="presOf" srcId="{33FDD9D5-166F-4AC8-9EFE-103FDEC48392}" destId="{FECD328B-D947-4370-A8CB-7CCA71CE1D5C}" srcOrd="0" destOrd="0" presId="urn:microsoft.com/office/officeart/2005/8/layout/hierarchy5"/>
    <dgm:cxn modelId="{D8E57B0A-B80B-4508-BF8F-EB501C82E13E}" type="presOf" srcId="{3108EA56-0438-4A8E-8C66-EFA7BD63CD56}" destId="{02CFC812-6E0F-4FBA-BBC3-B33E96DFE345}" srcOrd="0" destOrd="0" presId="urn:microsoft.com/office/officeart/2005/8/layout/hierarchy5"/>
    <dgm:cxn modelId="{0DB102C6-5F10-45A3-B7D3-4D7445E4A998}" srcId="{7EE0B7FB-9E28-4FFC-B998-175F45EE2739}" destId="{6A96F143-D10F-40F7-A2F6-C388265788A1}" srcOrd="1" destOrd="0" parTransId="{B78CE4DF-F17D-44C9-8630-6EFC322266CA}" sibTransId="{CF363263-B9B3-4DFA-A477-DBCA8638F3B1}"/>
    <dgm:cxn modelId="{583E26AA-D095-4DBC-8C61-ECEF0AB7228B}" type="presOf" srcId="{4918478F-D7A3-4126-A858-ED4AD724A19C}" destId="{BB516A11-B309-46E5-8662-525CF7CF8766}" srcOrd="1" destOrd="0" presId="urn:microsoft.com/office/officeart/2005/8/layout/hierarchy5"/>
    <dgm:cxn modelId="{2FCDFAC1-6E20-4072-AF0F-39637282FC31}" srcId="{9FBFFDEB-F4D5-422A-A9B4-B3673B2DBA6E}" destId="{875B664A-794F-4C94-AEB7-EA4976C00961}" srcOrd="0" destOrd="0" parTransId="{0FEACB3B-A947-40A3-97AA-728B24ECD229}" sibTransId="{BAF79C6A-9C1B-4927-85C1-16001BABD034}"/>
    <dgm:cxn modelId="{12F70210-20A6-4C71-BFB1-C1C5FF0B3D5F}" type="presOf" srcId="{8B2CB265-D489-4A9D-AAD4-887538F3D5E5}" destId="{004ADAE1-5E6D-40CD-85F5-C9914C499B2B}" srcOrd="0" destOrd="0" presId="urn:microsoft.com/office/officeart/2005/8/layout/hierarchy5"/>
    <dgm:cxn modelId="{C8176B64-232E-467F-9F5B-70A76E5DD607}" type="presOf" srcId="{60146B18-7146-4880-AC62-5B408E87CBA3}" destId="{F7FF7DE3-1B00-4948-9159-C9A50A6A0476}" srcOrd="0" destOrd="0" presId="urn:microsoft.com/office/officeart/2005/8/layout/hierarchy5"/>
    <dgm:cxn modelId="{73F42F9E-8319-481F-8AFA-D32F13A5CCEA}" srcId="{DA57D6B7-48E7-47BA-9520-413E26BE1F86}" destId="{D451A345-2BF2-43D3-96CD-4F449503705C}" srcOrd="2" destOrd="0" parTransId="{E6ACBB0C-7088-4618-B896-C801C516AA30}" sibTransId="{3301055E-AB15-4D0F-95F8-0CBBE3A1D552}"/>
    <dgm:cxn modelId="{32E61EB7-EECE-4710-9836-DDF5F4A65000}" type="presOf" srcId="{B78CE4DF-F17D-44C9-8630-6EFC322266CA}" destId="{66F4DD1F-EEBE-4791-9ACF-62647BE52F1F}" srcOrd="0" destOrd="0" presId="urn:microsoft.com/office/officeart/2005/8/layout/hierarchy5"/>
    <dgm:cxn modelId="{2CE19670-6A35-4189-959A-29F9B709C7BE}" type="presOf" srcId="{72351A3B-CA4F-46AD-A067-32BAE2663FAE}" destId="{B371E648-3135-4746-899D-54A9997E45A7}" srcOrd="0" destOrd="0" presId="urn:microsoft.com/office/officeart/2005/8/layout/hierarchy5"/>
    <dgm:cxn modelId="{0DA19D0B-69CA-4F7A-8DA5-1DEAC19B5414}" type="presOf" srcId="{77EF115C-9796-473A-A8F7-BC04566CF088}" destId="{DA3862F4-2803-44FB-8362-FB70B8B3540E}" srcOrd="0" destOrd="0" presId="urn:microsoft.com/office/officeart/2005/8/layout/hierarchy5"/>
    <dgm:cxn modelId="{8FE46208-B2C3-403E-9FDF-FDEBAC6689A6}" type="presOf" srcId="{10EBB0B6-A97E-4573-A118-FC9B4CAB750B}" destId="{D8928978-CA07-4C05-ADBC-DF6F58DB52C3}" srcOrd="0" destOrd="0" presId="urn:microsoft.com/office/officeart/2005/8/layout/hierarchy5"/>
    <dgm:cxn modelId="{BF43099C-1C2C-48D5-A787-F6F86EEF0D35}" type="presOf" srcId="{A2AF0CC2-CE4A-44CE-A00B-F624CCCA61FE}" destId="{29452E0A-DEA1-444D-8B10-7DE21E58F3AA}" srcOrd="0" destOrd="0" presId="urn:microsoft.com/office/officeart/2005/8/layout/hierarchy5"/>
    <dgm:cxn modelId="{20A31B3B-81E6-47C5-9537-F71C4412D7CF}" type="presOf" srcId="{42A70311-54DD-422E-ADBD-C4FAB3AF00D4}" destId="{417CE763-226E-421A-A2ED-B13648A6F9B6}" srcOrd="0" destOrd="0" presId="urn:microsoft.com/office/officeart/2005/8/layout/hierarchy5"/>
    <dgm:cxn modelId="{DAD8060C-CC02-4C42-841E-4C0AE95810B5}" type="presOf" srcId="{6B4FC7AB-B8F5-4A05-A87A-14B282C351A1}" destId="{2949A10B-E99A-455E-834B-5A1797423AD3}" srcOrd="0" destOrd="0" presId="urn:microsoft.com/office/officeart/2005/8/layout/hierarchy5"/>
    <dgm:cxn modelId="{032DE624-49B1-4BD2-8AC9-67B6AB368B57}" type="presOf" srcId="{27C0F39B-42DD-4A98-A74F-AEC5E6192A57}" destId="{90DFE0E2-23E1-4CBF-A0A3-1F890F447F7D}" srcOrd="0" destOrd="0" presId="urn:microsoft.com/office/officeart/2005/8/layout/hierarchy5"/>
    <dgm:cxn modelId="{E81B67CF-EC6A-4463-9B7C-291EE5AFDF7B}" srcId="{EC82A317-8FE7-4AE3-A1BA-65DA906F756D}" destId="{DF5ABDAF-E91B-4EAD-ADF1-7133E583DC92}" srcOrd="0" destOrd="0" parTransId="{1DD64CBB-4A50-41DC-96EA-EB70AFCE00AF}" sibTransId="{4ECA505D-4782-434A-8E60-067E2172AB36}"/>
    <dgm:cxn modelId="{5EF8F71E-549A-48D7-A0E1-8B783A72D593}" srcId="{B9493623-8865-4501-BF3B-D7C9D69EFFF1}" destId="{B73A4D79-D610-4619-9822-7F17FEDEC1EF}" srcOrd="1" destOrd="0" parTransId="{4918478F-D7A3-4126-A858-ED4AD724A19C}" sibTransId="{56FF8BFF-D891-484D-A160-2B5F9E807D8F}"/>
    <dgm:cxn modelId="{711B4CE8-EF57-4D68-9A3F-D99690023DDB}" srcId="{181CE218-FDE5-45D6-9BF9-3828F3482521}" destId="{6B4FC7AB-B8F5-4A05-A87A-14B282C351A1}" srcOrd="2" destOrd="0" parTransId="{DCF57280-F9FD-492B-941A-19FA2C2C8138}" sibTransId="{0C73183D-2238-4C82-BC88-ABCA2D31F8CE}"/>
    <dgm:cxn modelId="{35085FC2-BFA4-4014-8C07-17C90445165D}" type="presOf" srcId="{4918478F-D7A3-4126-A858-ED4AD724A19C}" destId="{ABE86191-48DC-4857-B8C1-FE4B1B2573E3}" srcOrd="0" destOrd="0" presId="urn:microsoft.com/office/officeart/2005/8/layout/hierarchy5"/>
    <dgm:cxn modelId="{7498FEB0-5EE6-4CAE-998C-A8B78B008471}" type="presOf" srcId="{2C7E14AC-789E-400B-BE5D-F3D6F2B748E0}" destId="{0E88DC31-6D65-43E9-9C20-5FF2346D09BD}" srcOrd="0" destOrd="0" presId="urn:microsoft.com/office/officeart/2005/8/layout/hierarchy5"/>
    <dgm:cxn modelId="{30C636C6-1112-4DAB-AE5F-7C4201BB3877}" type="presOf" srcId="{5F0A52B8-E0C8-470C-8A70-777EDBE69F50}" destId="{812774F8-F848-4EC0-8DB8-26BCBFA53B28}" srcOrd="0" destOrd="0" presId="urn:microsoft.com/office/officeart/2005/8/layout/hierarchy5"/>
    <dgm:cxn modelId="{80D2E8B4-C77A-4415-8FA3-3A3EE71BC3CD}" type="presOf" srcId="{ED41A430-3E9D-414D-B8FA-E525E671AFB2}" destId="{09BD0F80-B05E-4575-B744-037A126F0939}" srcOrd="0" destOrd="0" presId="urn:microsoft.com/office/officeart/2005/8/layout/hierarchy5"/>
    <dgm:cxn modelId="{6409A885-8AEC-466A-8DA8-2407C5A994F2}" type="presOf" srcId="{BB331EF2-F5AF-4E45-A298-905DC42AD62A}" destId="{B98B6C76-0144-4B8A-91E2-080D5B452162}" srcOrd="1" destOrd="0" presId="urn:microsoft.com/office/officeart/2005/8/layout/hierarchy5"/>
    <dgm:cxn modelId="{541FDEBB-6D15-44FE-9F1E-D4F0F1AFEFBB}" type="presOf" srcId="{2C7E14AC-789E-400B-BE5D-F3D6F2B748E0}" destId="{5B55226A-23ED-4672-917A-6F862247AF97}" srcOrd="1" destOrd="0" presId="urn:microsoft.com/office/officeart/2005/8/layout/hierarchy5"/>
    <dgm:cxn modelId="{42EE4225-05A1-473F-9263-557AC5AA77D6}" type="presParOf" srcId="{1FFC9314-E0D1-4D26-AD5A-A7F310219F32}" destId="{687143A1-7BB4-470B-9227-00A1FEC197A6}" srcOrd="0" destOrd="0" presId="urn:microsoft.com/office/officeart/2005/8/layout/hierarchy5"/>
    <dgm:cxn modelId="{1C3F845D-4A96-4874-BA8C-449B6E63027E}" type="presParOf" srcId="{687143A1-7BB4-470B-9227-00A1FEC197A6}" destId="{37E12A99-D969-4669-B803-7F281906B6FD}" srcOrd="0" destOrd="0" presId="urn:microsoft.com/office/officeart/2005/8/layout/hierarchy5"/>
    <dgm:cxn modelId="{DEFACFE0-E5B2-422B-BCA6-0DEACFD2C416}" type="presParOf" srcId="{37E12A99-D969-4669-B803-7F281906B6FD}" destId="{D6BC240F-E7B8-4498-92D8-021288744B5B}" srcOrd="0" destOrd="0" presId="urn:microsoft.com/office/officeart/2005/8/layout/hierarchy5"/>
    <dgm:cxn modelId="{2B87C742-634B-4BE9-8B4F-7147EF56424D}" type="presParOf" srcId="{D6BC240F-E7B8-4498-92D8-021288744B5B}" destId="{BA5B2336-AC11-4855-A94E-5AF90CF28641}" srcOrd="0" destOrd="0" presId="urn:microsoft.com/office/officeart/2005/8/layout/hierarchy5"/>
    <dgm:cxn modelId="{A6B8BD73-F5D2-41AA-9810-82D435684A21}" type="presParOf" srcId="{D6BC240F-E7B8-4498-92D8-021288744B5B}" destId="{57E84DD7-489B-4024-B17C-0BFF5644CF2D}" srcOrd="1" destOrd="0" presId="urn:microsoft.com/office/officeart/2005/8/layout/hierarchy5"/>
    <dgm:cxn modelId="{5C99D842-C052-4A77-B239-095AE471E61B}" type="presParOf" srcId="{57E84DD7-489B-4024-B17C-0BFF5644CF2D}" destId="{B44AFB69-4BDF-47F6-80A1-234DAB0752F2}" srcOrd="0" destOrd="0" presId="urn:microsoft.com/office/officeart/2005/8/layout/hierarchy5"/>
    <dgm:cxn modelId="{40B2A0CE-11B0-4B04-B9AE-3BDBFA7A834A}" type="presParOf" srcId="{B44AFB69-4BDF-47F6-80A1-234DAB0752F2}" destId="{BE2B20F7-4DC4-4B7E-AAEB-9B28C3E1E3A4}" srcOrd="0" destOrd="0" presId="urn:microsoft.com/office/officeart/2005/8/layout/hierarchy5"/>
    <dgm:cxn modelId="{B65E1BDB-CADF-433A-BC72-7BF9FEF18EFC}" type="presParOf" srcId="{57E84DD7-489B-4024-B17C-0BFF5644CF2D}" destId="{1F58DC2B-6DFB-4CE8-B977-CB62F590BBF1}" srcOrd="1" destOrd="0" presId="urn:microsoft.com/office/officeart/2005/8/layout/hierarchy5"/>
    <dgm:cxn modelId="{585DD93B-03B1-4B85-A8B3-BFA4383538F5}" type="presParOf" srcId="{1F58DC2B-6DFB-4CE8-B977-CB62F590BBF1}" destId="{10542345-F55A-45FA-9557-183EEC17BBA2}" srcOrd="0" destOrd="0" presId="urn:microsoft.com/office/officeart/2005/8/layout/hierarchy5"/>
    <dgm:cxn modelId="{295DE9A3-4F14-4025-9592-972A05692EBD}" type="presParOf" srcId="{1F58DC2B-6DFB-4CE8-B977-CB62F590BBF1}" destId="{0CDA59B7-EE96-4773-86FF-F072D9D6E2B6}" srcOrd="1" destOrd="0" presId="urn:microsoft.com/office/officeart/2005/8/layout/hierarchy5"/>
    <dgm:cxn modelId="{575E8668-407D-48BB-9163-BAA7A9DA447D}" type="presParOf" srcId="{0CDA59B7-EE96-4773-86FF-F072D9D6E2B6}" destId="{D8928978-CA07-4C05-ADBC-DF6F58DB52C3}" srcOrd="0" destOrd="0" presId="urn:microsoft.com/office/officeart/2005/8/layout/hierarchy5"/>
    <dgm:cxn modelId="{24C75ED8-C27C-4B5E-8D3F-337A02E123D5}" type="presParOf" srcId="{D8928978-CA07-4C05-ADBC-DF6F58DB52C3}" destId="{C3E8BA35-D965-4113-A4A8-A974DDF4F570}" srcOrd="0" destOrd="0" presId="urn:microsoft.com/office/officeart/2005/8/layout/hierarchy5"/>
    <dgm:cxn modelId="{2CE9F3F7-34D5-4946-8E66-FD0C9F266ADB}" type="presParOf" srcId="{0CDA59B7-EE96-4773-86FF-F072D9D6E2B6}" destId="{3584C342-11E3-4EC8-BCDA-662EE1D1CB79}" srcOrd="1" destOrd="0" presId="urn:microsoft.com/office/officeart/2005/8/layout/hierarchy5"/>
    <dgm:cxn modelId="{BEAD3EE0-472E-4C70-BA91-0B4A75BF50F2}" type="presParOf" srcId="{3584C342-11E3-4EC8-BCDA-662EE1D1CB79}" destId="{02AB7DDD-D2FE-41E5-A94D-2D75FE68EF1E}" srcOrd="0" destOrd="0" presId="urn:microsoft.com/office/officeart/2005/8/layout/hierarchy5"/>
    <dgm:cxn modelId="{C84FDDC5-71C5-44D7-AB02-642F2FBC4B19}" type="presParOf" srcId="{3584C342-11E3-4EC8-BCDA-662EE1D1CB79}" destId="{1B360FC1-C7AC-4565-854F-386E495A9161}" srcOrd="1" destOrd="0" presId="urn:microsoft.com/office/officeart/2005/8/layout/hierarchy5"/>
    <dgm:cxn modelId="{3AFC7B19-A47F-43C3-8EB1-649E3DD2AABF}" type="presParOf" srcId="{1B360FC1-C7AC-4565-854F-386E495A9161}" destId="{FECD328B-D947-4370-A8CB-7CCA71CE1D5C}" srcOrd="0" destOrd="0" presId="urn:microsoft.com/office/officeart/2005/8/layout/hierarchy5"/>
    <dgm:cxn modelId="{32D1E354-0F8E-491C-B1D4-74DF3FC543A4}" type="presParOf" srcId="{FECD328B-D947-4370-A8CB-7CCA71CE1D5C}" destId="{D9BB9416-5BFF-4C75-BF81-C806944E6D6E}" srcOrd="0" destOrd="0" presId="urn:microsoft.com/office/officeart/2005/8/layout/hierarchy5"/>
    <dgm:cxn modelId="{C62617F3-81C0-4540-8481-EF59295B7A02}" type="presParOf" srcId="{1B360FC1-C7AC-4565-854F-386E495A9161}" destId="{CDB7DC47-82F5-4BDF-BDBF-E75868C5B00E}" srcOrd="1" destOrd="0" presId="urn:microsoft.com/office/officeart/2005/8/layout/hierarchy5"/>
    <dgm:cxn modelId="{836C7BF1-41A6-4D4B-BA1A-EBBEFFB2B368}" type="presParOf" srcId="{CDB7DC47-82F5-4BDF-BDBF-E75868C5B00E}" destId="{34069703-A687-4A3A-9882-288D568F4C3A}" srcOrd="0" destOrd="0" presId="urn:microsoft.com/office/officeart/2005/8/layout/hierarchy5"/>
    <dgm:cxn modelId="{B1F0D395-4C8B-45C0-BA8B-D6E86D95C9DD}" type="presParOf" srcId="{CDB7DC47-82F5-4BDF-BDBF-E75868C5B00E}" destId="{8C34EB5E-2248-43BA-B426-87744C44F85B}" srcOrd="1" destOrd="0" presId="urn:microsoft.com/office/officeart/2005/8/layout/hierarchy5"/>
    <dgm:cxn modelId="{F24514D4-6F0D-4498-8FFC-2F91EED18821}" type="presParOf" srcId="{8C34EB5E-2248-43BA-B426-87744C44F85B}" destId="{29452E0A-DEA1-444D-8B10-7DE21E58F3AA}" srcOrd="0" destOrd="0" presId="urn:microsoft.com/office/officeart/2005/8/layout/hierarchy5"/>
    <dgm:cxn modelId="{4253E584-1CB5-4086-8156-942461B4CE53}" type="presParOf" srcId="{29452E0A-DEA1-444D-8B10-7DE21E58F3AA}" destId="{CAB301BD-ADCD-43E6-B274-D441FBE12953}" srcOrd="0" destOrd="0" presId="urn:microsoft.com/office/officeart/2005/8/layout/hierarchy5"/>
    <dgm:cxn modelId="{51169691-1A60-4D88-BFF4-2FE6D941E77A}" type="presParOf" srcId="{8C34EB5E-2248-43BA-B426-87744C44F85B}" destId="{2C3580EE-5E8A-4066-87B0-41E91886E07C}" srcOrd="1" destOrd="0" presId="urn:microsoft.com/office/officeart/2005/8/layout/hierarchy5"/>
    <dgm:cxn modelId="{387F030D-61C9-4748-A4AD-27913403FEEB}" type="presParOf" srcId="{2C3580EE-5E8A-4066-87B0-41E91886E07C}" destId="{09BD0F80-B05E-4575-B744-037A126F0939}" srcOrd="0" destOrd="0" presId="urn:microsoft.com/office/officeart/2005/8/layout/hierarchy5"/>
    <dgm:cxn modelId="{061728D1-13A0-4E5E-A624-E2887BF8ACC5}" type="presParOf" srcId="{2C3580EE-5E8A-4066-87B0-41E91886E07C}" destId="{301517C0-3504-4409-842C-C882CE41623A}" srcOrd="1" destOrd="0" presId="urn:microsoft.com/office/officeart/2005/8/layout/hierarchy5"/>
    <dgm:cxn modelId="{595DEED0-E5D8-468F-965F-65C46687AED2}" type="presParOf" srcId="{8C34EB5E-2248-43BA-B426-87744C44F85B}" destId="{812774F8-F848-4EC0-8DB8-26BCBFA53B28}" srcOrd="2" destOrd="0" presId="urn:microsoft.com/office/officeart/2005/8/layout/hierarchy5"/>
    <dgm:cxn modelId="{810964A5-C166-480F-AD69-AC8D12AA53A3}" type="presParOf" srcId="{812774F8-F848-4EC0-8DB8-26BCBFA53B28}" destId="{6A8DC63F-8F25-43C5-95BC-A1FFB72D1D85}" srcOrd="0" destOrd="0" presId="urn:microsoft.com/office/officeart/2005/8/layout/hierarchy5"/>
    <dgm:cxn modelId="{E0FCA01B-60E1-40A8-957F-6B4B2B54C780}" type="presParOf" srcId="{8C34EB5E-2248-43BA-B426-87744C44F85B}" destId="{2AA59832-7871-426D-BA5D-DB44EA26FADC}" srcOrd="3" destOrd="0" presId="urn:microsoft.com/office/officeart/2005/8/layout/hierarchy5"/>
    <dgm:cxn modelId="{4D14A7DF-F224-4C42-BDE0-E5683215138F}" type="presParOf" srcId="{2AA59832-7871-426D-BA5D-DB44EA26FADC}" destId="{801117D0-30FC-4B1C-8441-CDB82E1D2310}" srcOrd="0" destOrd="0" presId="urn:microsoft.com/office/officeart/2005/8/layout/hierarchy5"/>
    <dgm:cxn modelId="{83F14686-55F4-4A0F-8DCB-94C10A69FD41}" type="presParOf" srcId="{2AA59832-7871-426D-BA5D-DB44EA26FADC}" destId="{790F1D6C-ACFE-4DD7-8AEE-1BD9171E45DB}" srcOrd="1" destOrd="0" presId="urn:microsoft.com/office/officeart/2005/8/layout/hierarchy5"/>
    <dgm:cxn modelId="{513F93ED-00E3-41C8-B011-716FD7F8B4B8}" type="presParOf" srcId="{8C34EB5E-2248-43BA-B426-87744C44F85B}" destId="{DE9564A2-42EE-4EBD-86F2-51FDA32BB63A}" srcOrd="4" destOrd="0" presId="urn:microsoft.com/office/officeart/2005/8/layout/hierarchy5"/>
    <dgm:cxn modelId="{B4CF88B5-1C41-42BB-81AC-F3FF107DA243}" type="presParOf" srcId="{DE9564A2-42EE-4EBD-86F2-51FDA32BB63A}" destId="{AC1B941B-11EE-4914-B924-7882A9EC33A7}" srcOrd="0" destOrd="0" presId="urn:microsoft.com/office/officeart/2005/8/layout/hierarchy5"/>
    <dgm:cxn modelId="{3E41DEEF-EE05-4779-8D47-CDD48FB12100}" type="presParOf" srcId="{8C34EB5E-2248-43BA-B426-87744C44F85B}" destId="{AA34BD37-D70A-4130-A0C9-D1A666925CCC}" srcOrd="5" destOrd="0" presId="urn:microsoft.com/office/officeart/2005/8/layout/hierarchy5"/>
    <dgm:cxn modelId="{FED870D3-AB06-40A4-B5B9-ACEADC16FBA1}" type="presParOf" srcId="{AA34BD37-D70A-4130-A0C9-D1A666925CCC}" destId="{2949A10B-E99A-455E-834B-5A1797423AD3}" srcOrd="0" destOrd="0" presId="urn:microsoft.com/office/officeart/2005/8/layout/hierarchy5"/>
    <dgm:cxn modelId="{B9A624BD-B653-4C70-A1BD-B3B8DEE440EC}" type="presParOf" srcId="{AA34BD37-D70A-4130-A0C9-D1A666925CCC}" destId="{A28C3209-0154-41AA-8825-BFBBFBE44B83}" srcOrd="1" destOrd="0" presId="urn:microsoft.com/office/officeart/2005/8/layout/hierarchy5"/>
    <dgm:cxn modelId="{0B08B1C8-87D6-4004-8B59-C8485CC0669E}" type="presParOf" srcId="{1B360FC1-C7AC-4565-854F-386E495A9161}" destId="{66F4DD1F-EEBE-4791-9ACF-62647BE52F1F}" srcOrd="2" destOrd="0" presId="urn:microsoft.com/office/officeart/2005/8/layout/hierarchy5"/>
    <dgm:cxn modelId="{E5A0978D-A185-484F-9362-03D364558989}" type="presParOf" srcId="{66F4DD1F-EEBE-4791-9ACF-62647BE52F1F}" destId="{648F6D1A-92CC-4E5D-812E-6477BE777E8E}" srcOrd="0" destOrd="0" presId="urn:microsoft.com/office/officeart/2005/8/layout/hierarchy5"/>
    <dgm:cxn modelId="{8F5BDBE4-CD52-46D9-BDE0-207C0B4B0044}" type="presParOf" srcId="{1B360FC1-C7AC-4565-854F-386E495A9161}" destId="{D49C4C43-C7EB-4A20-8B3A-DF747B535FED}" srcOrd="3" destOrd="0" presId="urn:microsoft.com/office/officeart/2005/8/layout/hierarchy5"/>
    <dgm:cxn modelId="{4F3F3DAD-E17C-40B3-9137-022C4B749B2D}" type="presParOf" srcId="{D49C4C43-C7EB-4A20-8B3A-DF747B535FED}" destId="{99326077-B656-4B7A-AB0A-0C5C38597939}" srcOrd="0" destOrd="0" presId="urn:microsoft.com/office/officeart/2005/8/layout/hierarchy5"/>
    <dgm:cxn modelId="{F6F9FB8B-6137-4FD1-9D5D-7CC9737A72C9}" type="presParOf" srcId="{D49C4C43-C7EB-4A20-8B3A-DF747B535FED}" destId="{F9F9BA09-E361-4414-B7FF-2E148B9E50AE}" srcOrd="1" destOrd="0" presId="urn:microsoft.com/office/officeart/2005/8/layout/hierarchy5"/>
    <dgm:cxn modelId="{70989358-AF61-4358-96FF-29BDC4B3E8BE}" type="presParOf" srcId="{0CDA59B7-EE96-4773-86FF-F072D9D6E2B6}" destId="{ABE86191-48DC-4857-B8C1-FE4B1B2573E3}" srcOrd="2" destOrd="0" presId="urn:microsoft.com/office/officeart/2005/8/layout/hierarchy5"/>
    <dgm:cxn modelId="{997131D6-A731-493A-BC58-02545B745233}" type="presParOf" srcId="{ABE86191-48DC-4857-B8C1-FE4B1B2573E3}" destId="{BB516A11-B309-46E5-8662-525CF7CF8766}" srcOrd="0" destOrd="0" presId="urn:microsoft.com/office/officeart/2005/8/layout/hierarchy5"/>
    <dgm:cxn modelId="{71FDE4C3-C1FB-4703-BF5F-06D8BF3A0628}" type="presParOf" srcId="{0CDA59B7-EE96-4773-86FF-F072D9D6E2B6}" destId="{8F5E04EC-D139-477E-A50E-831369B915EE}" srcOrd="3" destOrd="0" presId="urn:microsoft.com/office/officeart/2005/8/layout/hierarchy5"/>
    <dgm:cxn modelId="{A32D71D8-C8B6-481B-B3FE-367462A23845}" type="presParOf" srcId="{8F5E04EC-D139-477E-A50E-831369B915EE}" destId="{2D111339-D58B-4D31-918A-504F61F82AD6}" srcOrd="0" destOrd="0" presId="urn:microsoft.com/office/officeart/2005/8/layout/hierarchy5"/>
    <dgm:cxn modelId="{484FC4BD-3604-45E0-B179-1421CFEED1DD}" type="presParOf" srcId="{8F5E04EC-D139-477E-A50E-831369B915EE}" destId="{AA14474E-F7ED-4DC0-A278-1220C2758AE6}" srcOrd="1" destOrd="0" presId="urn:microsoft.com/office/officeart/2005/8/layout/hierarchy5"/>
    <dgm:cxn modelId="{9FC634A8-E5A9-4C1F-BF16-527D424771F6}" type="presParOf" srcId="{AA14474E-F7ED-4DC0-A278-1220C2758AE6}" destId="{80346E09-0D6C-4238-A57F-233AE34EFF56}" srcOrd="0" destOrd="0" presId="urn:microsoft.com/office/officeart/2005/8/layout/hierarchy5"/>
    <dgm:cxn modelId="{D76A0C44-9E93-4938-94E0-3CC8D674B4D8}" type="presParOf" srcId="{80346E09-0D6C-4238-A57F-233AE34EFF56}" destId="{979EF651-D924-40CF-8968-67A002B195D7}" srcOrd="0" destOrd="0" presId="urn:microsoft.com/office/officeart/2005/8/layout/hierarchy5"/>
    <dgm:cxn modelId="{AF0209F7-E297-410A-83EF-06EF88686CE9}" type="presParOf" srcId="{AA14474E-F7ED-4DC0-A278-1220C2758AE6}" destId="{DECB7C98-7D4E-41E0-B049-36B08CF8C032}" srcOrd="1" destOrd="0" presId="urn:microsoft.com/office/officeart/2005/8/layout/hierarchy5"/>
    <dgm:cxn modelId="{1CD379B8-1781-42CF-ACF7-D4F454322720}" type="presParOf" srcId="{DECB7C98-7D4E-41E0-B049-36B08CF8C032}" destId="{A587465A-920E-4954-A298-8146F065C754}" srcOrd="0" destOrd="0" presId="urn:microsoft.com/office/officeart/2005/8/layout/hierarchy5"/>
    <dgm:cxn modelId="{72E8AEC9-9E3C-47BE-81D5-BAF6406301BD}" type="presParOf" srcId="{DECB7C98-7D4E-41E0-B049-36B08CF8C032}" destId="{8E1F29B2-1D8E-466D-A610-E588FE199CB8}" srcOrd="1" destOrd="0" presId="urn:microsoft.com/office/officeart/2005/8/layout/hierarchy5"/>
    <dgm:cxn modelId="{C4C07D55-D43E-4A4B-A6BE-CF675AFFE6DD}" type="presParOf" srcId="{8E1F29B2-1D8E-466D-A610-E588FE199CB8}" destId="{8D7C31E9-C3E0-41EE-B20E-2A88ECA12124}" srcOrd="0" destOrd="0" presId="urn:microsoft.com/office/officeart/2005/8/layout/hierarchy5"/>
    <dgm:cxn modelId="{ACD08E9C-358D-4B1C-A574-F3591058BB9A}" type="presParOf" srcId="{8D7C31E9-C3E0-41EE-B20E-2A88ECA12124}" destId="{33FDB367-029F-4BE0-A96E-058E8A137316}" srcOrd="0" destOrd="0" presId="urn:microsoft.com/office/officeart/2005/8/layout/hierarchy5"/>
    <dgm:cxn modelId="{59C11F1E-1079-454E-A55E-DAA7B82248D3}" type="presParOf" srcId="{8E1F29B2-1D8E-466D-A610-E588FE199CB8}" destId="{8571F01C-C251-4CCC-8D81-5C647C69FC94}" srcOrd="1" destOrd="0" presId="urn:microsoft.com/office/officeart/2005/8/layout/hierarchy5"/>
    <dgm:cxn modelId="{60DECDF8-1610-4936-B667-C80A367F2E87}" type="presParOf" srcId="{8571F01C-C251-4CCC-8D81-5C647C69FC94}" destId="{EC1DD8FD-688C-4E93-89FF-F3B27C362A4B}" srcOrd="0" destOrd="0" presId="urn:microsoft.com/office/officeart/2005/8/layout/hierarchy5"/>
    <dgm:cxn modelId="{D13E75B2-5EAD-4D6A-9C78-0FA123549FD9}" type="presParOf" srcId="{8571F01C-C251-4CCC-8D81-5C647C69FC94}" destId="{FE5F6AC6-E1D1-4658-98CE-06240C9B7D1F}" srcOrd="1" destOrd="0" presId="urn:microsoft.com/office/officeart/2005/8/layout/hierarchy5"/>
    <dgm:cxn modelId="{B5419DBE-69F2-4130-9857-4B1E3C57BDE5}" type="presParOf" srcId="{8E1F29B2-1D8E-466D-A610-E588FE199CB8}" destId="{DA3862F4-2803-44FB-8362-FB70B8B3540E}" srcOrd="2" destOrd="0" presId="urn:microsoft.com/office/officeart/2005/8/layout/hierarchy5"/>
    <dgm:cxn modelId="{774A631C-01CE-4272-BDA9-4D05D48987C2}" type="presParOf" srcId="{DA3862F4-2803-44FB-8362-FB70B8B3540E}" destId="{9B377034-C2E3-4FB2-BF26-BAE55B85375D}" srcOrd="0" destOrd="0" presId="urn:microsoft.com/office/officeart/2005/8/layout/hierarchy5"/>
    <dgm:cxn modelId="{47DD2667-A1B8-4283-802A-37A64AD7218D}" type="presParOf" srcId="{8E1F29B2-1D8E-466D-A610-E588FE199CB8}" destId="{F5DD80D8-0CE9-4DE7-AF61-5B5CEECFB6C2}" srcOrd="3" destOrd="0" presId="urn:microsoft.com/office/officeart/2005/8/layout/hierarchy5"/>
    <dgm:cxn modelId="{223471AC-8F67-43BC-ABE8-C2795476D216}" type="presParOf" srcId="{F5DD80D8-0CE9-4DE7-AF61-5B5CEECFB6C2}" destId="{B371E648-3135-4746-899D-54A9997E45A7}" srcOrd="0" destOrd="0" presId="urn:microsoft.com/office/officeart/2005/8/layout/hierarchy5"/>
    <dgm:cxn modelId="{659A5BEE-466A-488A-AF35-0022F0D316DA}" type="presParOf" srcId="{F5DD80D8-0CE9-4DE7-AF61-5B5CEECFB6C2}" destId="{1427B5F4-692B-46A0-846D-269D9231D810}" srcOrd="1" destOrd="0" presId="urn:microsoft.com/office/officeart/2005/8/layout/hierarchy5"/>
    <dgm:cxn modelId="{C7A1B98D-ED66-48C7-B3E7-94F61F65D410}" type="presParOf" srcId="{8E1F29B2-1D8E-466D-A610-E588FE199CB8}" destId="{7815704F-21B9-4D20-8109-94191230A9CB}" srcOrd="4" destOrd="0" presId="urn:microsoft.com/office/officeart/2005/8/layout/hierarchy5"/>
    <dgm:cxn modelId="{B49F9822-C991-441D-8F34-BFB53D74E15A}" type="presParOf" srcId="{7815704F-21B9-4D20-8109-94191230A9CB}" destId="{78008BB3-7250-4CD1-BABC-7C8406C636A6}" srcOrd="0" destOrd="0" presId="urn:microsoft.com/office/officeart/2005/8/layout/hierarchy5"/>
    <dgm:cxn modelId="{5B71FF95-0AD2-4BD3-B355-FF67FFC7D74D}" type="presParOf" srcId="{8E1F29B2-1D8E-466D-A610-E588FE199CB8}" destId="{AAE9C2E5-12D5-4D72-8264-435F89C893FA}" srcOrd="5" destOrd="0" presId="urn:microsoft.com/office/officeart/2005/8/layout/hierarchy5"/>
    <dgm:cxn modelId="{018844CD-3A09-40FA-9B78-D4736F0D4540}" type="presParOf" srcId="{AAE9C2E5-12D5-4D72-8264-435F89C893FA}" destId="{417CE763-226E-421A-A2ED-B13648A6F9B6}" srcOrd="0" destOrd="0" presId="urn:microsoft.com/office/officeart/2005/8/layout/hierarchy5"/>
    <dgm:cxn modelId="{0F2942AE-1F61-4DF5-B8E9-EA19C79F9E16}" type="presParOf" srcId="{AAE9C2E5-12D5-4D72-8264-435F89C893FA}" destId="{D42F8746-2C29-4E34-B49B-D093FB5FDCAA}" srcOrd="1" destOrd="0" presId="urn:microsoft.com/office/officeart/2005/8/layout/hierarchy5"/>
    <dgm:cxn modelId="{2DEC5FD6-7E22-4B48-A3C1-8F79A5D33F62}" type="presParOf" srcId="{AA14474E-F7ED-4DC0-A278-1220C2758AE6}" destId="{2B8BEE0C-CE19-4AB9-8BF1-7D734699FF1E}" srcOrd="2" destOrd="0" presId="urn:microsoft.com/office/officeart/2005/8/layout/hierarchy5"/>
    <dgm:cxn modelId="{A645A2F1-5552-43E8-B91E-E948208AEB64}" type="presParOf" srcId="{2B8BEE0C-CE19-4AB9-8BF1-7D734699FF1E}" destId="{C56A27BC-B4EC-49E2-BC67-551992123AFB}" srcOrd="0" destOrd="0" presId="urn:microsoft.com/office/officeart/2005/8/layout/hierarchy5"/>
    <dgm:cxn modelId="{D840C2EF-6E04-4955-A16D-122A05F2B9A8}" type="presParOf" srcId="{AA14474E-F7ED-4DC0-A278-1220C2758AE6}" destId="{92B02756-01CC-4F19-B72C-2B1533FCF8EE}" srcOrd="3" destOrd="0" presId="urn:microsoft.com/office/officeart/2005/8/layout/hierarchy5"/>
    <dgm:cxn modelId="{3337C378-4142-4DB6-AFE8-2DEE90EC3AD0}" type="presParOf" srcId="{92B02756-01CC-4F19-B72C-2B1533FCF8EE}" destId="{EDABB4A0-2E25-4E08-B9B7-9EAFD7F19330}" srcOrd="0" destOrd="0" presId="urn:microsoft.com/office/officeart/2005/8/layout/hierarchy5"/>
    <dgm:cxn modelId="{B244B521-1453-4718-84F9-DE9D60B57CA0}" type="presParOf" srcId="{92B02756-01CC-4F19-B72C-2B1533FCF8EE}" destId="{F3E9A30E-AC98-443E-876B-A5EA7D5890C0}" srcOrd="1" destOrd="0" presId="urn:microsoft.com/office/officeart/2005/8/layout/hierarchy5"/>
    <dgm:cxn modelId="{B7807EBC-5497-432E-936D-05C512216573}" type="presParOf" srcId="{0CDA59B7-EE96-4773-86FF-F072D9D6E2B6}" destId="{6EAEEBAD-278B-48E1-A749-7550CE7F5737}" srcOrd="4" destOrd="0" presId="urn:microsoft.com/office/officeart/2005/8/layout/hierarchy5"/>
    <dgm:cxn modelId="{EF9CCBBF-0812-466D-A252-30DAB6AD054E}" type="presParOf" srcId="{6EAEEBAD-278B-48E1-A749-7550CE7F5737}" destId="{50138C9B-0159-44C9-B8DB-1A259CDD7DF9}" srcOrd="0" destOrd="0" presId="urn:microsoft.com/office/officeart/2005/8/layout/hierarchy5"/>
    <dgm:cxn modelId="{607A9A1F-BA89-44CC-B55D-67C252CF9727}" type="presParOf" srcId="{0CDA59B7-EE96-4773-86FF-F072D9D6E2B6}" destId="{2CA589F4-1765-45CB-84C5-35CC65B03ACB}" srcOrd="5" destOrd="0" presId="urn:microsoft.com/office/officeart/2005/8/layout/hierarchy5"/>
    <dgm:cxn modelId="{CB89D7C1-A405-4067-9B91-AC952267CC68}" type="presParOf" srcId="{2CA589F4-1765-45CB-84C5-35CC65B03ACB}" destId="{D290BF90-4F32-4016-8A8F-E313C05CE7AC}" srcOrd="0" destOrd="0" presId="urn:microsoft.com/office/officeart/2005/8/layout/hierarchy5"/>
    <dgm:cxn modelId="{E2285A67-FADD-46DF-9373-852B15FA1D98}" type="presParOf" srcId="{2CA589F4-1765-45CB-84C5-35CC65B03ACB}" destId="{8ECA93E4-32BC-45DC-A77D-AD25C011EC7A}" srcOrd="1" destOrd="0" presId="urn:microsoft.com/office/officeart/2005/8/layout/hierarchy5"/>
    <dgm:cxn modelId="{EB237B98-6317-4365-9623-DE8506DCFEBC}" type="presParOf" srcId="{8ECA93E4-32BC-45DC-A77D-AD25C011EC7A}" destId="{90DFE0E2-23E1-4CBF-A0A3-1F890F447F7D}" srcOrd="0" destOrd="0" presId="urn:microsoft.com/office/officeart/2005/8/layout/hierarchy5"/>
    <dgm:cxn modelId="{B4DC41EB-1B7B-415A-BF8C-6052985DD0F8}" type="presParOf" srcId="{90DFE0E2-23E1-4CBF-A0A3-1F890F447F7D}" destId="{3C1C5B49-E5A0-4109-87E1-DB1C0665B98C}" srcOrd="0" destOrd="0" presId="urn:microsoft.com/office/officeart/2005/8/layout/hierarchy5"/>
    <dgm:cxn modelId="{8AC287E3-AEFA-4827-B706-2F67D9ADE61B}" type="presParOf" srcId="{8ECA93E4-32BC-45DC-A77D-AD25C011EC7A}" destId="{1FD27FE1-A79C-4574-B0A0-EC7F918719E0}" srcOrd="1" destOrd="0" presId="urn:microsoft.com/office/officeart/2005/8/layout/hierarchy5"/>
    <dgm:cxn modelId="{1747FD58-ABC0-438A-AF2D-FCD0FF0E1F34}" type="presParOf" srcId="{1FD27FE1-A79C-4574-B0A0-EC7F918719E0}" destId="{C1508B2E-F1E2-4A0D-B325-6FF8E68F662F}" srcOrd="0" destOrd="0" presId="urn:microsoft.com/office/officeart/2005/8/layout/hierarchy5"/>
    <dgm:cxn modelId="{12FEC200-0B50-4F65-8CF7-2EEEF6556E78}" type="presParOf" srcId="{1FD27FE1-A79C-4574-B0A0-EC7F918719E0}" destId="{575276E7-515B-4C1C-ABEA-7BF6A9B64C56}" srcOrd="1" destOrd="0" presId="urn:microsoft.com/office/officeart/2005/8/layout/hierarchy5"/>
    <dgm:cxn modelId="{0D172A81-9F45-4B22-A4A2-AEF012BA1F62}" type="presParOf" srcId="{575276E7-515B-4C1C-ABEA-7BF6A9B64C56}" destId="{52343FEC-AA8D-4BF5-9E93-7707DB115815}" srcOrd="0" destOrd="0" presId="urn:microsoft.com/office/officeart/2005/8/layout/hierarchy5"/>
    <dgm:cxn modelId="{008016D7-10D5-4551-8C8E-C14EE516A45C}" type="presParOf" srcId="{52343FEC-AA8D-4BF5-9E93-7707DB115815}" destId="{5B163344-A3E7-4BB9-AD7B-EB14991B4C9C}" srcOrd="0" destOrd="0" presId="urn:microsoft.com/office/officeart/2005/8/layout/hierarchy5"/>
    <dgm:cxn modelId="{48AA96E7-CCB8-4858-8594-7C8028C15536}" type="presParOf" srcId="{575276E7-515B-4C1C-ABEA-7BF6A9B64C56}" destId="{1848A041-F152-400E-867E-C1804786A18C}" srcOrd="1" destOrd="0" presId="urn:microsoft.com/office/officeart/2005/8/layout/hierarchy5"/>
    <dgm:cxn modelId="{496016C1-D7FE-4AE4-BAEA-3B7855552A04}" type="presParOf" srcId="{1848A041-F152-400E-867E-C1804786A18C}" destId="{D931C509-0F57-4529-BF57-FDB0C6AE86B6}" srcOrd="0" destOrd="0" presId="urn:microsoft.com/office/officeart/2005/8/layout/hierarchy5"/>
    <dgm:cxn modelId="{0F195964-0745-411B-B0D5-BDD41D553DD3}" type="presParOf" srcId="{1848A041-F152-400E-867E-C1804786A18C}" destId="{2C06C8F0-7E41-4A81-B616-1AD9F1CA98B1}" srcOrd="1" destOrd="0" presId="urn:microsoft.com/office/officeart/2005/8/layout/hierarchy5"/>
    <dgm:cxn modelId="{A760DABE-7976-4B1F-88A2-A107312EB57C}" type="presParOf" srcId="{575276E7-515B-4C1C-ABEA-7BF6A9B64C56}" destId="{3B15D8BB-32D8-4C0C-B5A4-15B1E2ED03D9}" srcOrd="2" destOrd="0" presId="urn:microsoft.com/office/officeart/2005/8/layout/hierarchy5"/>
    <dgm:cxn modelId="{C8676291-342C-40D3-835C-393461677733}" type="presParOf" srcId="{3B15D8BB-32D8-4C0C-B5A4-15B1E2ED03D9}" destId="{62B2F4FE-0946-4796-90D6-08D67923ADF2}" srcOrd="0" destOrd="0" presId="urn:microsoft.com/office/officeart/2005/8/layout/hierarchy5"/>
    <dgm:cxn modelId="{3D76F6D9-5A65-4E01-A42F-95B5026BBE01}" type="presParOf" srcId="{575276E7-515B-4C1C-ABEA-7BF6A9B64C56}" destId="{DF1C70D5-2AA4-4615-B051-606AF6C72FCA}" srcOrd="3" destOrd="0" presId="urn:microsoft.com/office/officeart/2005/8/layout/hierarchy5"/>
    <dgm:cxn modelId="{222BEE95-D9AC-47CB-8909-B65071B92668}" type="presParOf" srcId="{DF1C70D5-2AA4-4615-B051-606AF6C72FCA}" destId="{F7FF7DE3-1B00-4948-9159-C9A50A6A0476}" srcOrd="0" destOrd="0" presId="urn:microsoft.com/office/officeart/2005/8/layout/hierarchy5"/>
    <dgm:cxn modelId="{8FF72DBE-A687-43B2-81FD-FE648B6353BB}" type="presParOf" srcId="{DF1C70D5-2AA4-4615-B051-606AF6C72FCA}" destId="{16DC2570-12FF-4233-A2CB-C556755C3E39}" srcOrd="1" destOrd="0" presId="urn:microsoft.com/office/officeart/2005/8/layout/hierarchy5"/>
    <dgm:cxn modelId="{7679A30C-6473-4125-A23B-96D2B85CF12F}" type="presParOf" srcId="{575276E7-515B-4C1C-ABEA-7BF6A9B64C56}" destId="{085C8FA5-E351-482C-AC74-D2E4979F5CC5}" srcOrd="4" destOrd="0" presId="urn:microsoft.com/office/officeart/2005/8/layout/hierarchy5"/>
    <dgm:cxn modelId="{59F015E8-335D-4FF6-BA23-ECD191B782E4}" type="presParOf" srcId="{085C8FA5-E351-482C-AC74-D2E4979F5CC5}" destId="{A8F0775E-0028-4068-9358-ADCDF08D0279}" srcOrd="0" destOrd="0" presId="urn:microsoft.com/office/officeart/2005/8/layout/hierarchy5"/>
    <dgm:cxn modelId="{92512F21-547B-47F8-85D2-F0531090DD6B}" type="presParOf" srcId="{575276E7-515B-4C1C-ABEA-7BF6A9B64C56}" destId="{FF4E7EFE-614C-46E7-ACDD-ADD0F633001F}" srcOrd="5" destOrd="0" presId="urn:microsoft.com/office/officeart/2005/8/layout/hierarchy5"/>
    <dgm:cxn modelId="{9641F8DC-D284-4A0F-A204-6FEE846DA371}" type="presParOf" srcId="{FF4E7EFE-614C-46E7-ACDD-ADD0F633001F}" destId="{02CFC812-6E0F-4FBA-BBC3-B33E96DFE345}" srcOrd="0" destOrd="0" presId="urn:microsoft.com/office/officeart/2005/8/layout/hierarchy5"/>
    <dgm:cxn modelId="{6E76DDDD-BDF6-450E-8109-6F6BFE8A1962}" type="presParOf" srcId="{FF4E7EFE-614C-46E7-ACDD-ADD0F633001F}" destId="{045D57E5-7606-4A10-8C65-E200A9A5DF75}" srcOrd="1" destOrd="0" presId="urn:microsoft.com/office/officeart/2005/8/layout/hierarchy5"/>
    <dgm:cxn modelId="{F37F2AB6-370A-4EE2-9D3B-E907B5DAC083}" type="presParOf" srcId="{8ECA93E4-32BC-45DC-A77D-AD25C011EC7A}" destId="{870F293D-D118-4EB6-BC47-AC8DCF1AA4CE}" srcOrd="2" destOrd="0" presId="urn:microsoft.com/office/officeart/2005/8/layout/hierarchy5"/>
    <dgm:cxn modelId="{50309DEE-1CCC-46C0-B526-2E16643689BE}" type="presParOf" srcId="{870F293D-D118-4EB6-BC47-AC8DCF1AA4CE}" destId="{B98B6C76-0144-4B8A-91E2-080D5B452162}" srcOrd="0" destOrd="0" presId="urn:microsoft.com/office/officeart/2005/8/layout/hierarchy5"/>
    <dgm:cxn modelId="{059C5297-DA47-4EA4-BD21-30C71F5D0241}" type="presParOf" srcId="{8ECA93E4-32BC-45DC-A77D-AD25C011EC7A}" destId="{52E321D8-C605-474C-B524-6C0059A760AB}" srcOrd="3" destOrd="0" presId="urn:microsoft.com/office/officeart/2005/8/layout/hierarchy5"/>
    <dgm:cxn modelId="{15969B8D-1997-475E-82FB-0012835DB0BC}" type="presParOf" srcId="{52E321D8-C605-474C-B524-6C0059A760AB}" destId="{25E7662B-18ED-4B5B-9919-9A2A12702B9D}" srcOrd="0" destOrd="0" presId="urn:microsoft.com/office/officeart/2005/8/layout/hierarchy5"/>
    <dgm:cxn modelId="{1DFF454B-2E0A-441C-9312-D0AF5D08261A}" type="presParOf" srcId="{52E321D8-C605-474C-B524-6C0059A760AB}" destId="{EB98A590-CF9F-4862-A7B1-18D827628EE4}" srcOrd="1" destOrd="0" presId="urn:microsoft.com/office/officeart/2005/8/layout/hierarchy5"/>
    <dgm:cxn modelId="{6685309D-9BAF-4C4F-A16E-ACE3847E9B2B}" type="presParOf" srcId="{57E84DD7-489B-4024-B17C-0BFF5644CF2D}" destId="{0E88DC31-6D65-43E9-9C20-5FF2346D09BD}" srcOrd="2" destOrd="0" presId="urn:microsoft.com/office/officeart/2005/8/layout/hierarchy5"/>
    <dgm:cxn modelId="{1E04B556-DB39-41E8-93DF-5AABA1D444A1}" type="presParOf" srcId="{0E88DC31-6D65-43E9-9C20-5FF2346D09BD}" destId="{5B55226A-23ED-4672-917A-6F862247AF97}" srcOrd="0" destOrd="0" presId="urn:microsoft.com/office/officeart/2005/8/layout/hierarchy5"/>
    <dgm:cxn modelId="{1FADCF3B-02AA-4354-A0A2-FFFA875EC498}" type="presParOf" srcId="{57E84DD7-489B-4024-B17C-0BFF5644CF2D}" destId="{91724359-A9C9-4845-9045-10CD1E32F49F}" srcOrd="3" destOrd="0" presId="urn:microsoft.com/office/officeart/2005/8/layout/hierarchy5"/>
    <dgm:cxn modelId="{1422BB90-8B9E-4984-B926-394C9E9D2B6B}" type="presParOf" srcId="{91724359-A9C9-4845-9045-10CD1E32F49F}" destId="{114CA2FF-087D-4CCA-868C-A2D1AC6709F1}" srcOrd="0" destOrd="0" presId="urn:microsoft.com/office/officeart/2005/8/layout/hierarchy5"/>
    <dgm:cxn modelId="{89D070B6-F1FA-4345-86A1-875761B89807}" type="presParOf" srcId="{91724359-A9C9-4845-9045-10CD1E32F49F}" destId="{5A82B180-8752-405C-BF1E-D99DD98AA7B7}" srcOrd="1" destOrd="0" presId="urn:microsoft.com/office/officeart/2005/8/layout/hierarchy5"/>
    <dgm:cxn modelId="{B263521A-B448-4E58-BD52-1522AD8043CA}" type="presParOf" srcId="{5A82B180-8752-405C-BF1E-D99DD98AA7B7}" destId="{9557F60B-3F99-4495-9680-25B96D6D2685}" srcOrd="0" destOrd="0" presId="urn:microsoft.com/office/officeart/2005/8/layout/hierarchy5"/>
    <dgm:cxn modelId="{B48D9BD4-A990-44B9-9F75-EDE5EE9FD88F}" type="presParOf" srcId="{9557F60B-3F99-4495-9680-25B96D6D2685}" destId="{2DA3BB91-2E9E-417F-85BC-BC4458796466}" srcOrd="0" destOrd="0" presId="urn:microsoft.com/office/officeart/2005/8/layout/hierarchy5"/>
    <dgm:cxn modelId="{ABCB8335-9EC5-4B79-AD1C-DFAF30C3F50A}" type="presParOf" srcId="{5A82B180-8752-405C-BF1E-D99DD98AA7B7}" destId="{C76466DE-0213-491C-8592-197F0161DA93}" srcOrd="1" destOrd="0" presId="urn:microsoft.com/office/officeart/2005/8/layout/hierarchy5"/>
    <dgm:cxn modelId="{6D7C5BA3-8545-4FB9-970B-B5BF0CB284E2}" type="presParOf" srcId="{C76466DE-0213-491C-8592-197F0161DA93}" destId="{004ADAE1-5E6D-40CD-85F5-C9914C499B2B}" srcOrd="0" destOrd="0" presId="urn:microsoft.com/office/officeart/2005/8/layout/hierarchy5"/>
    <dgm:cxn modelId="{DB3F54E7-8216-497B-ABE2-B2C2CB0E048F}" type="presParOf" srcId="{C76466DE-0213-491C-8592-197F0161DA93}" destId="{0DB8E6CB-2D3D-4869-93D3-4113069B132F}" srcOrd="1" destOrd="0" presId="urn:microsoft.com/office/officeart/2005/8/layout/hierarchy5"/>
    <dgm:cxn modelId="{3FD5590C-253D-4592-82A9-EEAD2BBC5613}" type="presParOf" srcId="{5A82B180-8752-405C-BF1E-D99DD98AA7B7}" destId="{C6A8B198-EF3F-496A-A90E-CBADB27B70D5}" srcOrd="2" destOrd="0" presId="urn:microsoft.com/office/officeart/2005/8/layout/hierarchy5"/>
    <dgm:cxn modelId="{59ADC9D3-870B-4CC4-8435-498D9AFC93DD}" type="presParOf" srcId="{C6A8B198-EF3F-496A-A90E-CBADB27B70D5}" destId="{A93E45EB-8AB8-4FC1-BF34-B77FB80B9124}" srcOrd="0" destOrd="0" presId="urn:microsoft.com/office/officeart/2005/8/layout/hierarchy5"/>
    <dgm:cxn modelId="{7CA179E7-3584-4C90-9CE5-F2975400B951}" type="presParOf" srcId="{5A82B180-8752-405C-BF1E-D99DD98AA7B7}" destId="{D6135CED-B585-47E7-9CC4-3F0467E3BFF4}" srcOrd="3" destOrd="0" presId="urn:microsoft.com/office/officeart/2005/8/layout/hierarchy5"/>
    <dgm:cxn modelId="{AFF0C7F8-447F-4EE8-A9E3-11CC9019867A}" type="presParOf" srcId="{D6135CED-B585-47E7-9CC4-3F0467E3BFF4}" destId="{C6E4AE76-25F9-44B8-A7B0-8C09C5760714}" srcOrd="0" destOrd="0" presId="urn:microsoft.com/office/officeart/2005/8/layout/hierarchy5"/>
    <dgm:cxn modelId="{F162F12A-B32C-468F-9C53-8805AD500FA2}" type="presParOf" srcId="{D6135CED-B585-47E7-9CC4-3F0467E3BFF4}" destId="{CAD124F0-F1FD-4751-8A50-7B06557414CD}" srcOrd="1" destOrd="0" presId="urn:microsoft.com/office/officeart/2005/8/layout/hierarchy5"/>
    <dgm:cxn modelId="{FEEA6473-D2DD-4272-B4FC-4C52546DA9AB}" type="presParOf" srcId="{5A82B180-8752-405C-BF1E-D99DD98AA7B7}" destId="{EAFB5BB9-B225-4722-811F-4185776E03B1}" srcOrd="4" destOrd="0" presId="urn:microsoft.com/office/officeart/2005/8/layout/hierarchy5"/>
    <dgm:cxn modelId="{E932A56A-AEF7-4F01-B358-FC692F4A092D}" type="presParOf" srcId="{EAFB5BB9-B225-4722-811F-4185776E03B1}" destId="{C5D6D3BB-B188-4544-81B1-8BDD98142745}" srcOrd="0" destOrd="0" presId="urn:microsoft.com/office/officeart/2005/8/layout/hierarchy5"/>
    <dgm:cxn modelId="{24A96F75-83B9-49A8-BA31-AC1E982086D1}" type="presParOf" srcId="{5A82B180-8752-405C-BF1E-D99DD98AA7B7}" destId="{3EC2FA3B-B2A5-48D5-B299-DD98F3AA1F2D}" srcOrd="5" destOrd="0" presId="urn:microsoft.com/office/officeart/2005/8/layout/hierarchy5"/>
    <dgm:cxn modelId="{03F981D2-BD7D-4EB1-87D5-563965A3570D}" type="presParOf" srcId="{3EC2FA3B-B2A5-48D5-B299-DD98F3AA1F2D}" destId="{932CB3E0-1829-4AED-9A93-7BE1142878D2}" srcOrd="0" destOrd="0" presId="urn:microsoft.com/office/officeart/2005/8/layout/hierarchy5"/>
    <dgm:cxn modelId="{D39AA09D-D9FB-4BF9-919F-68FF275BCB18}" type="presParOf" srcId="{3EC2FA3B-B2A5-48D5-B299-DD98F3AA1F2D}" destId="{CD036085-8800-4835-9094-73A6012F78F6}" srcOrd="1" destOrd="0" presId="urn:microsoft.com/office/officeart/2005/8/layout/hierarchy5"/>
    <dgm:cxn modelId="{04F3930C-DE61-490E-90F8-D6D27B7D43DA}" type="presParOf" srcId="{1FFC9314-E0D1-4D26-AD5A-A7F310219F32}" destId="{91C4A373-C1C1-4409-9A4E-954A09F718AF}" srcOrd="1" destOrd="0" presId="urn:microsoft.com/office/officeart/2005/8/layout/hierarchy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5B2336-AC11-4855-A94E-5AF90CF28641}">
      <dsp:nvSpPr>
        <dsp:cNvPr id="0" name=""/>
        <dsp:cNvSpPr/>
      </dsp:nvSpPr>
      <dsp:spPr>
        <a:xfrm>
          <a:off x="0" y="4031300"/>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1054</a:t>
          </a:r>
        </a:p>
        <a:p>
          <a:pPr lvl="0" algn="ctr" defTabSz="355600">
            <a:lnSpc>
              <a:spcPct val="90000"/>
            </a:lnSpc>
            <a:spcBef>
              <a:spcPct val="0"/>
            </a:spcBef>
            <a:spcAft>
              <a:spcPct val="35000"/>
            </a:spcAft>
          </a:pPr>
          <a:r>
            <a:rPr lang="en-AU" sz="800" b="1" kern="1200"/>
            <a:t>Referred for screening</a:t>
          </a:r>
        </a:p>
      </dsp:txBody>
      <dsp:txXfrm>
        <a:off x="12697" y="4043997"/>
        <a:ext cx="841592" cy="408099"/>
      </dsp:txXfrm>
    </dsp:sp>
    <dsp:sp modelId="{B44AFB69-4BDF-47F6-80A1-234DAB0752F2}">
      <dsp:nvSpPr>
        <dsp:cNvPr id="0" name=""/>
        <dsp:cNvSpPr/>
      </dsp:nvSpPr>
      <dsp:spPr>
        <a:xfrm rot="17132988">
          <a:off x="393562" y="3619121"/>
          <a:ext cx="1293642" cy="11557"/>
        </a:xfrm>
        <a:custGeom>
          <a:avLst/>
          <a:gdLst/>
          <a:ahLst/>
          <a:cxnLst/>
          <a:rect l="0" t="0" r="0" b="0"/>
          <a:pathLst>
            <a:path>
              <a:moveTo>
                <a:pt x="0" y="5778"/>
              </a:moveTo>
              <a:lnTo>
                <a:pt x="1293642" y="5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1008042" y="3592559"/>
        <a:ext cx="64682" cy="64682"/>
      </dsp:txXfrm>
    </dsp:sp>
    <dsp:sp modelId="{10542345-F55A-45FA-9557-183EEC17BBA2}">
      <dsp:nvSpPr>
        <dsp:cNvPr id="0" name=""/>
        <dsp:cNvSpPr/>
      </dsp:nvSpPr>
      <dsp:spPr>
        <a:xfrm>
          <a:off x="1213780" y="278500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796</a:t>
          </a:r>
        </a:p>
        <a:p>
          <a:pPr lvl="0" algn="ctr" defTabSz="355600">
            <a:lnSpc>
              <a:spcPct val="90000"/>
            </a:lnSpc>
            <a:spcBef>
              <a:spcPct val="0"/>
            </a:spcBef>
            <a:spcAft>
              <a:spcPct val="35000"/>
            </a:spcAft>
          </a:pPr>
          <a:r>
            <a:rPr lang="en-AU" sz="800" b="1" kern="1200"/>
            <a:t>Completed</a:t>
          </a:r>
        </a:p>
      </dsp:txBody>
      <dsp:txXfrm>
        <a:off x="1226477" y="2797704"/>
        <a:ext cx="841592" cy="408099"/>
      </dsp:txXfrm>
    </dsp:sp>
    <dsp:sp modelId="{D8928978-CA07-4C05-ADBC-DF6F58DB52C3}">
      <dsp:nvSpPr>
        <dsp:cNvPr id="0" name=""/>
        <dsp:cNvSpPr/>
      </dsp:nvSpPr>
      <dsp:spPr>
        <a:xfrm rot="16983315">
          <a:off x="1486547" y="2248199"/>
          <a:ext cx="1535232" cy="11557"/>
        </a:xfrm>
        <a:custGeom>
          <a:avLst/>
          <a:gdLst/>
          <a:ahLst/>
          <a:cxnLst/>
          <a:rect l="0" t="0" r="0" b="0"/>
          <a:pathLst>
            <a:path>
              <a:moveTo>
                <a:pt x="0" y="5778"/>
              </a:moveTo>
              <a:lnTo>
                <a:pt x="1535232"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2215783" y="2215597"/>
        <a:ext cx="76761" cy="76761"/>
      </dsp:txXfrm>
    </dsp:sp>
    <dsp:sp modelId="{02AB7DDD-D2FE-41E5-A94D-2D75FE68EF1E}">
      <dsp:nvSpPr>
        <dsp:cNvPr id="0" name=""/>
        <dsp:cNvSpPr/>
      </dsp:nvSpPr>
      <dsp:spPr>
        <a:xfrm>
          <a:off x="2427561" y="1289456"/>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214 </a:t>
          </a:r>
        </a:p>
        <a:p>
          <a:pPr lvl="0" algn="ctr" defTabSz="355600">
            <a:lnSpc>
              <a:spcPct val="90000"/>
            </a:lnSpc>
            <a:spcBef>
              <a:spcPct val="0"/>
            </a:spcBef>
            <a:spcAft>
              <a:spcPct val="35000"/>
            </a:spcAft>
          </a:pPr>
          <a:r>
            <a:rPr lang="en-AU" sz="800" b="1" kern="1200"/>
            <a:t>Outpatient</a:t>
          </a:r>
        </a:p>
      </dsp:txBody>
      <dsp:txXfrm>
        <a:off x="2440258" y="1302153"/>
        <a:ext cx="841592" cy="408099"/>
      </dsp:txXfrm>
    </dsp:sp>
    <dsp:sp modelId="{FECD328B-D947-4370-A8CB-7CCA71CE1D5C}">
      <dsp:nvSpPr>
        <dsp:cNvPr id="0" name=""/>
        <dsp:cNvSpPr/>
      </dsp:nvSpPr>
      <dsp:spPr>
        <a:xfrm rot="19457599">
          <a:off x="3254405" y="1375794"/>
          <a:ext cx="427078" cy="11557"/>
        </a:xfrm>
        <a:custGeom>
          <a:avLst/>
          <a:gdLst/>
          <a:ahLst/>
          <a:cxnLst/>
          <a:rect l="0" t="0" r="0" b="0"/>
          <a:pathLst>
            <a:path>
              <a:moveTo>
                <a:pt x="0" y="5778"/>
              </a:moveTo>
              <a:lnTo>
                <a:pt x="427078"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3457267" y="1370896"/>
        <a:ext cx="21353" cy="21353"/>
      </dsp:txXfrm>
    </dsp:sp>
    <dsp:sp modelId="{34069703-A687-4A3A-9882-288D568F4C3A}">
      <dsp:nvSpPr>
        <dsp:cNvPr id="0" name=""/>
        <dsp:cNvSpPr/>
      </dsp:nvSpPr>
      <dsp:spPr>
        <a:xfrm>
          <a:off x="3641341" y="104019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176</a:t>
          </a:r>
        </a:p>
        <a:p>
          <a:pPr lvl="0" algn="ctr" defTabSz="355600">
            <a:lnSpc>
              <a:spcPct val="90000"/>
            </a:lnSpc>
            <a:spcBef>
              <a:spcPct val="0"/>
            </a:spcBef>
            <a:spcAft>
              <a:spcPct val="35000"/>
            </a:spcAft>
          </a:pPr>
          <a:r>
            <a:rPr lang="en-AU" sz="800" b="1" kern="1200"/>
            <a:t>Followed up</a:t>
          </a:r>
        </a:p>
      </dsp:txBody>
      <dsp:txXfrm>
        <a:off x="3654038" y="1052894"/>
        <a:ext cx="841592" cy="408099"/>
      </dsp:txXfrm>
    </dsp:sp>
    <dsp:sp modelId="{29452E0A-DEA1-444D-8B10-7DE21E58F3AA}">
      <dsp:nvSpPr>
        <dsp:cNvPr id="0" name=""/>
        <dsp:cNvSpPr/>
      </dsp:nvSpPr>
      <dsp:spPr>
        <a:xfrm rot="18289469">
          <a:off x="4378086" y="1001907"/>
          <a:ext cx="607277" cy="11557"/>
        </a:xfrm>
        <a:custGeom>
          <a:avLst/>
          <a:gdLst/>
          <a:ahLst/>
          <a:cxnLst/>
          <a:rect l="0" t="0" r="0" b="0"/>
          <a:pathLst>
            <a:path>
              <a:moveTo>
                <a:pt x="0" y="5778"/>
              </a:moveTo>
              <a:lnTo>
                <a:pt x="607277"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66543" y="992504"/>
        <a:ext cx="30363" cy="30363"/>
      </dsp:txXfrm>
    </dsp:sp>
    <dsp:sp modelId="{09BD0F80-B05E-4575-B744-037A126F0939}">
      <dsp:nvSpPr>
        <dsp:cNvPr id="0" name=""/>
        <dsp:cNvSpPr/>
      </dsp:nvSpPr>
      <dsp:spPr>
        <a:xfrm>
          <a:off x="4855122" y="541680"/>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84</a:t>
          </a:r>
        </a:p>
        <a:p>
          <a:pPr lvl="0" algn="ctr" defTabSz="355600">
            <a:lnSpc>
              <a:spcPct val="90000"/>
            </a:lnSpc>
            <a:spcBef>
              <a:spcPct val="0"/>
            </a:spcBef>
            <a:spcAft>
              <a:spcPct val="35000"/>
            </a:spcAft>
          </a:pPr>
          <a:r>
            <a:rPr lang="en-AU" sz="800" b="1" kern="1200"/>
            <a:t>Sucessful</a:t>
          </a:r>
        </a:p>
      </dsp:txBody>
      <dsp:txXfrm>
        <a:off x="4867819" y="554377"/>
        <a:ext cx="841592" cy="408099"/>
      </dsp:txXfrm>
    </dsp:sp>
    <dsp:sp modelId="{812774F8-F848-4EC0-8DB8-26BCBFA53B28}">
      <dsp:nvSpPr>
        <dsp:cNvPr id="0" name=""/>
        <dsp:cNvSpPr/>
      </dsp:nvSpPr>
      <dsp:spPr>
        <a:xfrm>
          <a:off x="4508328" y="1251165"/>
          <a:ext cx="346794" cy="11557"/>
        </a:xfrm>
        <a:custGeom>
          <a:avLst/>
          <a:gdLst/>
          <a:ahLst/>
          <a:cxnLst/>
          <a:rect l="0" t="0" r="0" b="0"/>
          <a:pathLst>
            <a:path>
              <a:moveTo>
                <a:pt x="0" y="5778"/>
              </a:moveTo>
              <a:lnTo>
                <a:pt x="346794"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73055" y="1248274"/>
        <a:ext cx="17339" cy="17339"/>
      </dsp:txXfrm>
    </dsp:sp>
    <dsp:sp modelId="{801117D0-30FC-4B1C-8441-CDB82E1D2310}">
      <dsp:nvSpPr>
        <dsp:cNvPr id="0" name=""/>
        <dsp:cNvSpPr/>
      </dsp:nvSpPr>
      <dsp:spPr>
        <a:xfrm>
          <a:off x="4855122" y="104019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AU" sz="800" b="1" kern="1200"/>
        </a:p>
        <a:p>
          <a:pPr lvl="0" algn="ctr" defTabSz="355600">
            <a:lnSpc>
              <a:spcPct val="90000"/>
            </a:lnSpc>
            <a:spcBef>
              <a:spcPct val="0"/>
            </a:spcBef>
            <a:spcAft>
              <a:spcPct val="35000"/>
            </a:spcAft>
          </a:pPr>
          <a:r>
            <a:rPr lang="en-AU" sz="800" b="1" kern="1200"/>
            <a:t>83</a:t>
          </a:r>
        </a:p>
        <a:p>
          <a:pPr lvl="0" algn="ctr" defTabSz="355600">
            <a:lnSpc>
              <a:spcPct val="90000"/>
            </a:lnSpc>
            <a:spcBef>
              <a:spcPct val="0"/>
            </a:spcBef>
            <a:spcAft>
              <a:spcPct val="35000"/>
            </a:spcAft>
          </a:pPr>
          <a:r>
            <a:rPr lang="en-AU" sz="800" b="1" kern="1200"/>
            <a:t>Unsuccessful</a:t>
          </a:r>
        </a:p>
        <a:p>
          <a:pPr lvl="0" algn="ctr" defTabSz="355600">
            <a:lnSpc>
              <a:spcPct val="90000"/>
            </a:lnSpc>
            <a:spcBef>
              <a:spcPct val="0"/>
            </a:spcBef>
            <a:spcAft>
              <a:spcPct val="35000"/>
            </a:spcAft>
          </a:pPr>
          <a:endParaRPr lang="en-AU" sz="800" b="1" kern="1200"/>
        </a:p>
      </dsp:txBody>
      <dsp:txXfrm>
        <a:off x="4867819" y="1052894"/>
        <a:ext cx="841592" cy="408099"/>
      </dsp:txXfrm>
    </dsp:sp>
    <dsp:sp modelId="{DE9564A2-42EE-4EBD-86F2-51FDA32BB63A}">
      <dsp:nvSpPr>
        <dsp:cNvPr id="0" name=""/>
        <dsp:cNvSpPr/>
      </dsp:nvSpPr>
      <dsp:spPr>
        <a:xfrm rot="3310531">
          <a:off x="4378086" y="1500424"/>
          <a:ext cx="607277" cy="11557"/>
        </a:xfrm>
        <a:custGeom>
          <a:avLst/>
          <a:gdLst/>
          <a:ahLst/>
          <a:cxnLst/>
          <a:rect l="0" t="0" r="0" b="0"/>
          <a:pathLst>
            <a:path>
              <a:moveTo>
                <a:pt x="0" y="5778"/>
              </a:moveTo>
              <a:lnTo>
                <a:pt x="607277"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66543" y="1491021"/>
        <a:ext cx="30363" cy="30363"/>
      </dsp:txXfrm>
    </dsp:sp>
    <dsp:sp modelId="{2949A10B-E99A-455E-834B-5A1797423AD3}">
      <dsp:nvSpPr>
        <dsp:cNvPr id="0" name=""/>
        <dsp:cNvSpPr/>
      </dsp:nvSpPr>
      <dsp:spPr>
        <a:xfrm>
          <a:off x="4855122" y="1538715"/>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9</a:t>
          </a:r>
        </a:p>
        <a:p>
          <a:pPr lvl="0" algn="ctr" defTabSz="355600">
            <a:lnSpc>
              <a:spcPct val="90000"/>
            </a:lnSpc>
            <a:spcBef>
              <a:spcPct val="0"/>
            </a:spcBef>
            <a:spcAft>
              <a:spcPct val="35000"/>
            </a:spcAft>
          </a:pPr>
          <a:r>
            <a:rPr lang="en-AU" sz="800" b="1" kern="1200"/>
            <a:t>Missing</a:t>
          </a:r>
        </a:p>
      </dsp:txBody>
      <dsp:txXfrm>
        <a:off x="4867819" y="1551412"/>
        <a:ext cx="841592" cy="408099"/>
      </dsp:txXfrm>
    </dsp:sp>
    <dsp:sp modelId="{66F4DD1F-EEBE-4791-9ACF-62647BE52F1F}">
      <dsp:nvSpPr>
        <dsp:cNvPr id="0" name=""/>
        <dsp:cNvSpPr/>
      </dsp:nvSpPr>
      <dsp:spPr>
        <a:xfrm rot="2142401">
          <a:off x="3254405" y="1625053"/>
          <a:ext cx="427078" cy="11557"/>
        </a:xfrm>
        <a:custGeom>
          <a:avLst/>
          <a:gdLst/>
          <a:ahLst/>
          <a:cxnLst/>
          <a:rect l="0" t="0" r="0" b="0"/>
          <a:pathLst>
            <a:path>
              <a:moveTo>
                <a:pt x="0" y="5778"/>
              </a:moveTo>
              <a:lnTo>
                <a:pt x="427078"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3457267" y="1620155"/>
        <a:ext cx="21353" cy="21353"/>
      </dsp:txXfrm>
    </dsp:sp>
    <dsp:sp modelId="{99326077-B656-4B7A-AB0A-0C5C38597939}">
      <dsp:nvSpPr>
        <dsp:cNvPr id="0" name=""/>
        <dsp:cNvSpPr/>
      </dsp:nvSpPr>
      <dsp:spPr>
        <a:xfrm>
          <a:off x="3641341" y="1538715"/>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38</a:t>
          </a:r>
        </a:p>
        <a:p>
          <a:pPr lvl="0" algn="ctr" defTabSz="355600">
            <a:lnSpc>
              <a:spcPct val="90000"/>
            </a:lnSpc>
            <a:spcBef>
              <a:spcPct val="0"/>
            </a:spcBef>
            <a:spcAft>
              <a:spcPct val="35000"/>
            </a:spcAft>
          </a:pPr>
          <a:r>
            <a:rPr lang="en-AU" sz="800" b="1" kern="1200"/>
            <a:t>Lost</a:t>
          </a:r>
        </a:p>
      </dsp:txBody>
      <dsp:txXfrm>
        <a:off x="3654038" y="1551412"/>
        <a:ext cx="841592" cy="408099"/>
      </dsp:txXfrm>
    </dsp:sp>
    <dsp:sp modelId="{ABE86191-48DC-4857-B8C1-FE4B1B2573E3}">
      <dsp:nvSpPr>
        <dsp:cNvPr id="0" name=""/>
        <dsp:cNvSpPr/>
      </dsp:nvSpPr>
      <dsp:spPr>
        <a:xfrm>
          <a:off x="2080766" y="2995975"/>
          <a:ext cx="346794" cy="11557"/>
        </a:xfrm>
        <a:custGeom>
          <a:avLst/>
          <a:gdLst/>
          <a:ahLst/>
          <a:cxnLst/>
          <a:rect l="0" t="0" r="0" b="0"/>
          <a:pathLst>
            <a:path>
              <a:moveTo>
                <a:pt x="0" y="5778"/>
              </a:moveTo>
              <a:lnTo>
                <a:pt x="346794"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2245494" y="2993084"/>
        <a:ext cx="17339" cy="17339"/>
      </dsp:txXfrm>
    </dsp:sp>
    <dsp:sp modelId="{2D111339-D58B-4D31-918A-504F61F82AD6}">
      <dsp:nvSpPr>
        <dsp:cNvPr id="0" name=""/>
        <dsp:cNvSpPr/>
      </dsp:nvSpPr>
      <dsp:spPr>
        <a:xfrm>
          <a:off x="2427561" y="278500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350 </a:t>
          </a:r>
        </a:p>
        <a:p>
          <a:pPr lvl="0" algn="ctr" defTabSz="355600">
            <a:lnSpc>
              <a:spcPct val="90000"/>
            </a:lnSpc>
            <a:spcBef>
              <a:spcPct val="0"/>
            </a:spcBef>
            <a:spcAft>
              <a:spcPct val="35000"/>
            </a:spcAft>
          </a:pPr>
          <a:r>
            <a:rPr lang="en-AU" sz="800" b="1" kern="1200"/>
            <a:t>Inpatient Detox</a:t>
          </a:r>
        </a:p>
      </dsp:txBody>
      <dsp:txXfrm>
        <a:off x="2440258" y="2797704"/>
        <a:ext cx="841592" cy="408099"/>
      </dsp:txXfrm>
    </dsp:sp>
    <dsp:sp modelId="{80346E09-0D6C-4238-A57F-233AE34EFF56}">
      <dsp:nvSpPr>
        <dsp:cNvPr id="0" name=""/>
        <dsp:cNvSpPr/>
      </dsp:nvSpPr>
      <dsp:spPr>
        <a:xfrm rot="19457599">
          <a:off x="3254405" y="2871346"/>
          <a:ext cx="427078" cy="11557"/>
        </a:xfrm>
        <a:custGeom>
          <a:avLst/>
          <a:gdLst/>
          <a:ahLst/>
          <a:cxnLst/>
          <a:rect l="0" t="0" r="0" b="0"/>
          <a:pathLst>
            <a:path>
              <a:moveTo>
                <a:pt x="0" y="5778"/>
              </a:moveTo>
              <a:lnTo>
                <a:pt x="427078"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3457267" y="2866447"/>
        <a:ext cx="21353" cy="21353"/>
      </dsp:txXfrm>
    </dsp:sp>
    <dsp:sp modelId="{A587465A-920E-4954-A298-8146F065C754}">
      <dsp:nvSpPr>
        <dsp:cNvPr id="0" name=""/>
        <dsp:cNvSpPr/>
      </dsp:nvSpPr>
      <dsp:spPr>
        <a:xfrm>
          <a:off x="3641341" y="2535749"/>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241</a:t>
          </a:r>
        </a:p>
        <a:p>
          <a:pPr lvl="0" algn="ctr" defTabSz="355600">
            <a:lnSpc>
              <a:spcPct val="90000"/>
            </a:lnSpc>
            <a:spcBef>
              <a:spcPct val="0"/>
            </a:spcBef>
            <a:spcAft>
              <a:spcPct val="35000"/>
            </a:spcAft>
          </a:pPr>
          <a:r>
            <a:rPr lang="en-AU" sz="800" b="1" kern="1200"/>
            <a:t>Followed up</a:t>
          </a:r>
        </a:p>
      </dsp:txBody>
      <dsp:txXfrm>
        <a:off x="3654038" y="2548446"/>
        <a:ext cx="841592" cy="408099"/>
      </dsp:txXfrm>
    </dsp:sp>
    <dsp:sp modelId="{8D7C31E9-C3E0-41EE-B20E-2A88ECA12124}">
      <dsp:nvSpPr>
        <dsp:cNvPr id="0" name=""/>
        <dsp:cNvSpPr/>
      </dsp:nvSpPr>
      <dsp:spPr>
        <a:xfrm rot="18289469">
          <a:off x="4378086" y="2497458"/>
          <a:ext cx="607277" cy="11557"/>
        </a:xfrm>
        <a:custGeom>
          <a:avLst/>
          <a:gdLst/>
          <a:ahLst/>
          <a:cxnLst/>
          <a:rect l="0" t="0" r="0" b="0"/>
          <a:pathLst>
            <a:path>
              <a:moveTo>
                <a:pt x="0" y="5778"/>
              </a:moveTo>
              <a:lnTo>
                <a:pt x="607277"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66543" y="2488055"/>
        <a:ext cx="30363" cy="30363"/>
      </dsp:txXfrm>
    </dsp:sp>
    <dsp:sp modelId="{EC1DD8FD-688C-4E93-89FF-F3B27C362A4B}">
      <dsp:nvSpPr>
        <dsp:cNvPr id="0" name=""/>
        <dsp:cNvSpPr/>
      </dsp:nvSpPr>
      <dsp:spPr>
        <a:xfrm>
          <a:off x="4855122" y="2037232"/>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118</a:t>
          </a:r>
        </a:p>
        <a:p>
          <a:pPr lvl="0" algn="ctr" defTabSz="355600">
            <a:lnSpc>
              <a:spcPct val="90000"/>
            </a:lnSpc>
            <a:spcBef>
              <a:spcPct val="0"/>
            </a:spcBef>
            <a:spcAft>
              <a:spcPct val="35000"/>
            </a:spcAft>
          </a:pPr>
          <a:r>
            <a:rPr lang="en-AU" sz="800" b="1" kern="1200"/>
            <a:t>Successful</a:t>
          </a:r>
        </a:p>
      </dsp:txBody>
      <dsp:txXfrm>
        <a:off x="4867819" y="2049929"/>
        <a:ext cx="841592" cy="408099"/>
      </dsp:txXfrm>
    </dsp:sp>
    <dsp:sp modelId="{DA3862F4-2803-44FB-8362-FB70B8B3540E}">
      <dsp:nvSpPr>
        <dsp:cNvPr id="0" name=""/>
        <dsp:cNvSpPr/>
      </dsp:nvSpPr>
      <dsp:spPr>
        <a:xfrm>
          <a:off x="4508328" y="2746716"/>
          <a:ext cx="346794" cy="11557"/>
        </a:xfrm>
        <a:custGeom>
          <a:avLst/>
          <a:gdLst/>
          <a:ahLst/>
          <a:cxnLst/>
          <a:rect l="0" t="0" r="0" b="0"/>
          <a:pathLst>
            <a:path>
              <a:moveTo>
                <a:pt x="0" y="5778"/>
              </a:moveTo>
              <a:lnTo>
                <a:pt x="346794"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73055" y="2743825"/>
        <a:ext cx="17339" cy="17339"/>
      </dsp:txXfrm>
    </dsp:sp>
    <dsp:sp modelId="{B371E648-3135-4746-899D-54A9997E45A7}">
      <dsp:nvSpPr>
        <dsp:cNvPr id="0" name=""/>
        <dsp:cNvSpPr/>
      </dsp:nvSpPr>
      <dsp:spPr>
        <a:xfrm>
          <a:off x="4855122" y="2535749"/>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116</a:t>
          </a:r>
        </a:p>
        <a:p>
          <a:pPr lvl="0" algn="ctr" defTabSz="355600">
            <a:lnSpc>
              <a:spcPct val="90000"/>
            </a:lnSpc>
            <a:spcBef>
              <a:spcPct val="0"/>
            </a:spcBef>
            <a:spcAft>
              <a:spcPct val="35000"/>
            </a:spcAft>
          </a:pPr>
          <a:r>
            <a:rPr lang="en-AU" sz="800" b="1" kern="1200"/>
            <a:t>Unsuccessful</a:t>
          </a:r>
        </a:p>
      </dsp:txBody>
      <dsp:txXfrm>
        <a:off x="4867819" y="2548446"/>
        <a:ext cx="841592" cy="408099"/>
      </dsp:txXfrm>
    </dsp:sp>
    <dsp:sp modelId="{7815704F-21B9-4D20-8109-94191230A9CB}">
      <dsp:nvSpPr>
        <dsp:cNvPr id="0" name=""/>
        <dsp:cNvSpPr/>
      </dsp:nvSpPr>
      <dsp:spPr>
        <a:xfrm rot="3310531">
          <a:off x="4378086" y="2995975"/>
          <a:ext cx="607277" cy="11557"/>
        </a:xfrm>
        <a:custGeom>
          <a:avLst/>
          <a:gdLst/>
          <a:ahLst/>
          <a:cxnLst/>
          <a:rect l="0" t="0" r="0" b="0"/>
          <a:pathLst>
            <a:path>
              <a:moveTo>
                <a:pt x="0" y="5778"/>
              </a:moveTo>
              <a:lnTo>
                <a:pt x="607277"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66543" y="2986572"/>
        <a:ext cx="30363" cy="30363"/>
      </dsp:txXfrm>
    </dsp:sp>
    <dsp:sp modelId="{417CE763-226E-421A-A2ED-B13648A6F9B6}">
      <dsp:nvSpPr>
        <dsp:cNvPr id="0" name=""/>
        <dsp:cNvSpPr/>
      </dsp:nvSpPr>
      <dsp:spPr>
        <a:xfrm>
          <a:off x="4855122" y="3034266"/>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7</a:t>
          </a:r>
        </a:p>
        <a:p>
          <a:pPr lvl="0" algn="ctr" defTabSz="355600">
            <a:lnSpc>
              <a:spcPct val="90000"/>
            </a:lnSpc>
            <a:spcBef>
              <a:spcPct val="0"/>
            </a:spcBef>
            <a:spcAft>
              <a:spcPct val="35000"/>
            </a:spcAft>
          </a:pPr>
          <a:r>
            <a:rPr lang="en-AU" sz="800" b="1" kern="1200"/>
            <a:t>Missing</a:t>
          </a:r>
        </a:p>
      </dsp:txBody>
      <dsp:txXfrm>
        <a:off x="4867819" y="3046963"/>
        <a:ext cx="841592" cy="408099"/>
      </dsp:txXfrm>
    </dsp:sp>
    <dsp:sp modelId="{2B8BEE0C-CE19-4AB9-8BF1-7D734699FF1E}">
      <dsp:nvSpPr>
        <dsp:cNvPr id="0" name=""/>
        <dsp:cNvSpPr/>
      </dsp:nvSpPr>
      <dsp:spPr>
        <a:xfrm rot="2142401">
          <a:off x="3254405" y="3120604"/>
          <a:ext cx="427078" cy="11557"/>
        </a:xfrm>
        <a:custGeom>
          <a:avLst/>
          <a:gdLst/>
          <a:ahLst/>
          <a:cxnLst/>
          <a:rect l="0" t="0" r="0" b="0"/>
          <a:pathLst>
            <a:path>
              <a:moveTo>
                <a:pt x="0" y="5778"/>
              </a:moveTo>
              <a:lnTo>
                <a:pt x="427078"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3457267" y="3115706"/>
        <a:ext cx="21353" cy="21353"/>
      </dsp:txXfrm>
    </dsp:sp>
    <dsp:sp modelId="{EDABB4A0-2E25-4E08-B9B7-9EAFD7F19330}">
      <dsp:nvSpPr>
        <dsp:cNvPr id="0" name=""/>
        <dsp:cNvSpPr/>
      </dsp:nvSpPr>
      <dsp:spPr>
        <a:xfrm>
          <a:off x="3641341" y="3034266"/>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109</a:t>
          </a:r>
        </a:p>
        <a:p>
          <a:pPr lvl="0" algn="ctr" defTabSz="355600">
            <a:lnSpc>
              <a:spcPct val="90000"/>
            </a:lnSpc>
            <a:spcBef>
              <a:spcPct val="0"/>
            </a:spcBef>
            <a:spcAft>
              <a:spcPct val="35000"/>
            </a:spcAft>
          </a:pPr>
          <a:r>
            <a:rPr lang="en-AU" sz="800" b="1" kern="1200"/>
            <a:t>Lost</a:t>
          </a:r>
        </a:p>
      </dsp:txBody>
      <dsp:txXfrm>
        <a:off x="3654038" y="3046963"/>
        <a:ext cx="841592" cy="408099"/>
      </dsp:txXfrm>
    </dsp:sp>
    <dsp:sp modelId="{6EAEEBAD-278B-48E1-A749-7550CE7F5737}">
      <dsp:nvSpPr>
        <dsp:cNvPr id="0" name=""/>
        <dsp:cNvSpPr/>
      </dsp:nvSpPr>
      <dsp:spPr>
        <a:xfrm rot="4616685">
          <a:off x="1486547" y="3743750"/>
          <a:ext cx="1535232" cy="11557"/>
        </a:xfrm>
        <a:custGeom>
          <a:avLst/>
          <a:gdLst/>
          <a:ahLst/>
          <a:cxnLst/>
          <a:rect l="0" t="0" r="0" b="0"/>
          <a:pathLst>
            <a:path>
              <a:moveTo>
                <a:pt x="0" y="5778"/>
              </a:moveTo>
              <a:lnTo>
                <a:pt x="1535232"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2215783" y="3711148"/>
        <a:ext cx="76761" cy="76761"/>
      </dsp:txXfrm>
    </dsp:sp>
    <dsp:sp modelId="{D290BF90-4F32-4016-8A8F-E313C05CE7AC}">
      <dsp:nvSpPr>
        <dsp:cNvPr id="0" name=""/>
        <dsp:cNvSpPr/>
      </dsp:nvSpPr>
      <dsp:spPr>
        <a:xfrm>
          <a:off x="2427561" y="4280558"/>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232</a:t>
          </a:r>
        </a:p>
        <a:p>
          <a:pPr lvl="0" algn="ctr" defTabSz="355600">
            <a:lnSpc>
              <a:spcPct val="90000"/>
            </a:lnSpc>
            <a:spcBef>
              <a:spcPct val="0"/>
            </a:spcBef>
            <a:spcAft>
              <a:spcPct val="35000"/>
            </a:spcAft>
          </a:pPr>
          <a:r>
            <a:rPr lang="en-AU" sz="800" b="1" kern="1200"/>
            <a:t>Residential Rehab</a:t>
          </a:r>
        </a:p>
      </dsp:txBody>
      <dsp:txXfrm>
        <a:off x="2440258" y="4293255"/>
        <a:ext cx="841592" cy="408099"/>
      </dsp:txXfrm>
    </dsp:sp>
    <dsp:sp modelId="{90DFE0E2-23E1-4CBF-A0A3-1F890F447F7D}">
      <dsp:nvSpPr>
        <dsp:cNvPr id="0" name=""/>
        <dsp:cNvSpPr/>
      </dsp:nvSpPr>
      <dsp:spPr>
        <a:xfrm rot="19457599">
          <a:off x="3254405" y="4366897"/>
          <a:ext cx="427078" cy="11557"/>
        </a:xfrm>
        <a:custGeom>
          <a:avLst/>
          <a:gdLst/>
          <a:ahLst/>
          <a:cxnLst/>
          <a:rect l="0" t="0" r="0" b="0"/>
          <a:pathLst>
            <a:path>
              <a:moveTo>
                <a:pt x="0" y="5778"/>
              </a:moveTo>
              <a:lnTo>
                <a:pt x="427078"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3457267" y="4361999"/>
        <a:ext cx="21353" cy="21353"/>
      </dsp:txXfrm>
    </dsp:sp>
    <dsp:sp modelId="{C1508B2E-F1E2-4A0D-B325-6FF8E68F662F}">
      <dsp:nvSpPr>
        <dsp:cNvPr id="0" name=""/>
        <dsp:cNvSpPr/>
      </dsp:nvSpPr>
      <dsp:spPr>
        <a:xfrm>
          <a:off x="3641341" y="4031300"/>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138</a:t>
          </a:r>
        </a:p>
        <a:p>
          <a:pPr lvl="0" algn="ctr" defTabSz="355600">
            <a:lnSpc>
              <a:spcPct val="90000"/>
            </a:lnSpc>
            <a:spcBef>
              <a:spcPct val="0"/>
            </a:spcBef>
            <a:spcAft>
              <a:spcPct val="35000"/>
            </a:spcAft>
          </a:pPr>
          <a:r>
            <a:rPr lang="en-AU" sz="800" b="1" kern="1200"/>
            <a:t>Followed up</a:t>
          </a:r>
        </a:p>
      </dsp:txBody>
      <dsp:txXfrm>
        <a:off x="3654038" y="4043997"/>
        <a:ext cx="841592" cy="408099"/>
      </dsp:txXfrm>
    </dsp:sp>
    <dsp:sp modelId="{52343FEC-AA8D-4BF5-9E93-7707DB115815}">
      <dsp:nvSpPr>
        <dsp:cNvPr id="0" name=""/>
        <dsp:cNvSpPr/>
      </dsp:nvSpPr>
      <dsp:spPr>
        <a:xfrm rot="18289469">
          <a:off x="4378086" y="3993009"/>
          <a:ext cx="607277" cy="11557"/>
        </a:xfrm>
        <a:custGeom>
          <a:avLst/>
          <a:gdLst/>
          <a:ahLst/>
          <a:cxnLst/>
          <a:rect l="0" t="0" r="0" b="0"/>
          <a:pathLst>
            <a:path>
              <a:moveTo>
                <a:pt x="0" y="5778"/>
              </a:moveTo>
              <a:lnTo>
                <a:pt x="607277"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66543" y="3983606"/>
        <a:ext cx="30363" cy="30363"/>
      </dsp:txXfrm>
    </dsp:sp>
    <dsp:sp modelId="{D931C509-0F57-4529-BF57-FDB0C6AE86B6}">
      <dsp:nvSpPr>
        <dsp:cNvPr id="0" name=""/>
        <dsp:cNvSpPr/>
      </dsp:nvSpPr>
      <dsp:spPr>
        <a:xfrm>
          <a:off x="4855122" y="3532783"/>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85</a:t>
          </a:r>
        </a:p>
        <a:p>
          <a:pPr lvl="0" algn="ctr" defTabSz="355600">
            <a:lnSpc>
              <a:spcPct val="90000"/>
            </a:lnSpc>
            <a:spcBef>
              <a:spcPct val="0"/>
            </a:spcBef>
            <a:spcAft>
              <a:spcPct val="35000"/>
            </a:spcAft>
          </a:pPr>
          <a:r>
            <a:rPr lang="en-AU" sz="800" b="1" kern="1200"/>
            <a:t>Sucessful</a:t>
          </a:r>
        </a:p>
      </dsp:txBody>
      <dsp:txXfrm>
        <a:off x="4867819" y="3545480"/>
        <a:ext cx="841592" cy="408099"/>
      </dsp:txXfrm>
    </dsp:sp>
    <dsp:sp modelId="{3B15D8BB-32D8-4C0C-B5A4-15B1E2ED03D9}">
      <dsp:nvSpPr>
        <dsp:cNvPr id="0" name=""/>
        <dsp:cNvSpPr/>
      </dsp:nvSpPr>
      <dsp:spPr>
        <a:xfrm>
          <a:off x="4508328" y="4242268"/>
          <a:ext cx="346794" cy="11557"/>
        </a:xfrm>
        <a:custGeom>
          <a:avLst/>
          <a:gdLst/>
          <a:ahLst/>
          <a:cxnLst/>
          <a:rect l="0" t="0" r="0" b="0"/>
          <a:pathLst>
            <a:path>
              <a:moveTo>
                <a:pt x="0" y="5778"/>
              </a:moveTo>
              <a:lnTo>
                <a:pt x="346794"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73055" y="4239376"/>
        <a:ext cx="17339" cy="17339"/>
      </dsp:txXfrm>
    </dsp:sp>
    <dsp:sp modelId="{F7FF7DE3-1B00-4948-9159-C9A50A6A0476}">
      <dsp:nvSpPr>
        <dsp:cNvPr id="0" name=""/>
        <dsp:cNvSpPr/>
      </dsp:nvSpPr>
      <dsp:spPr>
        <a:xfrm>
          <a:off x="4855122" y="4031300"/>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52</a:t>
          </a:r>
        </a:p>
        <a:p>
          <a:pPr lvl="0" algn="ctr" defTabSz="355600">
            <a:lnSpc>
              <a:spcPct val="90000"/>
            </a:lnSpc>
            <a:spcBef>
              <a:spcPct val="0"/>
            </a:spcBef>
            <a:spcAft>
              <a:spcPct val="35000"/>
            </a:spcAft>
          </a:pPr>
          <a:r>
            <a:rPr lang="en-AU" sz="800" b="1" kern="1200"/>
            <a:t>Unsucessful</a:t>
          </a:r>
        </a:p>
      </dsp:txBody>
      <dsp:txXfrm>
        <a:off x="4867819" y="4043997"/>
        <a:ext cx="841592" cy="408099"/>
      </dsp:txXfrm>
    </dsp:sp>
    <dsp:sp modelId="{085C8FA5-E351-482C-AC74-D2E4979F5CC5}">
      <dsp:nvSpPr>
        <dsp:cNvPr id="0" name=""/>
        <dsp:cNvSpPr/>
      </dsp:nvSpPr>
      <dsp:spPr>
        <a:xfrm rot="3310531">
          <a:off x="4378086" y="4491526"/>
          <a:ext cx="607277" cy="11557"/>
        </a:xfrm>
        <a:custGeom>
          <a:avLst/>
          <a:gdLst/>
          <a:ahLst/>
          <a:cxnLst/>
          <a:rect l="0" t="0" r="0" b="0"/>
          <a:pathLst>
            <a:path>
              <a:moveTo>
                <a:pt x="0" y="5778"/>
              </a:moveTo>
              <a:lnTo>
                <a:pt x="607277"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4666543" y="4482123"/>
        <a:ext cx="30363" cy="30363"/>
      </dsp:txXfrm>
    </dsp:sp>
    <dsp:sp modelId="{02CFC812-6E0F-4FBA-BBC3-B33E96DFE345}">
      <dsp:nvSpPr>
        <dsp:cNvPr id="0" name=""/>
        <dsp:cNvSpPr/>
      </dsp:nvSpPr>
      <dsp:spPr>
        <a:xfrm>
          <a:off x="4855122" y="452981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a:t>
          </a:r>
        </a:p>
        <a:p>
          <a:pPr lvl="0" algn="ctr" defTabSz="355600">
            <a:lnSpc>
              <a:spcPct val="90000"/>
            </a:lnSpc>
            <a:spcBef>
              <a:spcPct val="0"/>
            </a:spcBef>
            <a:spcAft>
              <a:spcPct val="35000"/>
            </a:spcAft>
          </a:pPr>
          <a:r>
            <a:rPr lang="en-AU" sz="800" b="1" kern="1200"/>
            <a:t>Missing</a:t>
          </a:r>
        </a:p>
      </dsp:txBody>
      <dsp:txXfrm>
        <a:off x="4867819" y="4542514"/>
        <a:ext cx="841592" cy="408099"/>
      </dsp:txXfrm>
    </dsp:sp>
    <dsp:sp modelId="{870F293D-D118-4EB6-BC47-AC8DCF1AA4CE}">
      <dsp:nvSpPr>
        <dsp:cNvPr id="0" name=""/>
        <dsp:cNvSpPr/>
      </dsp:nvSpPr>
      <dsp:spPr>
        <a:xfrm rot="2142401">
          <a:off x="3254405" y="4616155"/>
          <a:ext cx="427078" cy="11557"/>
        </a:xfrm>
        <a:custGeom>
          <a:avLst/>
          <a:gdLst/>
          <a:ahLst/>
          <a:cxnLst/>
          <a:rect l="0" t="0" r="0" b="0"/>
          <a:pathLst>
            <a:path>
              <a:moveTo>
                <a:pt x="0" y="5778"/>
              </a:moveTo>
              <a:lnTo>
                <a:pt x="427078"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3457267" y="4611257"/>
        <a:ext cx="21353" cy="21353"/>
      </dsp:txXfrm>
    </dsp:sp>
    <dsp:sp modelId="{25E7662B-18ED-4B5B-9919-9A2A12702B9D}">
      <dsp:nvSpPr>
        <dsp:cNvPr id="0" name=""/>
        <dsp:cNvSpPr/>
      </dsp:nvSpPr>
      <dsp:spPr>
        <a:xfrm>
          <a:off x="3641341" y="452981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94</a:t>
          </a:r>
        </a:p>
        <a:p>
          <a:pPr lvl="0" algn="ctr" defTabSz="355600">
            <a:lnSpc>
              <a:spcPct val="90000"/>
            </a:lnSpc>
            <a:spcBef>
              <a:spcPct val="0"/>
            </a:spcBef>
            <a:spcAft>
              <a:spcPct val="35000"/>
            </a:spcAft>
          </a:pPr>
          <a:r>
            <a:rPr lang="en-AU" sz="800" b="1" kern="1200"/>
            <a:t>Lost</a:t>
          </a:r>
        </a:p>
      </dsp:txBody>
      <dsp:txXfrm>
        <a:off x="3654038" y="4542514"/>
        <a:ext cx="841592" cy="408099"/>
      </dsp:txXfrm>
    </dsp:sp>
    <dsp:sp modelId="{0E88DC31-6D65-43E9-9C20-5FF2346D09BD}">
      <dsp:nvSpPr>
        <dsp:cNvPr id="0" name=""/>
        <dsp:cNvSpPr/>
      </dsp:nvSpPr>
      <dsp:spPr>
        <a:xfrm rot="4467012">
          <a:off x="393562" y="4865414"/>
          <a:ext cx="1293642" cy="11557"/>
        </a:xfrm>
        <a:custGeom>
          <a:avLst/>
          <a:gdLst/>
          <a:ahLst/>
          <a:cxnLst/>
          <a:rect l="0" t="0" r="0" b="0"/>
          <a:pathLst>
            <a:path>
              <a:moveTo>
                <a:pt x="0" y="5778"/>
              </a:moveTo>
              <a:lnTo>
                <a:pt x="1293642" y="57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1008042" y="4838852"/>
        <a:ext cx="64682" cy="64682"/>
      </dsp:txXfrm>
    </dsp:sp>
    <dsp:sp modelId="{114CA2FF-087D-4CCA-868C-A2D1AC6709F1}">
      <dsp:nvSpPr>
        <dsp:cNvPr id="0" name=""/>
        <dsp:cNvSpPr/>
      </dsp:nvSpPr>
      <dsp:spPr>
        <a:xfrm>
          <a:off x="1213780" y="5277592"/>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258 </a:t>
          </a:r>
        </a:p>
        <a:p>
          <a:pPr lvl="0" algn="ctr" defTabSz="355600">
            <a:lnSpc>
              <a:spcPct val="90000"/>
            </a:lnSpc>
            <a:spcBef>
              <a:spcPct val="0"/>
            </a:spcBef>
            <a:spcAft>
              <a:spcPct val="35000"/>
            </a:spcAft>
          </a:pPr>
          <a:r>
            <a:rPr lang="en-AU" sz="800" b="1" kern="1200"/>
            <a:t>Failed to complete screen</a:t>
          </a:r>
        </a:p>
      </dsp:txBody>
      <dsp:txXfrm>
        <a:off x="1226477" y="5290289"/>
        <a:ext cx="841592" cy="408099"/>
      </dsp:txXfrm>
    </dsp:sp>
    <dsp:sp modelId="{9557F60B-3F99-4495-9680-25B96D6D2685}">
      <dsp:nvSpPr>
        <dsp:cNvPr id="0" name=""/>
        <dsp:cNvSpPr/>
      </dsp:nvSpPr>
      <dsp:spPr>
        <a:xfrm rot="21165344">
          <a:off x="2079333" y="5465919"/>
          <a:ext cx="359102" cy="11557"/>
        </a:xfrm>
        <a:custGeom>
          <a:avLst/>
          <a:gdLst/>
          <a:ahLst/>
          <a:cxnLst/>
          <a:rect l="0" t="0" r="0" b="0"/>
          <a:pathLst>
            <a:path>
              <a:moveTo>
                <a:pt x="0" y="5778"/>
              </a:moveTo>
              <a:lnTo>
                <a:pt x="359102"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2249907" y="5462720"/>
        <a:ext cx="17955" cy="17955"/>
      </dsp:txXfrm>
    </dsp:sp>
    <dsp:sp modelId="{004ADAE1-5E6D-40CD-85F5-C9914C499B2B}">
      <dsp:nvSpPr>
        <dsp:cNvPr id="0" name=""/>
        <dsp:cNvSpPr/>
      </dsp:nvSpPr>
      <dsp:spPr>
        <a:xfrm>
          <a:off x="2437002" y="5232310"/>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81 </a:t>
          </a:r>
        </a:p>
        <a:p>
          <a:pPr lvl="0" algn="ctr" defTabSz="355600">
            <a:lnSpc>
              <a:spcPct val="90000"/>
            </a:lnSpc>
            <a:spcBef>
              <a:spcPct val="0"/>
            </a:spcBef>
            <a:spcAft>
              <a:spcPct val="35000"/>
            </a:spcAft>
          </a:pPr>
          <a:r>
            <a:rPr lang="en-AU" sz="800" b="1" kern="1200"/>
            <a:t>Ineligable</a:t>
          </a:r>
        </a:p>
      </dsp:txBody>
      <dsp:txXfrm>
        <a:off x="2449699" y="5245007"/>
        <a:ext cx="841592" cy="408099"/>
      </dsp:txXfrm>
    </dsp:sp>
    <dsp:sp modelId="{C6A8B198-EF3F-496A-A90E-CBADB27B70D5}">
      <dsp:nvSpPr>
        <dsp:cNvPr id="0" name=""/>
        <dsp:cNvSpPr/>
      </dsp:nvSpPr>
      <dsp:spPr>
        <a:xfrm rot="3165548">
          <a:off x="1970716" y="5710454"/>
          <a:ext cx="557454" cy="11557"/>
        </a:xfrm>
        <a:custGeom>
          <a:avLst/>
          <a:gdLst/>
          <a:ahLst/>
          <a:cxnLst/>
          <a:rect l="0" t="0" r="0" b="0"/>
          <a:pathLst>
            <a:path>
              <a:moveTo>
                <a:pt x="0" y="5778"/>
              </a:moveTo>
              <a:lnTo>
                <a:pt x="557454"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2235506" y="5702297"/>
        <a:ext cx="27872" cy="27872"/>
      </dsp:txXfrm>
    </dsp:sp>
    <dsp:sp modelId="{C6E4AE76-25F9-44B8-A7B0-8C09C5760714}">
      <dsp:nvSpPr>
        <dsp:cNvPr id="0" name=""/>
        <dsp:cNvSpPr/>
      </dsp:nvSpPr>
      <dsp:spPr>
        <a:xfrm>
          <a:off x="2418119" y="5721381"/>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26 </a:t>
          </a:r>
        </a:p>
        <a:p>
          <a:pPr lvl="0" algn="ctr" defTabSz="355600">
            <a:lnSpc>
              <a:spcPct val="90000"/>
            </a:lnSpc>
            <a:spcBef>
              <a:spcPct val="0"/>
            </a:spcBef>
            <a:spcAft>
              <a:spcPct val="35000"/>
            </a:spcAft>
          </a:pPr>
          <a:r>
            <a:rPr lang="en-AU" sz="800" b="1" kern="1200"/>
            <a:t>Declined</a:t>
          </a:r>
        </a:p>
      </dsp:txBody>
      <dsp:txXfrm>
        <a:off x="2430816" y="5734078"/>
        <a:ext cx="841592" cy="408099"/>
      </dsp:txXfrm>
    </dsp:sp>
    <dsp:sp modelId="{EAFB5BB9-B225-4722-811F-4185776E03B1}">
      <dsp:nvSpPr>
        <dsp:cNvPr id="0" name=""/>
        <dsp:cNvSpPr/>
      </dsp:nvSpPr>
      <dsp:spPr>
        <a:xfrm rot="4207105">
          <a:off x="1753448" y="5954992"/>
          <a:ext cx="991989" cy="11557"/>
        </a:xfrm>
        <a:custGeom>
          <a:avLst/>
          <a:gdLst/>
          <a:ahLst/>
          <a:cxnLst/>
          <a:rect l="0" t="0" r="0" b="0"/>
          <a:pathLst>
            <a:path>
              <a:moveTo>
                <a:pt x="0" y="5778"/>
              </a:moveTo>
              <a:lnTo>
                <a:pt x="991989" y="57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AU" sz="700" b="1" kern="1200"/>
        </a:p>
      </dsp:txBody>
      <dsp:txXfrm>
        <a:off x="2224643" y="5935971"/>
        <a:ext cx="49599" cy="49599"/>
      </dsp:txXfrm>
    </dsp:sp>
    <dsp:sp modelId="{932CB3E0-1829-4AED-9A93-7BE1142878D2}">
      <dsp:nvSpPr>
        <dsp:cNvPr id="0" name=""/>
        <dsp:cNvSpPr/>
      </dsp:nvSpPr>
      <dsp:spPr>
        <a:xfrm>
          <a:off x="2418119" y="6210457"/>
          <a:ext cx="866986" cy="4334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b="1" kern="1200"/>
            <a:t>151</a:t>
          </a:r>
        </a:p>
        <a:p>
          <a:pPr lvl="0" algn="ctr" defTabSz="355600">
            <a:lnSpc>
              <a:spcPct val="90000"/>
            </a:lnSpc>
            <a:spcBef>
              <a:spcPct val="0"/>
            </a:spcBef>
            <a:spcAft>
              <a:spcPct val="35000"/>
            </a:spcAft>
          </a:pPr>
          <a:r>
            <a:rPr lang="en-AU" sz="800" b="1" kern="1200"/>
            <a:t>Non-contactable</a:t>
          </a:r>
        </a:p>
      </dsp:txBody>
      <dsp:txXfrm>
        <a:off x="2430816" y="6223154"/>
        <a:ext cx="841592" cy="4080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3455E-8930-437B-A570-73986B4EEA97}">
  <ds:schemaRefs>
    <ds:schemaRef ds:uri="http://schemas.microsoft.com/sharepoint/v3/contenttype/forms"/>
  </ds:schemaRefs>
</ds:datastoreItem>
</file>

<file path=customXml/itemProps2.xml><?xml version="1.0" encoding="utf-8"?>
<ds:datastoreItem xmlns:ds="http://schemas.openxmlformats.org/officeDocument/2006/customXml" ds:itemID="{536CF727-8335-4F73-AC39-3105D709716E}">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2FD22C0-528A-44B0-830E-6B97985CF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BF297B-5A7D-49C8-BE36-9276EFB9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142</Pages>
  <Words>58704</Words>
  <Characters>328156</Characters>
  <Application>Microsoft Office Word</Application>
  <DocSecurity>0</DocSecurity>
  <Lines>9651</Lines>
  <Paragraphs>6044</Paragraphs>
  <ScaleCrop>false</ScaleCrop>
  <HeadingPairs>
    <vt:vector size="2" baseType="variant">
      <vt:variant>
        <vt:lpstr>Title</vt:lpstr>
      </vt:variant>
      <vt:variant>
        <vt:i4>1</vt:i4>
      </vt:variant>
    </vt:vector>
  </HeadingPairs>
  <TitlesOfParts>
    <vt:vector size="1" baseType="lpstr">
      <vt:lpstr>Study of Patient Pathways in Alcohol and Other Drug Treatment</vt:lpstr>
    </vt:vector>
  </TitlesOfParts>
  <Company>Eastern Health</Company>
  <LinksUpToDate>false</LinksUpToDate>
  <CharactersWithSpaces>380816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Patient Pathways in Alcohol and Other Drug Treatment</dc:title>
  <dc:subject>Alcohol; Drugs</dc:subject>
  <dc:creator>Department of Health</dc:creator>
  <cp:keywords>Alcohol; Publication; Drugs; Report</cp:keywords>
  <cp:lastModifiedBy>People Capability and Communication Division</cp:lastModifiedBy>
  <cp:revision>22</cp:revision>
  <cp:lastPrinted>2014-12-23T01:40:00Z</cp:lastPrinted>
  <dcterms:created xsi:type="dcterms:W3CDTF">2018-12-03T08:15:00Z</dcterms:created>
  <dcterms:modified xsi:type="dcterms:W3CDTF">2018-12-04T07:44:00Z</dcterms:modified>
  <cp:category>Alcohol;Drugs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