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361" w:rsidRDefault="008E1361" w:rsidP="008E1361">
      <w:pPr>
        <w:spacing w:before="1680"/>
        <w:ind w:left="2835"/>
        <w:jc w:val="right"/>
        <w:rPr>
          <w:rFonts w:ascii="Arial" w:hAnsi="Arial" w:cs="Arial"/>
          <w:sz w:val="52"/>
          <w:szCs w:val="52"/>
        </w:rPr>
      </w:pPr>
      <w:r>
        <w:rPr>
          <w:rFonts w:ascii="Arial" w:hAnsi="Arial" w:cs="Arial"/>
          <w:noProof/>
          <w:sz w:val="52"/>
          <w:szCs w:val="52"/>
          <w:lang w:eastAsia="en-AU"/>
        </w:rPr>
        <w:drawing>
          <wp:inline distT="0" distB="0" distL="0" distR="0">
            <wp:extent cx="2152650" cy="2152650"/>
            <wp:effectExtent l="0" t="0" r="0" b="0"/>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rsidR="00C9107C" w:rsidRPr="00EC10D2" w:rsidRDefault="00C9107C" w:rsidP="00061B02">
      <w:pPr>
        <w:pStyle w:val="Logotitle"/>
        <w:rPr>
          <w:b/>
        </w:rPr>
      </w:pPr>
      <w:r w:rsidRPr="00EC10D2">
        <w:t>Department of Health</w:t>
      </w:r>
    </w:p>
    <w:p w:rsidR="00C9107C" w:rsidRPr="00C55A70" w:rsidRDefault="00C9107C" w:rsidP="00C55A70">
      <w:pPr>
        <w:pStyle w:val="Title"/>
        <w:rPr>
          <w:rStyle w:val="IntenseEmphasis"/>
          <w:rFonts w:ascii="Arial" w:hAnsi="Arial"/>
          <w:b/>
          <w:bCs w:val="0"/>
          <w:i w:val="0"/>
          <w:iCs/>
          <w:color w:val="auto"/>
          <w:sz w:val="36"/>
        </w:rPr>
      </w:pPr>
      <w:bookmarkStart w:id="0" w:name="_GoBack"/>
      <w:r w:rsidRPr="00C55A70">
        <w:t>Stakeholder Engagement Framework</w:t>
      </w:r>
    </w:p>
    <w:bookmarkEnd w:id="0"/>
    <w:p w:rsidR="00C9107C" w:rsidRPr="00C3242D" w:rsidRDefault="00C9107C" w:rsidP="00EC10D2">
      <w:pPr>
        <w:spacing w:before="360" w:after="0"/>
        <w:ind w:left="2835"/>
        <w:rPr>
          <w:rStyle w:val="IntenseEmphasis"/>
          <w:rFonts w:ascii="Cambria" w:hAnsi="Cambria"/>
          <w:b w:val="0"/>
          <w:color w:val="000000" w:themeColor="text1"/>
        </w:rPr>
      </w:pPr>
      <w:r w:rsidRPr="00C3242D">
        <w:rPr>
          <w:rStyle w:val="IntenseEmphasis"/>
          <w:rFonts w:ascii="Cambria" w:hAnsi="Cambria"/>
          <w:b w:val="0"/>
          <w:color w:val="000000" w:themeColor="text1"/>
        </w:rPr>
        <w:t>“… effective stakeholder engagement is increasingly contributing to organisational resilience and flexibility, to learning and innovation, to the identification of new opportunities, and ultimately to the improvement of sustainable performance.”</w:t>
      </w:r>
    </w:p>
    <w:p w:rsidR="00C9107C" w:rsidRDefault="00C9107C" w:rsidP="00C9107C">
      <w:pPr>
        <w:autoSpaceDE w:val="0"/>
        <w:autoSpaceDN w:val="0"/>
        <w:adjustRightInd w:val="0"/>
        <w:spacing w:before="120" w:after="0"/>
        <w:ind w:left="2835"/>
        <w:rPr>
          <w:rFonts w:ascii="Cambria" w:hAnsi="Cambria" w:cs="AGaramond-Regular"/>
          <w:color w:val="000000" w:themeColor="text1"/>
          <w:sz w:val="18"/>
          <w:szCs w:val="18"/>
          <w:lang w:eastAsia="en-AU"/>
        </w:rPr>
      </w:pPr>
      <w:proofErr w:type="spellStart"/>
      <w:proofErr w:type="gramStart"/>
      <w:r w:rsidRPr="00C3242D">
        <w:rPr>
          <w:rFonts w:ascii="Cambria" w:hAnsi="Cambria" w:cs="AGaramond-Regular"/>
          <w:color w:val="000000" w:themeColor="text1"/>
          <w:sz w:val="18"/>
          <w:szCs w:val="18"/>
          <w:lang w:eastAsia="en-AU"/>
        </w:rPr>
        <w:t>Account</w:t>
      </w:r>
      <w:r>
        <w:rPr>
          <w:rFonts w:ascii="Cambria" w:hAnsi="Cambria" w:cs="AGaramond-Regular"/>
          <w:color w:val="000000" w:themeColor="text1"/>
          <w:sz w:val="18"/>
          <w:szCs w:val="18"/>
          <w:lang w:eastAsia="en-AU"/>
        </w:rPr>
        <w:t>A</w:t>
      </w:r>
      <w:r w:rsidRPr="00C3242D">
        <w:rPr>
          <w:rFonts w:ascii="Cambria" w:hAnsi="Cambria" w:cs="AGaramond-Regular"/>
          <w:color w:val="000000" w:themeColor="text1"/>
          <w:sz w:val="18"/>
          <w:szCs w:val="18"/>
          <w:lang w:eastAsia="en-AU"/>
        </w:rPr>
        <w:t>bility</w:t>
      </w:r>
      <w:proofErr w:type="spellEnd"/>
      <w:r w:rsidRPr="00C3242D">
        <w:rPr>
          <w:rFonts w:ascii="Cambria" w:hAnsi="Cambria" w:cs="AGaramond-Regular"/>
          <w:color w:val="000000" w:themeColor="text1"/>
          <w:sz w:val="18"/>
          <w:szCs w:val="18"/>
          <w:lang w:eastAsia="en-AU"/>
        </w:rPr>
        <w:t>.</w:t>
      </w:r>
      <w:proofErr w:type="gramEnd"/>
    </w:p>
    <w:p w:rsidR="00297ED4" w:rsidRDefault="00C9107C" w:rsidP="00297ED4">
      <w:pPr>
        <w:autoSpaceDE w:val="0"/>
        <w:autoSpaceDN w:val="0"/>
        <w:adjustRightInd w:val="0"/>
        <w:spacing w:before="0" w:after="0"/>
        <w:ind w:left="2835"/>
        <w:rPr>
          <w:rFonts w:ascii="Cambria" w:hAnsi="Cambria" w:cs="AGaramond-Regular"/>
          <w:color w:val="000000" w:themeColor="text1"/>
          <w:sz w:val="18"/>
          <w:szCs w:val="18"/>
          <w:lang w:eastAsia="en-AU"/>
        </w:rPr>
        <w:sectPr w:rsidR="00297ED4" w:rsidSect="00297ED4">
          <w:footerReference w:type="default" r:id="rId10"/>
          <w:headerReference w:type="first" r:id="rId11"/>
          <w:footerReference w:type="first" r:id="rId12"/>
          <w:pgSz w:w="11906" w:h="16838" w:code="9"/>
          <w:pgMar w:top="1440" w:right="1440" w:bottom="1440" w:left="1440" w:header="709" w:footer="709" w:gutter="0"/>
          <w:cols w:space="708"/>
          <w:vAlign w:val="center"/>
          <w:titlePg/>
          <w:docGrid w:linePitch="360"/>
        </w:sectPr>
      </w:pPr>
      <w:proofErr w:type="gramStart"/>
      <w:r w:rsidRPr="00C3242D">
        <w:rPr>
          <w:rFonts w:ascii="Cambria" w:hAnsi="Cambria" w:cs="AGaramond-Regular"/>
          <w:i/>
          <w:color w:val="000000" w:themeColor="text1"/>
          <w:sz w:val="18"/>
          <w:szCs w:val="18"/>
          <w:lang w:eastAsia="en-AU"/>
        </w:rPr>
        <w:t>AA1000SE Stakeholder Engagement Practitioner’s Perspectives</w:t>
      </w:r>
      <w:r>
        <w:rPr>
          <w:rFonts w:ascii="Cambria" w:hAnsi="Cambria" w:cs="AGaramond-Regular"/>
          <w:i/>
          <w:color w:val="000000" w:themeColor="text1"/>
          <w:sz w:val="18"/>
          <w:szCs w:val="18"/>
          <w:lang w:eastAsia="en-AU"/>
        </w:rPr>
        <w:t>.</w:t>
      </w:r>
      <w:proofErr w:type="gramEnd"/>
      <w:r>
        <w:rPr>
          <w:rFonts w:ascii="Cambria" w:hAnsi="Cambria" w:cs="AGaramond-Regular"/>
          <w:i/>
          <w:color w:val="000000" w:themeColor="text1"/>
          <w:sz w:val="18"/>
          <w:szCs w:val="18"/>
          <w:lang w:eastAsia="en-AU"/>
        </w:rPr>
        <w:t xml:space="preserve"> </w:t>
      </w:r>
      <w:r w:rsidR="00297ED4">
        <w:rPr>
          <w:rFonts w:ascii="Cambria" w:hAnsi="Cambria" w:cs="AGaramond-Regular"/>
          <w:color w:val="000000" w:themeColor="text1"/>
          <w:sz w:val="18"/>
          <w:szCs w:val="18"/>
          <w:lang w:eastAsia="en-AU"/>
        </w:rPr>
        <w:t>2005.</w:t>
      </w:r>
    </w:p>
    <w:p w:rsidR="008E1361" w:rsidRDefault="008E1361" w:rsidP="00297ED4">
      <w:pPr>
        <w:autoSpaceDE w:val="0"/>
        <w:autoSpaceDN w:val="0"/>
        <w:adjustRightInd w:val="0"/>
        <w:spacing w:before="0" w:after="0"/>
        <w:ind w:left="2835"/>
        <w:rPr>
          <w:rFonts w:ascii="Cambria" w:hAnsi="Cambria" w:cs="AGaramond-Regular"/>
          <w:color w:val="000000" w:themeColor="text1"/>
          <w:sz w:val="18"/>
          <w:szCs w:val="18"/>
          <w:lang w:eastAsia="en-AU"/>
        </w:rPr>
        <w:sectPr w:rsidR="008E1361" w:rsidSect="00C07663">
          <w:headerReference w:type="even" r:id="rId13"/>
          <w:headerReference w:type="default" r:id="rId14"/>
          <w:footerReference w:type="default" r:id="rId15"/>
          <w:headerReference w:type="first" r:id="rId16"/>
          <w:footerReference w:type="first" r:id="rId17"/>
          <w:type w:val="continuous"/>
          <w:pgSz w:w="11906" w:h="16838" w:code="9"/>
          <w:pgMar w:top="1440" w:right="1440" w:bottom="1304" w:left="1440" w:header="709" w:footer="709" w:gutter="0"/>
          <w:pgNumType w:fmt="lowerRoman" w:start="1"/>
          <w:cols w:space="708"/>
          <w:titlePg/>
          <w:docGrid w:linePitch="360"/>
        </w:sectPr>
      </w:pPr>
    </w:p>
    <w:bookmarkStart w:id="1" w:name="_Toc482859621" w:displacedByCustomXml="next"/>
    <w:sdt>
      <w:sdtPr>
        <w:rPr>
          <w:rFonts w:cstheme="minorBidi"/>
          <w:b/>
          <w:bCs/>
          <w:color w:val="auto"/>
          <w:sz w:val="22"/>
          <w:szCs w:val="22"/>
        </w:rPr>
        <w:id w:val="-1788498305"/>
        <w:docPartObj>
          <w:docPartGallery w:val="Table of Contents"/>
          <w:docPartUnique/>
        </w:docPartObj>
      </w:sdtPr>
      <w:sdtEndPr>
        <w:rPr>
          <w:b w:val="0"/>
          <w:bCs w:val="0"/>
          <w:noProof/>
        </w:rPr>
      </w:sdtEndPr>
      <w:sdtContent>
        <w:p w:rsidR="00B134CA" w:rsidRPr="00363F6A" w:rsidRDefault="00B134CA" w:rsidP="00D6239B">
          <w:pPr>
            <w:pStyle w:val="Heading1"/>
          </w:pPr>
          <w:r w:rsidRPr="00363F6A">
            <w:t>Contents</w:t>
          </w:r>
          <w:bookmarkEnd w:id="1"/>
        </w:p>
        <w:p w:rsidR="00232521" w:rsidRDefault="00B134CA">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82859621" w:history="1">
            <w:r w:rsidR="00232521" w:rsidRPr="00C106CA">
              <w:rPr>
                <w:rStyle w:val="Hyperlink"/>
                <w:noProof/>
              </w:rPr>
              <w:t>Contents</w:t>
            </w:r>
            <w:r w:rsidR="00232521">
              <w:rPr>
                <w:noProof/>
                <w:webHidden/>
              </w:rPr>
              <w:tab/>
            </w:r>
            <w:r w:rsidR="00232521">
              <w:rPr>
                <w:noProof/>
                <w:webHidden/>
              </w:rPr>
              <w:fldChar w:fldCharType="begin"/>
            </w:r>
            <w:r w:rsidR="00232521">
              <w:rPr>
                <w:noProof/>
                <w:webHidden/>
              </w:rPr>
              <w:instrText xml:space="preserve"> PAGEREF _Toc482859621 \h </w:instrText>
            </w:r>
            <w:r w:rsidR="00232521">
              <w:rPr>
                <w:noProof/>
                <w:webHidden/>
              </w:rPr>
            </w:r>
            <w:r w:rsidR="00232521">
              <w:rPr>
                <w:noProof/>
                <w:webHidden/>
              </w:rPr>
              <w:fldChar w:fldCharType="separate"/>
            </w:r>
            <w:r w:rsidR="00232521">
              <w:rPr>
                <w:noProof/>
                <w:webHidden/>
              </w:rPr>
              <w:t>i</w:t>
            </w:r>
            <w:r w:rsidR="00232521">
              <w:rPr>
                <w:noProof/>
                <w:webHidden/>
              </w:rPr>
              <w:fldChar w:fldCharType="end"/>
            </w:r>
          </w:hyperlink>
        </w:p>
        <w:p w:rsidR="00232521" w:rsidRDefault="00CE7EB0">
          <w:pPr>
            <w:pStyle w:val="TOC1"/>
            <w:tabs>
              <w:tab w:val="right" w:leader="dot" w:pos="9016"/>
            </w:tabs>
            <w:rPr>
              <w:rFonts w:eastAsiaTheme="minorEastAsia"/>
              <w:noProof/>
              <w:lang w:eastAsia="en-AU"/>
            </w:rPr>
          </w:pPr>
          <w:hyperlink w:anchor="_Toc482859622" w:history="1">
            <w:r w:rsidR="00232521" w:rsidRPr="00C106CA">
              <w:rPr>
                <w:rStyle w:val="Hyperlink"/>
                <w:noProof/>
              </w:rPr>
              <w:t>Stakeholder Engagement and Health</w:t>
            </w:r>
            <w:r w:rsidR="00232521">
              <w:rPr>
                <w:noProof/>
                <w:webHidden/>
              </w:rPr>
              <w:tab/>
            </w:r>
            <w:r w:rsidR="00232521">
              <w:rPr>
                <w:noProof/>
                <w:webHidden/>
              </w:rPr>
              <w:fldChar w:fldCharType="begin"/>
            </w:r>
            <w:r w:rsidR="00232521">
              <w:rPr>
                <w:noProof/>
                <w:webHidden/>
              </w:rPr>
              <w:instrText xml:space="preserve"> PAGEREF _Toc482859622 \h </w:instrText>
            </w:r>
            <w:r w:rsidR="00232521">
              <w:rPr>
                <w:noProof/>
                <w:webHidden/>
              </w:rPr>
            </w:r>
            <w:r w:rsidR="00232521">
              <w:rPr>
                <w:noProof/>
                <w:webHidden/>
              </w:rPr>
              <w:fldChar w:fldCharType="separate"/>
            </w:r>
            <w:r w:rsidR="00232521">
              <w:rPr>
                <w:noProof/>
                <w:webHidden/>
              </w:rPr>
              <w:t>1</w:t>
            </w:r>
            <w:r w:rsidR="00232521">
              <w:rPr>
                <w:noProof/>
                <w:webHidden/>
              </w:rPr>
              <w:fldChar w:fldCharType="end"/>
            </w:r>
          </w:hyperlink>
        </w:p>
        <w:p w:rsidR="00232521" w:rsidRDefault="00CE7EB0">
          <w:pPr>
            <w:pStyle w:val="TOC1"/>
            <w:tabs>
              <w:tab w:val="right" w:leader="dot" w:pos="9016"/>
            </w:tabs>
            <w:rPr>
              <w:rFonts w:eastAsiaTheme="minorEastAsia"/>
              <w:noProof/>
              <w:lang w:eastAsia="en-AU"/>
            </w:rPr>
          </w:pPr>
          <w:hyperlink w:anchor="_Toc482859623" w:history="1">
            <w:r w:rsidR="00232521" w:rsidRPr="00C106CA">
              <w:rPr>
                <w:rStyle w:val="Hyperlink"/>
                <w:noProof/>
              </w:rPr>
              <w:t>Purpose of the Framework</w:t>
            </w:r>
            <w:r w:rsidR="00232521">
              <w:rPr>
                <w:noProof/>
                <w:webHidden/>
              </w:rPr>
              <w:tab/>
            </w:r>
            <w:r w:rsidR="00232521">
              <w:rPr>
                <w:noProof/>
                <w:webHidden/>
              </w:rPr>
              <w:fldChar w:fldCharType="begin"/>
            </w:r>
            <w:r w:rsidR="00232521">
              <w:rPr>
                <w:noProof/>
                <w:webHidden/>
              </w:rPr>
              <w:instrText xml:space="preserve"> PAGEREF _Toc482859623 \h </w:instrText>
            </w:r>
            <w:r w:rsidR="00232521">
              <w:rPr>
                <w:noProof/>
                <w:webHidden/>
              </w:rPr>
            </w:r>
            <w:r w:rsidR="00232521">
              <w:rPr>
                <w:noProof/>
                <w:webHidden/>
              </w:rPr>
              <w:fldChar w:fldCharType="separate"/>
            </w:r>
            <w:r w:rsidR="00232521">
              <w:rPr>
                <w:noProof/>
                <w:webHidden/>
              </w:rPr>
              <w:t>1</w:t>
            </w:r>
            <w:r w:rsidR="00232521">
              <w:rPr>
                <w:noProof/>
                <w:webHidden/>
              </w:rPr>
              <w:fldChar w:fldCharType="end"/>
            </w:r>
          </w:hyperlink>
        </w:p>
        <w:p w:rsidR="00232521" w:rsidRDefault="00CE7EB0">
          <w:pPr>
            <w:pStyle w:val="TOC1"/>
            <w:tabs>
              <w:tab w:val="right" w:leader="dot" w:pos="9016"/>
            </w:tabs>
            <w:rPr>
              <w:rFonts w:eastAsiaTheme="minorEastAsia"/>
              <w:noProof/>
              <w:lang w:eastAsia="en-AU"/>
            </w:rPr>
          </w:pPr>
          <w:hyperlink w:anchor="_Toc482859624" w:history="1">
            <w:r w:rsidR="00232521" w:rsidRPr="00C106CA">
              <w:rPr>
                <w:rStyle w:val="Hyperlink"/>
                <w:noProof/>
              </w:rPr>
              <w:t>Principles for engagement</w:t>
            </w:r>
            <w:r w:rsidR="00232521">
              <w:rPr>
                <w:noProof/>
                <w:webHidden/>
              </w:rPr>
              <w:tab/>
            </w:r>
            <w:r w:rsidR="00232521">
              <w:rPr>
                <w:noProof/>
                <w:webHidden/>
              </w:rPr>
              <w:fldChar w:fldCharType="begin"/>
            </w:r>
            <w:r w:rsidR="00232521">
              <w:rPr>
                <w:noProof/>
                <w:webHidden/>
              </w:rPr>
              <w:instrText xml:space="preserve"> PAGEREF _Toc482859624 \h </w:instrText>
            </w:r>
            <w:r w:rsidR="00232521">
              <w:rPr>
                <w:noProof/>
                <w:webHidden/>
              </w:rPr>
            </w:r>
            <w:r w:rsidR="00232521">
              <w:rPr>
                <w:noProof/>
                <w:webHidden/>
              </w:rPr>
              <w:fldChar w:fldCharType="separate"/>
            </w:r>
            <w:r w:rsidR="00232521">
              <w:rPr>
                <w:noProof/>
                <w:webHidden/>
              </w:rPr>
              <w:t>2</w:t>
            </w:r>
            <w:r w:rsidR="00232521">
              <w:rPr>
                <w:noProof/>
                <w:webHidden/>
              </w:rPr>
              <w:fldChar w:fldCharType="end"/>
            </w:r>
          </w:hyperlink>
        </w:p>
        <w:p w:rsidR="00232521" w:rsidRDefault="00CE7EB0">
          <w:pPr>
            <w:pStyle w:val="TOC2"/>
            <w:rPr>
              <w:rFonts w:eastAsiaTheme="minorEastAsia"/>
              <w:noProof/>
              <w:lang w:eastAsia="en-AU"/>
            </w:rPr>
          </w:pPr>
          <w:hyperlink w:anchor="_Toc482859625" w:history="1">
            <w:r w:rsidR="00232521" w:rsidRPr="00C106CA">
              <w:rPr>
                <w:rStyle w:val="Hyperlink"/>
                <w:noProof/>
              </w:rPr>
              <w:t>Purposeful - We begin every engagement with a clear understanding of what we want to achieve</w:t>
            </w:r>
            <w:r w:rsidR="00232521">
              <w:rPr>
                <w:noProof/>
                <w:webHidden/>
              </w:rPr>
              <w:tab/>
            </w:r>
            <w:r w:rsidR="00232521">
              <w:rPr>
                <w:noProof/>
                <w:webHidden/>
              </w:rPr>
              <w:fldChar w:fldCharType="begin"/>
            </w:r>
            <w:r w:rsidR="00232521">
              <w:rPr>
                <w:noProof/>
                <w:webHidden/>
              </w:rPr>
              <w:instrText xml:space="preserve"> PAGEREF _Toc482859625 \h </w:instrText>
            </w:r>
            <w:r w:rsidR="00232521">
              <w:rPr>
                <w:noProof/>
                <w:webHidden/>
              </w:rPr>
            </w:r>
            <w:r w:rsidR="00232521">
              <w:rPr>
                <w:noProof/>
                <w:webHidden/>
              </w:rPr>
              <w:fldChar w:fldCharType="separate"/>
            </w:r>
            <w:r w:rsidR="00232521">
              <w:rPr>
                <w:noProof/>
                <w:webHidden/>
              </w:rPr>
              <w:t>2</w:t>
            </w:r>
            <w:r w:rsidR="00232521">
              <w:rPr>
                <w:noProof/>
                <w:webHidden/>
              </w:rPr>
              <w:fldChar w:fldCharType="end"/>
            </w:r>
          </w:hyperlink>
        </w:p>
        <w:p w:rsidR="00232521" w:rsidRDefault="00CE7EB0">
          <w:pPr>
            <w:pStyle w:val="TOC2"/>
            <w:rPr>
              <w:rFonts w:eastAsiaTheme="minorEastAsia"/>
              <w:noProof/>
              <w:lang w:eastAsia="en-AU"/>
            </w:rPr>
          </w:pPr>
          <w:hyperlink w:anchor="_Toc482859626" w:history="1">
            <w:r w:rsidR="00232521" w:rsidRPr="00C106CA">
              <w:rPr>
                <w:rStyle w:val="Hyperlink"/>
                <w:noProof/>
              </w:rPr>
              <w:t>Inclusive - We identify relevant stakeholders and make it easy for them to engage</w:t>
            </w:r>
            <w:r w:rsidR="00232521">
              <w:rPr>
                <w:noProof/>
                <w:webHidden/>
              </w:rPr>
              <w:tab/>
            </w:r>
            <w:r w:rsidR="00232521">
              <w:rPr>
                <w:noProof/>
                <w:webHidden/>
              </w:rPr>
              <w:fldChar w:fldCharType="begin"/>
            </w:r>
            <w:r w:rsidR="00232521">
              <w:rPr>
                <w:noProof/>
                <w:webHidden/>
              </w:rPr>
              <w:instrText xml:space="preserve"> PAGEREF _Toc482859626 \h </w:instrText>
            </w:r>
            <w:r w:rsidR="00232521">
              <w:rPr>
                <w:noProof/>
                <w:webHidden/>
              </w:rPr>
            </w:r>
            <w:r w:rsidR="00232521">
              <w:rPr>
                <w:noProof/>
                <w:webHidden/>
              </w:rPr>
              <w:fldChar w:fldCharType="separate"/>
            </w:r>
            <w:r w:rsidR="00232521">
              <w:rPr>
                <w:noProof/>
                <w:webHidden/>
              </w:rPr>
              <w:t>2</w:t>
            </w:r>
            <w:r w:rsidR="00232521">
              <w:rPr>
                <w:noProof/>
                <w:webHidden/>
              </w:rPr>
              <w:fldChar w:fldCharType="end"/>
            </w:r>
          </w:hyperlink>
        </w:p>
        <w:p w:rsidR="00232521" w:rsidRDefault="00CE7EB0">
          <w:pPr>
            <w:pStyle w:val="TOC2"/>
            <w:rPr>
              <w:rFonts w:eastAsiaTheme="minorEastAsia"/>
              <w:noProof/>
              <w:lang w:eastAsia="en-AU"/>
            </w:rPr>
          </w:pPr>
          <w:hyperlink w:anchor="_Toc482859627" w:history="1">
            <w:r w:rsidR="00232521" w:rsidRPr="00C106CA">
              <w:rPr>
                <w:rStyle w:val="Hyperlink"/>
                <w:noProof/>
              </w:rPr>
              <w:t>Timely - We involve stakeholders from the start and agree on when and how to engage</w:t>
            </w:r>
            <w:r w:rsidR="00232521">
              <w:rPr>
                <w:noProof/>
                <w:webHidden/>
              </w:rPr>
              <w:tab/>
            </w:r>
            <w:r w:rsidR="00232521">
              <w:rPr>
                <w:noProof/>
                <w:webHidden/>
              </w:rPr>
              <w:fldChar w:fldCharType="begin"/>
            </w:r>
            <w:r w:rsidR="00232521">
              <w:rPr>
                <w:noProof/>
                <w:webHidden/>
              </w:rPr>
              <w:instrText xml:space="preserve"> PAGEREF _Toc482859627 \h </w:instrText>
            </w:r>
            <w:r w:rsidR="00232521">
              <w:rPr>
                <w:noProof/>
                <w:webHidden/>
              </w:rPr>
            </w:r>
            <w:r w:rsidR="00232521">
              <w:rPr>
                <w:noProof/>
                <w:webHidden/>
              </w:rPr>
              <w:fldChar w:fldCharType="separate"/>
            </w:r>
            <w:r w:rsidR="00232521">
              <w:rPr>
                <w:noProof/>
                <w:webHidden/>
              </w:rPr>
              <w:t>2</w:t>
            </w:r>
            <w:r w:rsidR="00232521">
              <w:rPr>
                <w:noProof/>
                <w:webHidden/>
              </w:rPr>
              <w:fldChar w:fldCharType="end"/>
            </w:r>
          </w:hyperlink>
        </w:p>
        <w:p w:rsidR="00232521" w:rsidRDefault="00CE7EB0">
          <w:pPr>
            <w:pStyle w:val="TOC2"/>
            <w:rPr>
              <w:rFonts w:eastAsiaTheme="minorEastAsia"/>
              <w:noProof/>
              <w:lang w:eastAsia="en-AU"/>
            </w:rPr>
          </w:pPr>
          <w:hyperlink w:anchor="_Toc482859628" w:history="1">
            <w:r w:rsidR="00232521" w:rsidRPr="00C106CA">
              <w:rPr>
                <w:rStyle w:val="Hyperlink"/>
                <w:noProof/>
              </w:rPr>
              <w:t>Transparent - We are open and honest in our engagement and set clear expectations</w:t>
            </w:r>
            <w:r w:rsidR="00232521">
              <w:rPr>
                <w:noProof/>
                <w:webHidden/>
              </w:rPr>
              <w:tab/>
            </w:r>
            <w:r w:rsidR="00232521">
              <w:rPr>
                <w:noProof/>
                <w:webHidden/>
              </w:rPr>
              <w:fldChar w:fldCharType="begin"/>
            </w:r>
            <w:r w:rsidR="00232521">
              <w:rPr>
                <w:noProof/>
                <w:webHidden/>
              </w:rPr>
              <w:instrText xml:space="preserve"> PAGEREF _Toc482859628 \h </w:instrText>
            </w:r>
            <w:r w:rsidR="00232521">
              <w:rPr>
                <w:noProof/>
                <w:webHidden/>
              </w:rPr>
            </w:r>
            <w:r w:rsidR="00232521">
              <w:rPr>
                <w:noProof/>
                <w:webHidden/>
              </w:rPr>
              <w:fldChar w:fldCharType="separate"/>
            </w:r>
            <w:r w:rsidR="00232521">
              <w:rPr>
                <w:noProof/>
                <w:webHidden/>
              </w:rPr>
              <w:t>2</w:t>
            </w:r>
            <w:r w:rsidR="00232521">
              <w:rPr>
                <w:noProof/>
                <w:webHidden/>
              </w:rPr>
              <w:fldChar w:fldCharType="end"/>
            </w:r>
          </w:hyperlink>
        </w:p>
        <w:p w:rsidR="00232521" w:rsidRDefault="00CE7EB0">
          <w:pPr>
            <w:pStyle w:val="TOC2"/>
            <w:rPr>
              <w:rFonts w:eastAsiaTheme="minorEastAsia"/>
              <w:noProof/>
              <w:lang w:eastAsia="en-AU"/>
            </w:rPr>
          </w:pPr>
          <w:hyperlink w:anchor="_Toc482859629" w:history="1">
            <w:r w:rsidR="00232521" w:rsidRPr="00C106CA">
              <w:rPr>
                <w:rStyle w:val="Hyperlink"/>
                <w:noProof/>
              </w:rPr>
              <w:t>Respectful - We acknowledge and respect the expertise, perspective, and needs of stakeholders</w:t>
            </w:r>
            <w:r w:rsidR="00232521">
              <w:rPr>
                <w:noProof/>
                <w:webHidden/>
              </w:rPr>
              <w:tab/>
            </w:r>
            <w:r w:rsidR="00232521">
              <w:rPr>
                <w:noProof/>
                <w:webHidden/>
              </w:rPr>
              <w:fldChar w:fldCharType="begin"/>
            </w:r>
            <w:r w:rsidR="00232521">
              <w:rPr>
                <w:noProof/>
                <w:webHidden/>
              </w:rPr>
              <w:instrText xml:space="preserve"> PAGEREF _Toc482859629 \h </w:instrText>
            </w:r>
            <w:r w:rsidR="00232521">
              <w:rPr>
                <w:noProof/>
                <w:webHidden/>
              </w:rPr>
            </w:r>
            <w:r w:rsidR="00232521">
              <w:rPr>
                <w:noProof/>
                <w:webHidden/>
              </w:rPr>
              <w:fldChar w:fldCharType="separate"/>
            </w:r>
            <w:r w:rsidR="00232521">
              <w:rPr>
                <w:noProof/>
                <w:webHidden/>
              </w:rPr>
              <w:t>2</w:t>
            </w:r>
            <w:r w:rsidR="00232521">
              <w:rPr>
                <w:noProof/>
                <w:webHidden/>
              </w:rPr>
              <w:fldChar w:fldCharType="end"/>
            </w:r>
          </w:hyperlink>
        </w:p>
        <w:p w:rsidR="00232521" w:rsidRDefault="00CE7EB0">
          <w:pPr>
            <w:pStyle w:val="TOC1"/>
            <w:tabs>
              <w:tab w:val="right" w:leader="dot" w:pos="9016"/>
            </w:tabs>
            <w:rPr>
              <w:rFonts w:eastAsiaTheme="minorEastAsia"/>
              <w:noProof/>
              <w:lang w:eastAsia="en-AU"/>
            </w:rPr>
          </w:pPr>
          <w:hyperlink w:anchor="_Toc482859630" w:history="1">
            <w:r w:rsidR="00232521" w:rsidRPr="00C106CA">
              <w:rPr>
                <w:rStyle w:val="Hyperlink"/>
                <w:noProof/>
              </w:rPr>
              <w:t>Process for engagement</w:t>
            </w:r>
            <w:r w:rsidR="00232521">
              <w:rPr>
                <w:noProof/>
                <w:webHidden/>
              </w:rPr>
              <w:tab/>
            </w:r>
            <w:r w:rsidR="00232521">
              <w:rPr>
                <w:noProof/>
                <w:webHidden/>
              </w:rPr>
              <w:fldChar w:fldCharType="begin"/>
            </w:r>
            <w:r w:rsidR="00232521">
              <w:rPr>
                <w:noProof/>
                <w:webHidden/>
              </w:rPr>
              <w:instrText xml:space="preserve"> PAGEREF _Toc482859630 \h </w:instrText>
            </w:r>
            <w:r w:rsidR="00232521">
              <w:rPr>
                <w:noProof/>
                <w:webHidden/>
              </w:rPr>
            </w:r>
            <w:r w:rsidR="00232521">
              <w:rPr>
                <w:noProof/>
                <w:webHidden/>
              </w:rPr>
              <w:fldChar w:fldCharType="separate"/>
            </w:r>
            <w:r w:rsidR="00232521">
              <w:rPr>
                <w:noProof/>
                <w:webHidden/>
              </w:rPr>
              <w:t>3</w:t>
            </w:r>
            <w:r w:rsidR="00232521">
              <w:rPr>
                <w:noProof/>
                <w:webHidden/>
              </w:rPr>
              <w:fldChar w:fldCharType="end"/>
            </w:r>
          </w:hyperlink>
        </w:p>
        <w:p w:rsidR="00232521" w:rsidRDefault="00CE7EB0">
          <w:pPr>
            <w:pStyle w:val="TOC2"/>
            <w:rPr>
              <w:rFonts w:eastAsiaTheme="minorEastAsia"/>
              <w:noProof/>
              <w:lang w:eastAsia="en-AU"/>
            </w:rPr>
          </w:pPr>
          <w:hyperlink w:anchor="_Toc482859631" w:history="1">
            <w:r w:rsidR="00232521" w:rsidRPr="00C106CA">
              <w:rPr>
                <w:rStyle w:val="Hyperlink"/>
                <w:noProof/>
              </w:rPr>
              <w:t>Five step stakeholder engagement model</w:t>
            </w:r>
            <w:r w:rsidR="00232521">
              <w:rPr>
                <w:noProof/>
                <w:webHidden/>
              </w:rPr>
              <w:tab/>
            </w:r>
            <w:r w:rsidR="00232521">
              <w:rPr>
                <w:noProof/>
                <w:webHidden/>
              </w:rPr>
              <w:fldChar w:fldCharType="begin"/>
            </w:r>
            <w:r w:rsidR="00232521">
              <w:rPr>
                <w:noProof/>
                <w:webHidden/>
              </w:rPr>
              <w:instrText xml:space="preserve"> PAGEREF _Toc482859631 \h </w:instrText>
            </w:r>
            <w:r w:rsidR="00232521">
              <w:rPr>
                <w:noProof/>
                <w:webHidden/>
              </w:rPr>
            </w:r>
            <w:r w:rsidR="00232521">
              <w:rPr>
                <w:noProof/>
                <w:webHidden/>
              </w:rPr>
              <w:fldChar w:fldCharType="separate"/>
            </w:r>
            <w:r w:rsidR="00232521">
              <w:rPr>
                <w:noProof/>
                <w:webHidden/>
              </w:rPr>
              <w:t>3</w:t>
            </w:r>
            <w:r w:rsidR="00232521">
              <w:rPr>
                <w:noProof/>
                <w:webHidden/>
              </w:rPr>
              <w:fldChar w:fldCharType="end"/>
            </w:r>
          </w:hyperlink>
        </w:p>
        <w:p w:rsidR="00232521" w:rsidRDefault="00CE7EB0">
          <w:pPr>
            <w:pStyle w:val="TOC2"/>
            <w:rPr>
              <w:rFonts w:eastAsiaTheme="minorEastAsia"/>
              <w:noProof/>
              <w:lang w:eastAsia="en-AU"/>
            </w:rPr>
          </w:pPr>
          <w:hyperlink w:anchor="_Toc482859632" w:history="1">
            <w:r w:rsidR="00232521" w:rsidRPr="00C106CA">
              <w:rPr>
                <w:rStyle w:val="Hyperlink"/>
                <w:noProof/>
              </w:rPr>
              <w:t>Inclusive Participation</w:t>
            </w:r>
            <w:r w:rsidR="00232521">
              <w:rPr>
                <w:noProof/>
                <w:webHidden/>
              </w:rPr>
              <w:tab/>
            </w:r>
            <w:r w:rsidR="00232521">
              <w:rPr>
                <w:noProof/>
                <w:webHidden/>
              </w:rPr>
              <w:fldChar w:fldCharType="begin"/>
            </w:r>
            <w:r w:rsidR="00232521">
              <w:rPr>
                <w:noProof/>
                <w:webHidden/>
              </w:rPr>
              <w:instrText xml:space="preserve"> PAGEREF _Toc482859632 \h </w:instrText>
            </w:r>
            <w:r w:rsidR="00232521">
              <w:rPr>
                <w:noProof/>
                <w:webHidden/>
              </w:rPr>
            </w:r>
            <w:r w:rsidR="00232521">
              <w:rPr>
                <w:noProof/>
                <w:webHidden/>
              </w:rPr>
              <w:fldChar w:fldCharType="separate"/>
            </w:r>
            <w:r w:rsidR="00232521">
              <w:rPr>
                <w:noProof/>
                <w:webHidden/>
              </w:rPr>
              <w:t>5</w:t>
            </w:r>
            <w:r w:rsidR="00232521">
              <w:rPr>
                <w:noProof/>
                <w:webHidden/>
              </w:rPr>
              <w:fldChar w:fldCharType="end"/>
            </w:r>
          </w:hyperlink>
        </w:p>
        <w:p w:rsidR="00232521" w:rsidRDefault="00CE7EB0">
          <w:pPr>
            <w:pStyle w:val="TOC3"/>
            <w:tabs>
              <w:tab w:val="right" w:leader="dot" w:pos="9016"/>
            </w:tabs>
            <w:rPr>
              <w:noProof/>
            </w:rPr>
          </w:pPr>
          <w:hyperlink w:anchor="_Toc482859633" w:history="1">
            <w:r w:rsidR="00232521" w:rsidRPr="00C106CA">
              <w:rPr>
                <w:rStyle w:val="Hyperlink"/>
                <w:noProof/>
              </w:rPr>
              <w:t>Aboriginal and Torres Strait Islander communities</w:t>
            </w:r>
            <w:r w:rsidR="00232521">
              <w:rPr>
                <w:noProof/>
                <w:webHidden/>
              </w:rPr>
              <w:tab/>
            </w:r>
            <w:r w:rsidR="00232521">
              <w:rPr>
                <w:noProof/>
                <w:webHidden/>
              </w:rPr>
              <w:fldChar w:fldCharType="begin"/>
            </w:r>
            <w:r w:rsidR="00232521">
              <w:rPr>
                <w:noProof/>
                <w:webHidden/>
              </w:rPr>
              <w:instrText xml:space="preserve"> PAGEREF _Toc482859633 \h </w:instrText>
            </w:r>
            <w:r w:rsidR="00232521">
              <w:rPr>
                <w:noProof/>
                <w:webHidden/>
              </w:rPr>
            </w:r>
            <w:r w:rsidR="00232521">
              <w:rPr>
                <w:noProof/>
                <w:webHidden/>
              </w:rPr>
              <w:fldChar w:fldCharType="separate"/>
            </w:r>
            <w:r w:rsidR="00232521">
              <w:rPr>
                <w:noProof/>
                <w:webHidden/>
              </w:rPr>
              <w:t>5</w:t>
            </w:r>
            <w:r w:rsidR="00232521">
              <w:rPr>
                <w:noProof/>
                <w:webHidden/>
              </w:rPr>
              <w:fldChar w:fldCharType="end"/>
            </w:r>
          </w:hyperlink>
        </w:p>
        <w:p w:rsidR="00232521" w:rsidRDefault="00CE7EB0">
          <w:pPr>
            <w:pStyle w:val="TOC3"/>
            <w:tabs>
              <w:tab w:val="right" w:leader="dot" w:pos="9016"/>
            </w:tabs>
            <w:rPr>
              <w:noProof/>
            </w:rPr>
          </w:pPr>
          <w:hyperlink w:anchor="_Toc482859634" w:history="1">
            <w:r w:rsidR="00232521" w:rsidRPr="00C106CA">
              <w:rPr>
                <w:rStyle w:val="Hyperlink"/>
                <w:noProof/>
              </w:rPr>
              <w:t>Culturally and linguistically diverse communities</w:t>
            </w:r>
            <w:r w:rsidR="00232521">
              <w:rPr>
                <w:noProof/>
                <w:webHidden/>
              </w:rPr>
              <w:tab/>
            </w:r>
            <w:r w:rsidR="00232521">
              <w:rPr>
                <w:noProof/>
                <w:webHidden/>
              </w:rPr>
              <w:fldChar w:fldCharType="begin"/>
            </w:r>
            <w:r w:rsidR="00232521">
              <w:rPr>
                <w:noProof/>
                <w:webHidden/>
              </w:rPr>
              <w:instrText xml:space="preserve"> PAGEREF _Toc482859634 \h </w:instrText>
            </w:r>
            <w:r w:rsidR="00232521">
              <w:rPr>
                <w:noProof/>
                <w:webHidden/>
              </w:rPr>
            </w:r>
            <w:r w:rsidR="00232521">
              <w:rPr>
                <w:noProof/>
                <w:webHidden/>
              </w:rPr>
              <w:fldChar w:fldCharType="separate"/>
            </w:r>
            <w:r w:rsidR="00232521">
              <w:rPr>
                <w:noProof/>
                <w:webHidden/>
              </w:rPr>
              <w:t>5</w:t>
            </w:r>
            <w:r w:rsidR="00232521">
              <w:rPr>
                <w:noProof/>
                <w:webHidden/>
              </w:rPr>
              <w:fldChar w:fldCharType="end"/>
            </w:r>
          </w:hyperlink>
        </w:p>
        <w:p w:rsidR="00232521" w:rsidRDefault="00CE7EB0">
          <w:pPr>
            <w:pStyle w:val="TOC3"/>
            <w:tabs>
              <w:tab w:val="right" w:leader="dot" w:pos="9016"/>
            </w:tabs>
            <w:rPr>
              <w:noProof/>
            </w:rPr>
          </w:pPr>
          <w:hyperlink w:anchor="_Toc482859635" w:history="1">
            <w:r w:rsidR="00232521" w:rsidRPr="00C106CA">
              <w:rPr>
                <w:rStyle w:val="Hyperlink"/>
                <w:noProof/>
              </w:rPr>
              <w:t>Enabling those with disabilities to participate in consultation</w:t>
            </w:r>
            <w:r w:rsidR="00232521">
              <w:rPr>
                <w:noProof/>
                <w:webHidden/>
              </w:rPr>
              <w:tab/>
            </w:r>
            <w:r w:rsidR="00232521">
              <w:rPr>
                <w:noProof/>
                <w:webHidden/>
              </w:rPr>
              <w:fldChar w:fldCharType="begin"/>
            </w:r>
            <w:r w:rsidR="00232521">
              <w:rPr>
                <w:noProof/>
                <w:webHidden/>
              </w:rPr>
              <w:instrText xml:space="preserve"> PAGEREF _Toc482859635 \h </w:instrText>
            </w:r>
            <w:r w:rsidR="00232521">
              <w:rPr>
                <w:noProof/>
                <w:webHidden/>
              </w:rPr>
            </w:r>
            <w:r w:rsidR="00232521">
              <w:rPr>
                <w:noProof/>
                <w:webHidden/>
              </w:rPr>
              <w:fldChar w:fldCharType="separate"/>
            </w:r>
            <w:r w:rsidR="00232521">
              <w:rPr>
                <w:noProof/>
                <w:webHidden/>
              </w:rPr>
              <w:t>5</w:t>
            </w:r>
            <w:r w:rsidR="00232521">
              <w:rPr>
                <w:noProof/>
                <w:webHidden/>
              </w:rPr>
              <w:fldChar w:fldCharType="end"/>
            </w:r>
          </w:hyperlink>
        </w:p>
        <w:p w:rsidR="00232521" w:rsidRDefault="00CE7EB0">
          <w:pPr>
            <w:pStyle w:val="TOC1"/>
            <w:tabs>
              <w:tab w:val="right" w:leader="dot" w:pos="9016"/>
            </w:tabs>
            <w:rPr>
              <w:rFonts w:eastAsiaTheme="minorEastAsia"/>
              <w:noProof/>
              <w:lang w:eastAsia="en-AU"/>
            </w:rPr>
          </w:pPr>
          <w:hyperlink w:anchor="_Toc482859636" w:history="1">
            <w:r w:rsidR="00232521" w:rsidRPr="00C106CA">
              <w:rPr>
                <w:rStyle w:val="Hyperlink"/>
                <w:noProof/>
              </w:rPr>
              <w:t>Levels of engagement</w:t>
            </w:r>
            <w:r w:rsidR="00232521">
              <w:rPr>
                <w:noProof/>
                <w:webHidden/>
              </w:rPr>
              <w:tab/>
            </w:r>
            <w:r w:rsidR="00232521">
              <w:rPr>
                <w:noProof/>
                <w:webHidden/>
              </w:rPr>
              <w:fldChar w:fldCharType="begin"/>
            </w:r>
            <w:r w:rsidR="00232521">
              <w:rPr>
                <w:noProof/>
                <w:webHidden/>
              </w:rPr>
              <w:instrText xml:space="preserve"> PAGEREF _Toc482859636 \h </w:instrText>
            </w:r>
            <w:r w:rsidR="00232521">
              <w:rPr>
                <w:noProof/>
                <w:webHidden/>
              </w:rPr>
            </w:r>
            <w:r w:rsidR="00232521">
              <w:rPr>
                <w:noProof/>
                <w:webHidden/>
              </w:rPr>
              <w:fldChar w:fldCharType="separate"/>
            </w:r>
            <w:r w:rsidR="00232521">
              <w:rPr>
                <w:noProof/>
                <w:webHidden/>
              </w:rPr>
              <w:t>6</w:t>
            </w:r>
            <w:r w:rsidR="00232521">
              <w:rPr>
                <w:noProof/>
                <w:webHidden/>
              </w:rPr>
              <w:fldChar w:fldCharType="end"/>
            </w:r>
          </w:hyperlink>
        </w:p>
        <w:p w:rsidR="00232521" w:rsidRDefault="00CE7EB0">
          <w:pPr>
            <w:pStyle w:val="TOC1"/>
            <w:tabs>
              <w:tab w:val="right" w:leader="dot" w:pos="9016"/>
            </w:tabs>
            <w:rPr>
              <w:rFonts w:eastAsiaTheme="minorEastAsia"/>
              <w:noProof/>
              <w:lang w:eastAsia="en-AU"/>
            </w:rPr>
          </w:pPr>
          <w:hyperlink w:anchor="_Toc482859637" w:history="1">
            <w:r w:rsidR="00232521" w:rsidRPr="00C106CA">
              <w:rPr>
                <w:rStyle w:val="Hyperlink"/>
                <w:noProof/>
              </w:rPr>
              <w:t>What can inhibit effective engagement?</w:t>
            </w:r>
            <w:r w:rsidR="00232521">
              <w:rPr>
                <w:noProof/>
                <w:webHidden/>
              </w:rPr>
              <w:tab/>
            </w:r>
            <w:r w:rsidR="00232521">
              <w:rPr>
                <w:noProof/>
                <w:webHidden/>
              </w:rPr>
              <w:fldChar w:fldCharType="begin"/>
            </w:r>
            <w:r w:rsidR="00232521">
              <w:rPr>
                <w:noProof/>
                <w:webHidden/>
              </w:rPr>
              <w:instrText xml:space="preserve"> PAGEREF _Toc482859637 \h </w:instrText>
            </w:r>
            <w:r w:rsidR="00232521">
              <w:rPr>
                <w:noProof/>
                <w:webHidden/>
              </w:rPr>
            </w:r>
            <w:r w:rsidR="00232521">
              <w:rPr>
                <w:noProof/>
                <w:webHidden/>
              </w:rPr>
              <w:fldChar w:fldCharType="separate"/>
            </w:r>
            <w:r w:rsidR="00232521">
              <w:rPr>
                <w:noProof/>
                <w:webHidden/>
              </w:rPr>
              <w:t>8</w:t>
            </w:r>
            <w:r w:rsidR="00232521">
              <w:rPr>
                <w:noProof/>
                <w:webHidden/>
              </w:rPr>
              <w:fldChar w:fldCharType="end"/>
            </w:r>
          </w:hyperlink>
        </w:p>
        <w:p w:rsidR="00232521" w:rsidRDefault="00CE7EB0">
          <w:pPr>
            <w:pStyle w:val="TOC1"/>
            <w:tabs>
              <w:tab w:val="right" w:leader="dot" w:pos="9016"/>
            </w:tabs>
            <w:rPr>
              <w:rFonts w:eastAsiaTheme="minorEastAsia"/>
              <w:noProof/>
              <w:lang w:eastAsia="en-AU"/>
            </w:rPr>
          </w:pPr>
          <w:hyperlink w:anchor="_Toc482859638" w:history="1">
            <w:r w:rsidR="00232521" w:rsidRPr="00C106CA">
              <w:rPr>
                <w:rStyle w:val="Hyperlink"/>
                <w:noProof/>
              </w:rPr>
              <w:t>Strategies for Success</w:t>
            </w:r>
            <w:r w:rsidR="00232521">
              <w:rPr>
                <w:noProof/>
                <w:webHidden/>
              </w:rPr>
              <w:tab/>
            </w:r>
            <w:r w:rsidR="00232521">
              <w:rPr>
                <w:noProof/>
                <w:webHidden/>
              </w:rPr>
              <w:fldChar w:fldCharType="begin"/>
            </w:r>
            <w:r w:rsidR="00232521">
              <w:rPr>
                <w:noProof/>
                <w:webHidden/>
              </w:rPr>
              <w:instrText xml:space="preserve"> PAGEREF _Toc482859638 \h </w:instrText>
            </w:r>
            <w:r w:rsidR="00232521">
              <w:rPr>
                <w:noProof/>
                <w:webHidden/>
              </w:rPr>
            </w:r>
            <w:r w:rsidR="00232521">
              <w:rPr>
                <w:noProof/>
                <w:webHidden/>
              </w:rPr>
              <w:fldChar w:fldCharType="separate"/>
            </w:r>
            <w:r w:rsidR="00232521">
              <w:rPr>
                <w:noProof/>
                <w:webHidden/>
              </w:rPr>
              <w:t>9</w:t>
            </w:r>
            <w:r w:rsidR="00232521">
              <w:rPr>
                <w:noProof/>
                <w:webHidden/>
              </w:rPr>
              <w:fldChar w:fldCharType="end"/>
            </w:r>
          </w:hyperlink>
        </w:p>
        <w:p w:rsidR="00232521" w:rsidRDefault="00CE7EB0">
          <w:pPr>
            <w:pStyle w:val="TOC1"/>
            <w:tabs>
              <w:tab w:val="right" w:leader="dot" w:pos="9016"/>
            </w:tabs>
            <w:rPr>
              <w:rFonts w:eastAsiaTheme="minorEastAsia"/>
              <w:noProof/>
              <w:lang w:eastAsia="en-AU"/>
            </w:rPr>
          </w:pPr>
          <w:hyperlink w:anchor="_Toc482859639" w:history="1">
            <w:r w:rsidR="00232521" w:rsidRPr="00C106CA">
              <w:rPr>
                <w:rStyle w:val="Hyperlink"/>
                <w:noProof/>
              </w:rPr>
              <w:t>References</w:t>
            </w:r>
            <w:r w:rsidR="00232521">
              <w:rPr>
                <w:noProof/>
                <w:webHidden/>
              </w:rPr>
              <w:tab/>
            </w:r>
            <w:r w:rsidR="00232521">
              <w:rPr>
                <w:noProof/>
                <w:webHidden/>
              </w:rPr>
              <w:fldChar w:fldCharType="begin"/>
            </w:r>
            <w:r w:rsidR="00232521">
              <w:rPr>
                <w:noProof/>
                <w:webHidden/>
              </w:rPr>
              <w:instrText xml:space="preserve"> PAGEREF _Toc482859639 \h </w:instrText>
            </w:r>
            <w:r w:rsidR="00232521">
              <w:rPr>
                <w:noProof/>
                <w:webHidden/>
              </w:rPr>
            </w:r>
            <w:r w:rsidR="00232521">
              <w:rPr>
                <w:noProof/>
                <w:webHidden/>
              </w:rPr>
              <w:fldChar w:fldCharType="separate"/>
            </w:r>
            <w:r w:rsidR="00232521">
              <w:rPr>
                <w:noProof/>
                <w:webHidden/>
              </w:rPr>
              <w:t>9</w:t>
            </w:r>
            <w:r w:rsidR="00232521">
              <w:rPr>
                <w:noProof/>
                <w:webHidden/>
              </w:rPr>
              <w:fldChar w:fldCharType="end"/>
            </w:r>
          </w:hyperlink>
        </w:p>
        <w:p w:rsidR="00B134CA" w:rsidRDefault="00B134CA">
          <w:r>
            <w:rPr>
              <w:b/>
              <w:bCs/>
              <w:noProof/>
            </w:rPr>
            <w:fldChar w:fldCharType="end"/>
          </w:r>
        </w:p>
      </w:sdtContent>
    </w:sdt>
    <w:p w:rsidR="00DF1FA0" w:rsidRDefault="00DF1FA0">
      <w:pPr>
        <w:spacing w:before="0"/>
        <w:sectPr w:rsidR="00DF1FA0" w:rsidSect="008E1361">
          <w:headerReference w:type="first" r:id="rId18"/>
          <w:pgSz w:w="11906" w:h="16838" w:code="9"/>
          <w:pgMar w:top="1440" w:right="1440" w:bottom="1304" w:left="1440" w:header="709" w:footer="709" w:gutter="0"/>
          <w:pgNumType w:fmt="lowerRoman" w:start="1"/>
          <w:cols w:space="708"/>
          <w:titlePg/>
          <w:docGrid w:linePitch="360"/>
        </w:sectPr>
      </w:pPr>
    </w:p>
    <w:p w:rsidR="00005DB4" w:rsidRPr="0038074C" w:rsidRDefault="00DF1DF3" w:rsidP="00D6239B">
      <w:pPr>
        <w:pStyle w:val="Heading1"/>
      </w:pPr>
      <w:bookmarkStart w:id="2" w:name="_Toc482859622"/>
      <w:r w:rsidRPr="0038074C">
        <w:lastRenderedPageBreak/>
        <w:t>Stakeholder Engagement and Health</w:t>
      </w:r>
      <w:bookmarkEnd w:id="2"/>
    </w:p>
    <w:p w:rsidR="00D6239B" w:rsidRDefault="0089245C" w:rsidP="000A1308">
      <w:pPr>
        <w:spacing w:after="120"/>
        <w:rPr>
          <w:rFonts w:ascii="Calibri" w:hAnsi="Calibri"/>
        </w:rPr>
      </w:pPr>
      <w:r>
        <w:rPr>
          <w:rFonts w:ascii="Calibri" w:hAnsi="Calibri"/>
        </w:rPr>
        <w:t>Ev</w:t>
      </w:r>
      <w:r w:rsidR="00C72934">
        <w:rPr>
          <w:rFonts w:ascii="Calibri" w:hAnsi="Calibri"/>
        </w:rPr>
        <w:t xml:space="preserve">ery day, across all of </w:t>
      </w:r>
      <w:r w:rsidR="000D7343">
        <w:rPr>
          <w:rFonts w:ascii="Calibri" w:hAnsi="Calibri"/>
        </w:rPr>
        <w:t xml:space="preserve">the </w:t>
      </w:r>
      <w:r w:rsidR="009D17AD">
        <w:rPr>
          <w:rFonts w:ascii="Calibri" w:hAnsi="Calibri"/>
        </w:rPr>
        <w:t>d</w:t>
      </w:r>
      <w:r w:rsidR="000D7343">
        <w:rPr>
          <w:rFonts w:ascii="Calibri" w:hAnsi="Calibri"/>
        </w:rPr>
        <w:t>epartment’s</w:t>
      </w:r>
      <w:r w:rsidR="00C72934">
        <w:rPr>
          <w:rFonts w:ascii="Calibri" w:hAnsi="Calibri"/>
        </w:rPr>
        <w:t xml:space="preserve"> activities at every level, we engage with people who have a vested interest in what we do and who are, in some way, connected to our purpose.</w:t>
      </w:r>
      <w:r w:rsidR="00990DDC">
        <w:rPr>
          <w:rFonts w:ascii="Calibri" w:hAnsi="Calibri"/>
        </w:rPr>
        <w:t xml:space="preserve">  </w:t>
      </w:r>
      <w:r w:rsidR="000D7343">
        <w:rPr>
          <w:rFonts w:ascii="Calibri" w:hAnsi="Calibri"/>
        </w:rPr>
        <w:t xml:space="preserve">The quality of </w:t>
      </w:r>
      <w:r w:rsidR="005715E1">
        <w:rPr>
          <w:rFonts w:ascii="Calibri" w:hAnsi="Calibri"/>
        </w:rPr>
        <w:t>these</w:t>
      </w:r>
      <w:r w:rsidR="000D7343">
        <w:rPr>
          <w:rFonts w:ascii="Calibri" w:hAnsi="Calibri"/>
        </w:rPr>
        <w:t xml:space="preserve"> relationships with </w:t>
      </w:r>
      <w:r w:rsidR="005715E1">
        <w:rPr>
          <w:rFonts w:ascii="Calibri" w:hAnsi="Calibri"/>
        </w:rPr>
        <w:t>our</w:t>
      </w:r>
      <w:r w:rsidR="000D7343">
        <w:rPr>
          <w:rFonts w:ascii="Calibri" w:hAnsi="Calibri"/>
        </w:rPr>
        <w:t xml:space="preserve"> stakeholders will determine how well we deliver on ou</w:t>
      </w:r>
      <w:r w:rsidR="00C72934">
        <w:rPr>
          <w:rFonts w:ascii="Calibri" w:hAnsi="Calibri"/>
        </w:rPr>
        <w:t xml:space="preserve">r vision for </w:t>
      </w:r>
      <w:r w:rsidR="00C72934" w:rsidRPr="00437223">
        <w:rPr>
          <w:rFonts w:ascii="Calibri" w:hAnsi="Calibri"/>
        </w:rPr>
        <w:t>better health and wellbeing for all Australians, now and for future generations</w:t>
      </w:r>
      <w:r w:rsidR="00D6239B">
        <w:rPr>
          <w:rFonts w:ascii="Calibri" w:hAnsi="Calibri"/>
        </w:rPr>
        <w:t>.</w:t>
      </w:r>
    </w:p>
    <w:p w:rsidR="00F2649C" w:rsidRPr="00635C95" w:rsidRDefault="005715E1" w:rsidP="000A1308">
      <w:pPr>
        <w:spacing w:after="120"/>
        <w:rPr>
          <w:rFonts w:ascii="Calibri" w:hAnsi="Calibri"/>
          <w:color w:val="000000" w:themeColor="text1"/>
        </w:rPr>
      </w:pPr>
      <w:r w:rsidRPr="00635C95">
        <w:rPr>
          <w:rFonts w:ascii="Calibri" w:hAnsi="Calibri"/>
          <w:color w:val="000000" w:themeColor="text1"/>
        </w:rPr>
        <w:t xml:space="preserve">The Department of Health is committed to </w:t>
      </w:r>
      <w:r w:rsidR="00CF4292" w:rsidRPr="00635C95">
        <w:rPr>
          <w:rFonts w:ascii="Calibri" w:hAnsi="Calibri"/>
          <w:color w:val="000000" w:themeColor="text1"/>
        </w:rPr>
        <w:t>two-way open communication that involves listening to our stakeholders, keeping them informed and being clear about how their contributions are being used. Having clear expectations keeps the ongoing work understandable, rewarding and focused</w:t>
      </w:r>
      <w:r w:rsidR="00E04241" w:rsidRPr="00635C95">
        <w:rPr>
          <w:rFonts w:ascii="Calibri" w:hAnsi="Calibri"/>
          <w:color w:val="000000" w:themeColor="text1"/>
        </w:rPr>
        <w:t>. This approach is about recognising and understanding the values, beliefs, perceptions and ideas of our stakeholders - not simply just agreeing. Developing relationships that reflect this shared understanding enables differences to be acknowledged and expressed. It provides the basis upon which real dialogue and interaction can occur.</w:t>
      </w:r>
    </w:p>
    <w:p w:rsidR="00E10C23" w:rsidRPr="0038074C" w:rsidRDefault="00175577" w:rsidP="00D6239B">
      <w:pPr>
        <w:pStyle w:val="Heading1"/>
      </w:pPr>
      <w:bookmarkStart w:id="3" w:name="_Toc482859623"/>
      <w:r w:rsidRPr="0038074C">
        <w:lastRenderedPageBreak/>
        <w:t>Purpose of the Framework</w:t>
      </w:r>
      <w:bookmarkEnd w:id="3"/>
    </w:p>
    <w:p w:rsidR="00BE0B0C" w:rsidRPr="00635C95" w:rsidRDefault="00BE0B0C" w:rsidP="000A1308">
      <w:pPr>
        <w:spacing w:after="120"/>
        <w:rPr>
          <w:rFonts w:ascii="Calibri" w:hAnsi="Calibri"/>
          <w:color w:val="000000" w:themeColor="text1"/>
        </w:rPr>
      </w:pPr>
      <w:r w:rsidRPr="00635C95">
        <w:rPr>
          <w:rFonts w:ascii="Calibri" w:hAnsi="Calibri"/>
          <w:color w:val="000000" w:themeColor="text1"/>
        </w:rPr>
        <w:t>The Stakeholder Engagement Framework outlines the models for engagement, our key actions, our capability improvement agenda, our approach to risk oversight and management, and our performance framework, drawing each back to our strategic priorities:</w:t>
      </w:r>
    </w:p>
    <w:p w:rsidR="00BE0B0C" w:rsidRPr="00635C95" w:rsidRDefault="000A1308" w:rsidP="00980A0F">
      <w:pPr>
        <w:pStyle w:val="ListParagraph"/>
        <w:numPr>
          <w:ilvl w:val="0"/>
          <w:numId w:val="26"/>
        </w:numPr>
      </w:pPr>
      <w:r w:rsidRPr="00635C95">
        <w:t>b</w:t>
      </w:r>
      <w:r w:rsidR="00BE0B0C" w:rsidRPr="00635C95">
        <w:t>etter health outcomes and reduced inequality  through greater stakeholder engagement</w:t>
      </w:r>
    </w:p>
    <w:p w:rsidR="00BE0B0C" w:rsidRPr="00635C95" w:rsidRDefault="000A1308" w:rsidP="00980A0F">
      <w:pPr>
        <w:pStyle w:val="ListParagraph"/>
        <w:numPr>
          <w:ilvl w:val="0"/>
          <w:numId w:val="26"/>
        </w:numPr>
      </w:pPr>
      <w:r w:rsidRPr="00635C95">
        <w:t>a</w:t>
      </w:r>
      <w:r w:rsidR="00BE0B0C" w:rsidRPr="00635C95">
        <w:t>ffordable, accessible, efficient, and high quality health system through collabora</w:t>
      </w:r>
      <w:r w:rsidRPr="00635C95">
        <w:t>ting and partnering with others, and</w:t>
      </w:r>
    </w:p>
    <w:p w:rsidR="000A1308" w:rsidRPr="00635C95" w:rsidRDefault="000A1308" w:rsidP="00980A0F">
      <w:pPr>
        <w:pStyle w:val="ListParagraph"/>
        <w:numPr>
          <w:ilvl w:val="0"/>
          <w:numId w:val="26"/>
        </w:numPr>
      </w:pPr>
      <w:proofErr w:type="gramStart"/>
      <w:r w:rsidRPr="00635C95">
        <w:t>better</w:t>
      </w:r>
      <w:proofErr w:type="gramEnd"/>
      <w:r w:rsidRPr="00635C95">
        <w:t xml:space="preserve"> sport outcomes.</w:t>
      </w:r>
    </w:p>
    <w:p w:rsidR="005715E1" w:rsidRDefault="005715E1" w:rsidP="000A1308">
      <w:pPr>
        <w:spacing w:after="120"/>
        <w:rPr>
          <w:rFonts w:ascii="Calibri" w:hAnsi="Calibri"/>
        </w:rPr>
      </w:pPr>
      <w:r>
        <w:rPr>
          <w:rFonts w:ascii="Calibri" w:hAnsi="Calibri"/>
        </w:rPr>
        <w:t xml:space="preserve">The framework </w:t>
      </w:r>
      <w:r w:rsidR="009E28DC">
        <w:rPr>
          <w:rFonts w:ascii="Calibri" w:hAnsi="Calibri"/>
        </w:rPr>
        <w:t>sets out</w:t>
      </w:r>
      <w:r w:rsidR="00844CCB">
        <w:rPr>
          <w:rFonts w:ascii="Calibri" w:hAnsi="Calibri"/>
        </w:rPr>
        <w:t xml:space="preserve"> a strategic approach to stakeholder engagement that includes</w:t>
      </w:r>
      <w:r>
        <w:rPr>
          <w:rFonts w:ascii="Calibri" w:hAnsi="Calibri"/>
        </w:rPr>
        <w:t>:</w:t>
      </w:r>
    </w:p>
    <w:p w:rsidR="00844CCB" w:rsidRDefault="00844CCB" w:rsidP="00980A0F">
      <w:pPr>
        <w:pStyle w:val="ListParagraph"/>
        <w:numPr>
          <w:ilvl w:val="0"/>
          <w:numId w:val="26"/>
        </w:numPr>
      </w:pPr>
      <w:r w:rsidRPr="00847186">
        <w:t xml:space="preserve">principles </w:t>
      </w:r>
      <w:r>
        <w:t>to</w:t>
      </w:r>
      <w:r w:rsidRPr="00847186">
        <w:t xml:space="preserve"> </w:t>
      </w:r>
      <w:r w:rsidR="00371971">
        <w:t>guide</w:t>
      </w:r>
      <w:r w:rsidRPr="00847186">
        <w:t xml:space="preserve"> our </w:t>
      </w:r>
      <w:r w:rsidR="000A1308">
        <w:t>engagement approach</w:t>
      </w:r>
    </w:p>
    <w:p w:rsidR="00844CCB" w:rsidRDefault="00371971" w:rsidP="00980A0F">
      <w:pPr>
        <w:pStyle w:val="ListParagraph"/>
        <w:numPr>
          <w:ilvl w:val="0"/>
          <w:numId w:val="26"/>
        </w:numPr>
      </w:pPr>
      <w:r>
        <w:t xml:space="preserve">a five step model for conducting </w:t>
      </w:r>
      <w:r w:rsidR="000A1308">
        <w:t>engagement activities</w:t>
      </w:r>
    </w:p>
    <w:p w:rsidR="00844CCB" w:rsidRDefault="00844CCB" w:rsidP="00980A0F">
      <w:pPr>
        <w:pStyle w:val="ListParagraph"/>
        <w:numPr>
          <w:ilvl w:val="0"/>
          <w:numId w:val="26"/>
        </w:numPr>
      </w:pPr>
      <w:r w:rsidRPr="00847186">
        <w:t xml:space="preserve">a matrix to support tailoring the </w:t>
      </w:r>
      <w:r w:rsidRPr="00790E4E">
        <w:t xml:space="preserve">level of engagement </w:t>
      </w:r>
      <w:r>
        <w:t>to the task</w:t>
      </w:r>
      <w:r w:rsidRPr="00847186">
        <w:t xml:space="preserve">, </w:t>
      </w:r>
      <w:r w:rsidRPr="00790E4E">
        <w:t xml:space="preserve">recognising that tools and strategies must be </w:t>
      </w:r>
      <w:r w:rsidR="00371971">
        <w:t>fit-for-purpose</w:t>
      </w:r>
      <w:r w:rsidRPr="00790E4E">
        <w:t xml:space="preserve">, </w:t>
      </w:r>
      <w:r w:rsidR="00371971">
        <w:t xml:space="preserve">and appropriate to the issues </w:t>
      </w:r>
      <w:r w:rsidRPr="00790E4E">
        <w:t>on</w:t>
      </w:r>
      <w:r>
        <w:t xml:space="preserve"> </w:t>
      </w:r>
      <w:r w:rsidR="000A1308">
        <w:t>which we are seeking to engage</w:t>
      </w:r>
    </w:p>
    <w:p w:rsidR="00DE61D3" w:rsidRDefault="00DE61D3" w:rsidP="00980A0F">
      <w:pPr>
        <w:pStyle w:val="ListParagraph"/>
        <w:numPr>
          <w:ilvl w:val="0"/>
          <w:numId w:val="26"/>
        </w:numPr>
      </w:pPr>
      <w:r>
        <w:t>challenges to consider, and</w:t>
      </w:r>
    </w:p>
    <w:p w:rsidR="00371971" w:rsidRPr="00371971" w:rsidRDefault="00371971" w:rsidP="00980A0F">
      <w:pPr>
        <w:pStyle w:val="ListParagraph"/>
        <w:numPr>
          <w:ilvl w:val="0"/>
          <w:numId w:val="26"/>
        </w:numPr>
      </w:pPr>
      <w:proofErr w:type="gramStart"/>
      <w:r w:rsidRPr="00371971">
        <w:t>strategies</w:t>
      </w:r>
      <w:proofErr w:type="gramEnd"/>
      <w:r w:rsidRPr="00371971">
        <w:t xml:space="preserve"> for success</w:t>
      </w:r>
      <w:r w:rsidR="000A1308">
        <w:t>.</w:t>
      </w:r>
    </w:p>
    <w:p w:rsidR="00D6239B" w:rsidRDefault="00844CCB" w:rsidP="000A1308">
      <w:pPr>
        <w:rPr>
          <w:rFonts w:ascii="Calibri" w:hAnsi="Calibri"/>
        </w:rPr>
      </w:pPr>
      <w:r>
        <w:rPr>
          <w:rFonts w:ascii="Calibri" w:hAnsi="Calibri"/>
        </w:rPr>
        <w:t>The stakeholder engagement framework is supported by detailed guid</w:t>
      </w:r>
      <w:r w:rsidR="00E04241">
        <w:rPr>
          <w:rFonts w:ascii="Calibri" w:hAnsi="Calibri"/>
        </w:rPr>
        <w:t>ance</w:t>
      </w:r>
      <w:r>
        <w:rPr>
          <w:rFonts w:ascii="Calibri" w:hAnsi="Calibri"/>
        </w:rPr>
        <w:t>, tools and templates</w:t>
      </w:r>
      <w:r w:rsidR="00E04241">
        <w:rPr>
          <w:rFonts w:ascii="Calibri" w:hAnsi="Calibri"/>
        </w:rPr>
        <w:t>, together with learning and development and a stakeholder management system</w:t>
      </w:r>
      <w:r>
        <w:rPr>
          <w:rFonts w:ascii="Calibri" w:hAnsi="Calibri"/>
        </w:rPr>
        <w:t xml:space="preserve"> to support staff </w:t>
      </w:r>
      <w:r w:rsidR="008E4524">
        <w:rPr>
          <w:rFonts w:ascii="Calibri" w:hAnsi="Calibri"/>
        </w:rPr>
        <w:t>throughout</w:t>
      </w:r>
      <w:r>
        <w:rPr>
          <w:rFonts w:ascii="Calibri" w:hAnsi="Calibri"/>
        </w:rPr>
        <w:t xml:space="preserve"> the department in planning, designing, undertaking and evaluating stakeholder engagement activities</w:t>
      </w:r>
      <w:r w:rsidR="00D6239B">
        <w:rPr>
          <w:rFonts w:ascii="Calibri" w:hAnsi="Calibri"/>
        </w:rPr>
        <w:t>.</w:t>
      </w:r>
    </w:p>
    <w:p w:rsidR="00F524B5" w:rsidRPr="0038074C" w:rsidRDefault="001D7D8B" w:rsidP="00D6239B">
      <w:pPr>
        <w:pStyle w:val="Heading1"/>
      </w:pPr>
      <w:bookmarkStart w:id="4" w:name="_Toc482859624"/>
      <w:r w:rsidRPr="0038074C">
        <w:lastRenderedPageBreak/>
        <w:t>P</w:t>
      </w:r>
      <w:r w:rsidR="00596E5F" w:rsidRPr="0038074C">
        <w:t xml:space="preserve">rinciples </w:t>
      </w:r>
      <w:r w:rsidRPr="0038074C">
        <w:t>for engagement</w:t>
      </w:r>
      <w:bookmarkEnd w:id="4"/>
    </w:p>
    <w:p w:rsidR="0072077C" w:rsidRDefault="00412221" w:rsidP="000A15F6">
      <w:pPr>
        <w:spacing w:after="120"/>
        <w:rPr>
          <w:rFonts w:ascii="Calibri" w:hAnsi="Calibri"/>
        </w:rPr>
      </w:pPr>
      <w:r>
        <w:rPr>
          <w:rFonts w:ascii="Calibri" w:hAnsi="Calibri"/>
        </w:rPr>
        <w:t>The department has adopted f</w:t>
      </w:r>
      <w:r w:rsidR="0072077C">
        <w:rPr>
          <w:rFonts w:ascii="Calibri" w:hAnsi="Calibri"/>
        </w:rPr>
        <w:t>ive key principles to guide stakeholder engagement activities. The principles set the standards to which we aspire in</w:t>
      </w:r>
      <w:r w:rsidR="001D7D8B" w:rsidRPr="001D7D8B">
        <w:rPr>
          <w:rFonts w:ascii="Calibri" w:hAnsi="Calibri"/>
        </w:rPr>
        <w:t xml:space="preserve"> build</w:t>
      </w:r>
      <w:r w:rsidR="0072077C">
        <w:rPr>
          <w:rFonts w:ascii="Calibri" w:hAnsi="Calibri"/>
        </w:rPr>
        <w:t>ing</w:t>
      </w:r>
      <w:r w:rsidR="001D7D8B" w:rsidRPr="001D7D8B">
        <w:rPr>
          <w:rFonts w:ascii="Calibri" w:hAnsi="Calibri"/>
        </w:rPr>
        <w:t xml:space="preserve"> consistent, open and r</w:t>
      </w:r>
      <w:r w:rsidR="0072077C">
        <w:rPr>
          <w:rFonts w:ascii="Calibri" w:hAnsi="Calibri"/>
        </w:rPr>
        <w:t>espectful working relationships and were agreed to following extensive consultation within the department.</w:t>
      </w:r>
    </w:p>
    <w:p w:rsidR="0072077C" w:rsidRDefault="0072077C" w:rsidP="000A15F6">
      <w:pPr>
        <w:spacing w:after="120"/>
        <w:rPr>
          <w:rFonts w:ascii="Calibri" w:hAnsi="Calibri"/>
        </w:rPr>
      </w:pPr>
      <w:r>
        <w:rPr>
          <w:rFonts w:ascii="Calibri" w:hAnsi="Calibri"/>
        </w:rPr>
        <w:t xml:space="preserve">The principles have been tested against and are consistent with </w:t>
      </w:r>
      <w:r w:rsidRPr="001D7D8B">
        <w:rPr>
          <w:rFonts w:ascii="Calibri" w:hAnsi="Calibri"/>
        </w:rPr>
        <w:t xml:space="preserve">current </w:t>
      </w:r>
      <w:r>
        <w:rPr>
          <w:rFonts w:ascii="Calibri" w:hAnsi="Calibri"/>
        </w:rPr>
        <w:t xml:space="preserve">stakeholder engagement </w:t>
      </w:r>
      <w:r w:rsidRPr="001D7D8B">
        <w:rPr>
          <w:rFonts w:ascii="Calibri" w:hAnsi="Calibri"/>
        </w:rPr>
        <w:t>standards and practices across the public and private sectors, locally and internationally</w:t>
      </w:r>
      <w:r>
        <w:rPr>
          <w:rFonts w:ascii="Calibri" w:hAnsi="Calibri"/>
        </w:rPr>
        <w:t>.</w:t>
      </w:r>
    </w:p>
    <w:p w:rsidR="00550362" w:rsidRPr="00E6611D" w:rsidRDefault="00980A0F" w:rsidP="00E6611D">
      <w:pPr>
        <w:pStyle w:val="Heading2"/>
      </w:pPr>
      <w:bookmarkStart w:id="5" w:name="_Toc482859625"/>
      <w:r w:rsidRPr="00E6611D">
        <w:t xml:space="preserve">Purposeful - </w:t>
      </w:r>
      <w:r w:rsidR="00550362" w:rsidRPr="00E6611D">
        <w:t>We begin every engagement with a clear understanding of what we want to achieve</w:t>
      </w:r>
      <w:bookmarkEnd w:id="5"/>
    </w:p>
    <w:p w:rsidR="00D6239B" w:rsidRDefault="00550362" w:rsidP="00980A0F">
      <w:pPr>
        <w:pStyle w:val="ListParagraph"/>
      </w:pPr>
      <w:r w:rsidRPr="0035354A">
        <w:t xml:space="preserve">While our </w:t>
      </w:r>
      <w:r w:rsidRPr="00980A0F">
        <w:t>engagement</w:t>
      </w:r>
      <w:r w:rsidRPr="0035354A">
        <w:t xml:space="preserve"> will be driven by our strategic priorities, we must be aware of our stakeholders’ objectives, environment, expertise and level of influence</w:t>
      </w:r>
      <w:r w:rsidR="00D6239B">
        <w:t>.</w:t>
      </w:r>
    </w:p>
    <w:p w:rsidR="00550362" w:rsidRPr="0035354A" w:rsidRDefault="00550362" w:rsidP="00980A0F">
      <w:pPr>
        <w:pStyle w:val="ListParagraph"/>
      </w:pPr>
      <w:r w:rsidRPr="0035354A">
        <w:t>When we know why we need to engage and we agree on what success looks like, it is easier to conduct focused and meaningful engagement.</w:t>
      </w:r>
    </w:p>
    <w:p w:rsidR="005A63BC" w:rsidRPr="0035354A" w:rsidRDefault="00550362" w:rsidP="00980A0F">
      <w:pPr>
        <w:pStyle w:val="ListParagraph"/>
      </w:pPr>
      <w:r w:rsidRPr="0035354A">
        <w:t>By planning our communication and managing expectations, we aim to build lasting goodwill with stakeholders participating in the process and develop an understanding about their capacity to engage.</w:t>
      </w:r>
    </w:p>
    <w:p w:rsidR="005A63BC" w:rsidRPr="0035354A" w:rsidRDefault="005A63BC" w:rsidP="00E6611D">
      <w:pPr>
        <w:pStyle w:val="Heading2"/>
      </w:pPr>
      <w:bookmarkStart w:id="6" w:name="_Toc482859626"/>
      <w:r w:rsidRPr="0035354A">
        <w:t>Inclusive</w:t>
      </w:r>
      <w:r w:rsidR="00980A0F">
        <w:t xml:space="preserve"> - </w:t>
      </w:r>
      <w:r w:rsidR="0035354A" w:rsidRPr="0035354A">
        <w:t>We identify relevant stakeholders and make it easy for them to engage</w:t>
      </w:r>
      <w:bookmarkEnd w:id="6"/>
    </w:p>
    <w:p w:rsidR="0035354A" w:rsidRDefault="0035354A" w:rsidP="00980A0F">
      <w:pPr>
        <w:pStyle w:val="ListParagraph"/>
      </w:pPr>
      <w:r w:rsidRPr="003C43F2">
        <w:t xml:space="preserve">We identify and enable the participation of those people and organisations </w:t>
      </w:r>
      <w:proofErr w:type="gramStart"/>
      <w:r w:rsidRPr="003C43F2">
        <w:t>who</w:t>
      </w:r>
      <w:proofErr w:type="gramEnd"/>
      <w:r w:rsidRPr="003C43F2">
        <w:t xml:space="preserve"> contribute to, influence, or are affected by our work. This includes those that may be harder to reach for reasons such as language, culture, age or mobility.</w:t>
      </w:r>
    </w:p>
    <w:p w:rsidR="0035354A" w:rsidRPr="0035354A" w:rsidRDefault="0035354A" w:rsidP="00980A0F">
      <w:pPr>
        <w:pStyle w:val="ListParagraph"/>
      </w:pPr>
      <w:r w:rsidRPr="0035354A">
        <w:t>We provide our stakeholders with the information they need to participate in a meaningful way</w:t>
      </w:r>
    </w:p>
    <w:p w:rsidR="0035354A" w:rsidRPr="0035354A" w:rsidRDefault="0035354A" w:rsidP="00E6611D">
      <w:pPr>
        <w:pStyle w:val="Heading2"/>
      </w:pPr>
      <w:bookmarkStart w:id="7" w:name="_Toc482859627"/>
      <w:r>
        <w:t>Timely</w:t>
      </w:r>
      <w:r w:rsidR="00980A0F">
        <w:t xml:space="preserve"> - </w:t>
      </w:r>
      <w:r w:rsidRPr="0035354A">
        <w:t>We involve stakeholders from the start and agree on when and how to engage</w:t>
      </w:r>
      <w:bookmarkEnd w:id="7"/>
    </w:p>
    <w:p w:rsidR="0035354A" w:rsidRDefault="0035354A" w:rsidP="00980A0F">
      <w:pPr>
        <w:pStyle w:val="ListParagraph"/>
      </w:pPr>
      <w:r w:rsidRPr="003C43F2">
        <w:t>We will clearly identify and explain the engagement process, and negotiate with stakeholders, where possible, as to timelines.</w:t>
      </w:r>
    </w:p>
    <w:p w:rsidR="0035354A" w:rsidRPr="0035354A" w:rsidRDefault="0035354A" w:rsidP="00980A0F">
      <w:pPr>
        <w:pStyle w:val="ListParagraph"/>
      </w:pPr>
      <w:r w:rsidRPr="0035354A">
        <w:t>This includes meeting schedules, and response times for information requests or feedback.</w:t>
      </w:r>
    </w:p>
    <w:p w:rsidR="0035354A" w:rsidRPr="00E6611D" w:rsidRDefault="0035354A" w:rsidP="00E6611D">
      <w:pPr>
        <w:pStyle w:val="Heading2"/>
      </w:pPr>
      <w:bookmarkStart w:id="8" w:name="_Toc482859628"/>
      <w:r w:rsidRPr="00E6611D">
        <w:t>Transparent</w:t>
      </w:r>
      <w:r w:rsidR="00980A0F" w:rsidRPr="00E6611D">
        <w:t xml:space="preserve"> - </w:t>
      </w:r>
      <w:r w:rsidRPr="00E6611D">
        <w:t>We are open and honest in our engagement and set clear expectations</w:t>
      </w:r>
      <w:bookmarkEnd w:id="8"/>
    </w:p>
    <w:p w:rsidR="0035354A" w:rsidRDefault="0035354A" w:rsidP="00980A0F">
      <w:pPr>
        <w:pStyle w:val="ListParagraph"/>
      </w:pPr>
      <w:r w:rsidRPr="003C43F2">
        <w:t>We will provide information so stakeholders can participate in a meaningful way and will foster a culture of sharing ideas.</w:t>
      </w:r>
    </w:p>
    <w:p w:rsidR="0035354A" w:rsidRPr="0035354A" w:rsidRDefault="0035354A" w:rsidP="00980A0F">
      <w:pPr>
        <w:pStyle w:val="ListParagraph"/>
      </w:pPr>
      <w:r w:rsidRPr="0035354A">
        <w:t>We will clearly identify and explain the engagement process, the role of stakeholders in the engagement process, and communicate how their input will inform the project.</w:t>
      </w:r>
    </w:p>
    <w:p w:rsidR="0035354A" w:rsidRPr="0035354A" w:rsidRDefault="0035354A" w:rsidP="00E6611D">
      <w:pPr>
        <w:pStyle w:val="Heading2"/>
      </w:pPr>
      <w:bookmarkStart w:id="9" w:name="_Toc482859629"/>
      <w:r w:rsidRPr="00E6611D">
        <w:t>Respectful</w:t>
      </w:r>
      <w:r w:rsidR="00980A0F">
        <w:t xml:space="preserve"> - </w:t>
      </w:r>
      <w:r w:rsidRPr="0035354A">
        <w:t>We acknowledge and respect the expertise, perspective, and needs of stakeholders</w:t>
      </w:r>
      <w:bookmarkEnd w:id="9"/>
    </w:p>
    <w:p w:rsidR="00D6239B" w:rsidRDefault="0035354A" w:rsidP="00980A0F">
      <w:pPr>
        <w:pStyle w:val="ListParagraph"/>
      </w:pPr>
      <w:r w:rsidRPr="003C43F2">
        <w:t>We understand that engagement is a two-way process. We take care to be open to alternative views and to listen as well as speak</w:t>
      </w:r>
      <w:r w:rsidR="00D6239B">
        <w:t>.</w:t>
      </w:r>
    </w:p>
    <w:p w:rsidR="0035354A" w:rsidRDefault="0035354A" w:rsidP="00980A0F">
      <w:pPr>
        <w:pStyle w:val="ListParagraph"/>
      </w:pPr>
      <w:r w:rsidRPr="003C43F2">
        <w:t>We respect our stakeholders’ expertise and appreciate the benefits of mutual learning.</w:t>
      </w:r>
    </w:p>
    <w:p w:rsidR="00980A0F" w:rsidRPr="00E6611D" w:rsidRDefault="0035354A" w:rsidP="00E6611D">
      <w:pPr>
        <w:pStyle w:val="ListParagraph"/>
      </w:pPr>
      <w:r w:rsidRPr="0035354A">
        <w:t>We recognise the different communication needs and preferences of stakeholders and endeavour to meet these wherever possible.</w:t>
      </w:r>
      <w:bookmarkStart w:id="10" w:name="_Toc422233020"/>
    </w:p>
    <w:p w:rsidR="00F524B5" w:rsidRPr="0038074C" w:rsidRDefault="0072077C" w:rsidP="00D6239B">
      <w:pPr>
        <w:pStyle w:val="Heading1"/>
      </w:pPr>
      <w:bookmarkStart w:id="11" w:name="_Toc482859630"/>
      <w:r w:rsidRPr="0038074C">
        <w:lastRenderedPageBreak/>
        <w:t>Process for e</w:t>
      </w:r>
      <w:r w:rsidR="00F524B5" w:rsidRPr="0038074C">
        <w:t>ngagement</w:t>
      </w:r>
      <w:bookmarkEnd w:id="10"/>
      <w:bookmarkEnd w:id="11"/>
    </w:p>
    <w:p w:rsidR="00D6239B" w:rsidRDefault="007D541A" w:rsidP="00311759">
      <w:pPr>
        <w:spacing w:after="120"/>
        <w:rPr>
          <w:rFonts w:ascii="Calibri" w:hAnsi="Calibri"/>
        </w:rPr>
      </w:pPr>
      <w:r>
        <w:rPr>
          <w:rFonts w:ascii="Calibri" w:hAnsi="Calibri"/>
        </w:rPr>
        <w:t xml:space="preserve">The department’s model for stakeholder engagement has been adapted from the </w:t>
      </w:r>
      <w:r w:rsidR="005744F7" w:rsidRPr="000877EC">
        <w:rPr>
          <w:rFonts w:ascii="Calibri" w:hAnsi="Calibri"/>
        </w:rPr>
        <w:t>international standard</w:t>
      </w:r>
      <w:r>
        <w:rPr>
          <w:rFonts w:ascii="Calibri" w:hAnsi="Calibri"/>
        </w:rPr>
        <w:t xml:space="preserve"> developed by the Institute of Social and Ethical </w:t>
      </w:r>
      <w:proofErr w:type="spellStart"/>
      <w:r>
        <w:rPr>
          <w:rFonts w:ascii="Calibri" w:hAnsi="Calibri"/>
        </w:rPr>
        <w:t>AccountAbility</w:t>
      </w:r>
      <w:proofErr w:type="spellEnd"/>
      <w:r>
        <w:rPr>
          <w:rFonts w:ascii="Calibri" w:hAnsi="Calibri"/>
        </w:rPr>
        <w:t xml:space="preserve"> (2005)</w:t>
      </w:r>
      <w:r w:rsidR="00D6239B">
        <w:rPr>
          <w:rFonts w:ascii="Calibri" w:hAnsi="Calibri"/>
        </w:rPr>
        <w:t>.</w:t>
      </w:r>
    </w:p>
    <w:p w:rsidR="00D6239B" w:rsidRDefault="007D541A" w:rsidP="00311759">
      <w:pPr>
        <w:spacing w:after="120"/>
        <w:rPr>
          <w:rFonts w:ascii="Calibri" w:hAnsi="Calibri"/>
        </w:rPr>
      </w:pPr>
      <w:r>
        <w:rPr>
          <w:rFonts w:ascii="Calibri" w:hAnsi="Calibri"/>
        </w:rPr>
        <w:t>The five-step process is structured to support thorough planning, preparation, action and evaluation of every engagement activity. The process is a dynamic and ongoing cycle, which supports a comprehensive approach to engagement and will, over time, build an evidence-based platform for continuous improvement</w:t>
      </w:r>
      <w:r w:rsidR="00D6239B">
        <w:rPr>
          <w:rFonts w:ascii="Calibri" w:hAnsi="Calibri"/>
        </w:rPr>
        <w:t>.</w:t>
      </w:r>
    </w:p>
    <w:p w:rsidR="0065187E" w:rsidRPr="00980A0F" w:rsidRDefault="0065187E" w:rsidP="00E6611D">
      <w:pPr>
        <w:pStyle w:val="Heading2"/>
      </w:pPr>
      <w:bookmarkStart w:id="12" w:name="_Toc482859631"/>
      <w:r w:rsidRPr="00980A0F">
        <w:t>Five step stakeholder engagement model</w:t>
      </w:r>
      <w:bookmarkEnd w:id="12"/>
    </w:p>
    <w:p w:rsidR="004A280C" w:rsidRPr="00D6239B" w:rsidRDefault="004A280C" w:rsidP="00E61D6B">
      <w:pPr>
        <w:pStyle w:val="NormalWeb"/>
      </w:pPr>
      <w:r>
        <w:rPr>
          <w:rFonts w:asciiTheme="minorHAnsi" w:hAnsiTheme="minorHAnsi"/>
          <w:b/>
          <w:bCs/>
          <w:i/>
          <w:iCs/>
          <w:noProof/>
          <w:color w:val="153F7A"/>
        </w:rPr>
        <w:drawing>
          <wp:inline distT="0" distB="0" distL="0" distR="0" wp14:anchorId="76B57CBF" wp14:editId="2B7FA838">
            <wp:extent cx="4800367" cy="4733925"/>
            <wp:effectExtent l="0" t="0" r="635" b="0"/>
            <wp:docPr id="2" name="Picture 2" descr="The department’s five step stakeholder engagement model revolves around the five principles: purposeful, inclusive, timely, transparent and respectful.&#10;The first stage of the engagement cycle is the “think strategically” phase. This is where stakeholders are mapped; issues are identified, as well as strategic objectives and priorities.&#10;The second phase is the “analyse and plan” phase where you should review progress, learn from others and identify partners, learn about the stakeholders and set objectives for your engagement. &#10;The third phase of the cycle is the “resource and prepare” phase. In this phase you should build internal skills or capabilities, and build the stakeholders’ capacity to engage where possible.&#10;The fourth phase of the model is the “design and engage” phase. In this step, you should identify the most effective engagement approach and design the process.&#10;The fifth step of the five step model is the “review and measure” phase. In this phase you should plan follow up activities, evaluate and report on outcomes, and review the process to see what lessons can be learned.&#10;As this model is cyclical, it can then feed back into the first phase, “think strateg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gif"/>
                    <pic:cNvPicPr/>
                  </pic:nvPicPr>
                  <pic:blipFill>
                    <a:blip r:embed="rId19">
                      <a:extLst>
                        <a:ext uri="{28A0092B-C50C-407E-A947-70E740481C1C}">
                          <a14:useLocalDpi xmlns:a14="http://schemas.microsoft.com/office/drawing/2010/main" val="0"/>
                        </a:ext>
                      </a:extLst>
                    </a:blip>
                    <a:stretch>
                      <a:fillRect/>
                    </a:stretch>
                  </pic:blipFill>
                  <pic:spPr>
                    <a:xfrm>
                      <a:off x="0" y="0"/>
                      <a:ext cx="4806665" cy="4740136"/>
                    </a:xfrm>
                    <a:prstGeom prst="rect">
                      <a:avLst/>
                    </a:prstGeom>
                  </pic:spPr>
                </pic:pic>
              </a:graphicData>
            </a:graphic>
          </wp:inline>
        </w:drawing>
      </w:r>
    </w:p>
    <w:tbl>
      <w:tblPr>
        <w:tblStyle w:val="TableGrid"/>
        <w:tblW w:w="0" w:type="auto"/>
        <w:tblLook w:val="04A0" w:firstRow="1" w:lastRow="0" w:firstColumn="1" w:lastColumn="0" w:noHBand="0" w:noVBand="1"/>
        <w:tblDescription w:val="This table contains the information on the stakeholder engagement review cycle and its five steps. The table has two columns. Read across for step and description.&#10;"/>
      </w:tblPr>
      <w:tblGrid>
        <w:gridCol w:w="1526"/>
        <w:gridCol w:w="7433"/>
      </w:tblGrid>
      <w:tr w:rsidR="0067772D" w:rsidRPr="0067772D" w:rsidTr="00DC0A70">
        <w:trPr>
          <w:tblHeader/>
        </w:trPr>
        <w:tc>
          <w:tcPr>
            <w:tcW w:w="1526" w:type="dxa"/>
            <w:tcBorders>
              <w:top w:val="nil"/>
              <w:left w:val="nil"/>
              <w:bottom w:val="nil"/>
              <w:right w:val="nil"/>
            </w:tcBorders>
            <w:shd w:val="clear" w:color="auto" w:fill="FFFFFF" w:themeFill="background1"/>
            <w:vAlign w:val="center"/>
          </w:tcPr>
          <w:p w:rsidR="0067772D" w:rsidRPr="0067772D" w:rsidRDefault="0067772D" w:rsidP="00D6239B">
            <w:pPr>
              <w:pStyle w:val="NormalWeb"/>
              <w:pageBreakBefore/>
              <w:spacing w:before="60" w:beforeAutospacing="0" w:after="60" w:afterAutospacing="0"/>
              <w:ind w:left="34"/>
              <w:rPr>
                <w:rFonts w:ascii="Arial" w:hAnsi="Arial" w:cs="Arial"/>
                <w:color w:val="364C88"/>
                <w:kern w:val="24"/>
                <w:sz w:val="28"/>
                <w:szCs w:val="28"/>
                <w:lang w:val="en-US"/>
              </w:rPr>
            </w:pPr>
            <w:r w:rsidRPr="0067772D">
              <w:rPr>
                <w:rFonts w:ascii="Arial" w:hAnsi="Arial" w:cs="Arial"/>
                <w:color w:val="364C88"/>
                <w:kern w:val="24"/>
                <w:sz w:val="28"/>
                <w:szCs w:val="28"/>
                <w:lang w:val="en-US"/>
              </w:rPr>
              <w:lastRenderedPageBreak/>
              <w:t>Step</w:t>
            </w:r>
          </w:p>
        </w:tc>
        <w:tc>
          <w:tcPr>
            <w:tcW w:w="7433" w:type="dxa"/>
            <w:tcBorders>
              <w:top w:val="nil"/>
              <w:left w:val="nil"/>
              <w:bottom w:val="single" w:sz="4" w:space="0" w:color="C7A62D"/>
              <w:right w:val="nil"/>
            </w:tcBorders>
            <w:shd w:val="clear" w:color="auto" w:fill="FFFFFF" w:themeFill="background1"/>
            <w:vAlign w:val="center"/>
          </w:tcPr>
          <w:p w:rsidR="0067772D" w:rsidRPr="0067772D" w:rsidRDefault="0067772D" w:rsidP="00311759">
            <w:pPr>
              <w:pStyle w:val="NormalWeb"/>
              <w:spacing w:before="60" w:beforeAutospacing="0" w:after="60" w:afterAutospacing="0"/>
              <w:ind w:left="34"/>
              <w:rPr>
                <w:rFonts w:ascii="Arial" w:hAnsi="Arial" w:cs="Arial"/>
                <w:color w:val="364C88"/>
                <w:kern w:val="24"/>
                <w:sz w:val="28"/>
                <w:szCs w:val="28"/>
                <w:lang w:val="en-US"/>
              </w:rPr>
            </w:pPr>
            <w:r w:rsidRPr="0067772D">
              <w:rPr>
                <w:rFonts w:ascii="Arial" w:hAnsi="Arial" w:cs="Arial"/>
                <w:color w:val="364C88"/>
                <w:kern w:val="24"/>
                <w:sz w:val="28"/>
                <w:szCs w:val="28"/>
                <w:lang w:val="en-US"/>
              </w:rPr>
              <w:t>Description</w:t>
            </w:r>
          </w:p>
        </w:tc>
      </w:tr>
      <w:tr w:rsidR="00DE5FC0" w:rsidTr="0067772D">
        <w:tc>
          <w:tcPr>
            <w:tcW w:w="1526" w:type="dxa"/>
            <w:tcBorders>
              <w:top w:val="nil"/>
              <w:left w:val="nil"/>
              <w:bottom w:val="nil"/>
              <w:right w:val="nil"/>
            </w:tcBorders>
            <w:shd w:val="clear" w:color="auto" w:fill="C7A62D"/>
            <w:vAlign w:val="center"/>
          </w:tcPr>
          <w:p w:rsidR="00DE5FC0" w:rsidRPr="007717BB" w:rsidRDefault="00DE5FC0" w:rsidP="00CD1D98">
            <w:pPr>
              <w:spacing w:before="60" w:after="60"/>
              <w:rPr>
                <w:rFonts w:ascii="Arial Narrow" w:hAnsi="Arial Narrow"/>
                <w:color w:val="FFFFFF" w:themeColor="background1"/>
                <w:sz w:val="28"/>
                <w:szCs w:val="28"/>
              </w:rPr>
            </w:pPr>
            <w:r w:rsidRPr="008569A9">
              <w:rPr>
                <w:rFonts w:ascii="Arial Narrow" w:hAnsi="Arial Narrow"/>
                <w:sz w:val="28"/>
                <w:szCs w:val="28"/>
              </w:rPr>
              <w:t>Think</w:t>
            </w:r>
          </w:p>
        </w:tc>
        <w:tc>
          <w:tcPr>
            <w:tcW w:w="7433" w:type="dxa"/>
            <w:tcBorders>
              <w:top w:val="single" w:sz="4" w:space="0" w:color="C7A62D"/>
              <w:left w:val="single" w:sz="4" w:space="0" w:color="C7A62D"/>
              <w:bottom w:val="single" w:sz="4" w:space="0" w:color="C7A62D"/>
              <w:right w:val="single" w:sz="4" w:space="0" w:color="C7A62D"/>
            </w:tcBorders>
            <w:vAlign w:val="center"/>
          </w:tcPr>
          <w:p w:rsidR="00DE5FC0" w:rsidRPr="00CD1D98" w:rsidRDefault="00DE5FC0" w:rsidP="00311759">
            <w:pPr>
              <w:pStyle w:val="NormalWeb"/>
              <w:spacing w:before="60" w:beforeAutospacing="0" w:after="60" w:afterAutospacing="0"/>
              <w:ind w:left="34"/>
              <w:rPr>
                <w:rFonts w:ascii="Calibri" w:hAnsi="Calibri"/>
                <w:color w:val="364C88"/>
                <w:sz w:val="22"/>
                <w:szCs w:val="22"/>
              </w:rPr>
            </w:pPr>
            <w:r w:rsidRPr="00CD1D98">
              <w:rPr>
                <w:rFonts w:ascii="Calibri" w:hAnsi="Calibri"/>
                <w:color w:val="364C88"/>
                <w:kern w:val="24"/>
                <w:sz w:val="22"/>
                <w:szCs w:val="22"/>
                <w:lang w:val="en-US"/>
              </w:rPr>
              <w:t xml:space="preserve">We develop an overall consideration of strategic business objectives, how these relate to stakeholders and specific issues, and how you can undertake an initial </w:t>
            </w:r>
            <w:proofErr w:type="spellStart"/>
            <w:r w:rsidRPr="00CD1D98">
              <w:rPr>
                <w:rFonts w:ascii="Calibri" w:hAnsi="Calibri"/>
                <w:color w:val="364C88"/>
                <w:kern w:val="24"/>
                <w:sz w:val="22"/>
                <w:szCs w:val="22"/>
                <w:lang w:val="en-US"/>
              </w:rPr>
              <w:t>prioritisation</w:t>
            </w:r>
            <w:proofErr w:type="spellEnd"/>
            <w:r w:rsidRPr="00CD1D98">
              <w:rPr>
                <w:rFonts w:ascii="Calibri" w:hAnsi="Calibri"/>
                <w:color w:val="364C88"/>
                <w:kern w:val="24"/>
                <w:sz w:val="22"/>
                <w:szCs w:val="22"/>
                <w:lang w:val="en-US"/>
              </w:rPr>
              <w:t xml:space="preserve"> of stakeholders and issues for further analysis.</w:t>
            </w:r>
          </w:p>
        </w:tc>
      </w:tr>
      <w:tr w:rsidR="00DE5FC0" w:rsidTr="00311759">
        <w:tc>
          <w:tcPr>
            <w:tcW w:w="1526" w:type="dxa"/>
            <w:tcBorders>
              <w:top w:val="nil"/>
              <w:left w:val="nil"/>
              <w:bottom w:val="nil"/>
              <w:right w:val="nil"/>
            </w:tcBorders>
            <w:shd w:val="clear" w:color="auto" w:fill="364C88"/>
            <w:vAlign w:val="center"/>
          </w:tcPr>
          <w:p w:rsidR="00DE5FC0" w:rsidRPr="00311759" w:rsidRDefault="00DE5FC0" w:rsidP="00311759">
            <w:pPr>
              <w:pStyle w:val="NormalWeb"/>
              <w:spacing w:before="0" w:beforeAutospacing="0" w:after="0" w:afterAutospacing="0"/>
              <w:rPr>
                <w:sz w:val="28"/>
                <w:szCs w:val="28"/>
              </w:rPr>
            </w:pPr>
            <w:r w:rsidRPr="00311759">
              <w:rPr>
                <w:rFonts w:ascii="Arial Narrow" w:hAnsi="Arial Narrow" w:cstheme="minorBidi"/>
                <w:color w:val="FFFFFF"/>
                <w:kern w:val="24"/>
                <w:sz w:val="28"/>
                <w:szCs w:val="28"/>
              </w:rPr>
              <w:t>Plan</w:t>
            </w:r>
          </w:p>
        </w:tc>
        <w:tc>
          <w:tcPr>
            <w:tcW w:w="7433" w:type="dxa"/>
            <w:tcBorders>
              <w:top w:val="single" w:sz="4" w:space="0" w:color="364C88"/>
              <w:left w:val="single" w:sz="4" w:space="0" w:color="364C88"/>
              <w:bottom w:val="single" w:sz="4" w:space="0" w:color="364C88"/>
              <w:right w:val="single" w:sz="4" w:space="0" w:color="364C88"/>
            </w:tcBorders>
            <w:vAlign w:val="center"/>
          </w:tcPr>
          <w:p w:rsidR="00DE5FC0" w:rsidRPr="00311759" w:rsidRDefault="00DE5FC0" w:rsidP="00311759">
            <w:pPr>
              <w:pStyle w:val="NormalWeb"/>
              <w:spacing w:before="60" w:beforeAutospacing="0" w:after="60" w:afterAutospacing="0"/>
              <w:ind w:left="34"/>
              <w:rPr>
                <w:rFonts w:ascii="Calibri" w:hAnsi="Calibri"/>
                <w:sz w:val="22"/>
                <w:szCs w:val="22"/>
              </w:rPr>
            </w:pPr>
            <w:r w:rsidRPr="00311759">
              <w:rPr>
                <w:rFonts w:ascii="Calibri" w:hAnsi="Calibri"/>
                <w:color w:val="364C88"/>
                <w:kern w:val="24"/>
                <w:sz w:val="22"/>
                <w:szCs w:val="22"/>
                <w:lang w:val="en-US"/>
              </w:rPr>
              <w:t>Introduce different levels of engagement, and guide the analysis of existing relationships, available resources and organisational constraints. It also helps you to learn more about specific stakeholder’s representatives, and to decide on what kind of relationship you want to develop with these stakeholders.</w:t>
            </w:r>
            <w:r w:rsidRPr="000877EC">
              <w:rPr>
                <w:rFonts w:ascii="Calibri" w:hAnsi="Calibri"/>
              </w:rPr>
              <w:t xml:space="preserve"> </w:t>
            </w:r>
          </w:p>
        </w:tc>
      </w:tr>
      <w:tr w:rsidR="00DE5FC0" w:rsidTr="00311759">
        <w:tc>
          <w:tcPr>
            <w:tcW w:w="1526" w:type="dxa"/>
            <w:tcBorders>
              <w:top w:val="nil"/>
              <w:left w:val="nil"/>
              <w:bottom w:val="nil"/>
              <w:right w:val="nil"/>
            </w:tcBorders>
            <w:shd w:val="clear" w:color="auto" w:fill="006838"/>
            <w:vAlign w:val="center"/>
          </w:tcPr>
          <w:p w:rsidR="00DE5FC0" w:rsidRPr="00311759" w:rsidRDefault="00DE5FC0" w:rsidP="00311759">
            <w:pPr>
              <w:pStyle w:val="NormalWeb"/>
              <w:spacing w:before="0" w:beforeAutospacing="0" w:after="0" w:afterAutospacing="0"/>
              <w:rPr>
                <w:sz w:val="28"/>
                <w:szCs w:val="28"/>
              </w:rPr>
            </w:pPr>
            <w:r w:rsidRPr="00311759">
              <w:rPr>
                <w:rFonts w:ascii="Arial Narrow" w:hAnsi="Arial Narrow" w:cstheme="minorBidi"/>
                <w:color w:val="FFFFFF"/>
                <w:kern w:val="24"/>
                <w:sz w:val="28"/>
                <w:szCs w:val="28"/>
              </w:rPr>
              <w:t>Prepare</w:t>
            </w:r>
          </w:p>
        </w:tc>
        <w:tc>
          <w:tcPr>
            <w:tcW w:w="7433" w:type="dxa"/>
            <w:tcBorders>
              <w:top w:val="single" w:sz="4" w:space="0" w:color="006838"/>
              <w:left w:val="single" w:sz="4" w:space="0" w:color="006838"/>
              <w:bottom w:val="single" w:sz="4" w:space="0" w:color="006838"/>
              <w:right w:val="single" w:sz="4" w:space="0" w:color="006838"/>
            </w:tcBorders>
            <w:vAlign w:val="center"/>
          </w:tcPr>
          <w:p w:rsidR="00DE5FC0" w:rsidRDefault="00DE5FC0" w:rsidP="00311759">
            <w:pPr>
              <w:spacing w:before="60" w:after="60"/>
              <w:rPr>
                <w:color w:val="364C88"/>
                <w:kern w:val="24"/>
                <w:lang w:val="en-US"/>
              </w:rPr>
            </w:pPr>
            <w:r>
              <w:rPr>
                <w:color w:val="364C88"/>
                <w:kern w:val="24"/>
                <w:lang w:val="en-US"/>
              </w:rPr>
              <w:t>A</w:t>
            </w:r>
            <w:r w:rsidRPr="003C43F2">
              <w:rPr>
                <w:color w:val="364C88"/>
                <w:kern w:val="24"/>
                <w:lang w:val="en-US"/>
              </w:rPr>
              <w:t xml:space="preserve">ddress questions of internal and external competencies and capacities to engage, and how you can ensure that all parties to an engagement are able to join and take part in it effectively. </w:t>
            </w:r>
          </w:p>
        </w:tc>
      </w:tr>
      <w:tr w:rsidR="00DE5FC0" w:rsidTr="00A428FB">
        <w:tc>
          <w:tcPr>
            <w:tcW w:w="1526" w:type="dxa"/>
            <w:tcBorders>
              <w:top w:val="nil"/>
              <w:left w:val="nil"/>
              <w:bottom w:val="nil"/>
              <w:right w:val="nil"/>
            </w:tcBorders>
            <w:shd w:val="clear" w:color="auto" w:fill="65305C"/>
            <w:vAlign w:val="center"/>
          </w:tcPr>
          <w:p w:rsidR="00DE5FC0" w:rsidRPr="00311759" w:rsidRDefault="00DE5FC0" w:rsidP="00311759">
            <w:pPr>
              <w:pStyle w:val="NormalWeb"/>
              <w:spacing w:before="0" w:beforeAutospacing="0" w:after="0" w:afterAutospacing="0"/>
              <w:rPr>
                <w:sz w:val="28"/>
                <w:szCs w:val="28"/>
              </w:rPr>
            </w:pPr>
            <w:r w:rsidRPr="00311759">
              <w:rPr>
                <w:rFonts w:ascii="Arial Narrow" w:hAnsi="Arial Narrow" w:cstheme="minorBidi"/>
                <w:color w:val="FFFFFF"/>
                <w:kern w:val="24"/>
                <w:sz w:val="28"/>
                <w:szCs w:val="28"/>
              </w:rPr>
              <w:t>Engage</w:t>
            </w:r>
          </w:p>
        </w:tc>
        <w:tc>
          <w:tcPr>
            <w:tcW w:w="7433" w:type="dxa"/>
            <w:tcBorders>
              <w:top w:val="single" w:sz="4" w:space="0" w:color="65305C"/>
              <w:left w:val="single" w:sz="4" w:space="0" w:color="65305C"/>
              <w:bottom w:val="single" w:sz="4" w:space="0" w:color="65305C"/>
              <w:right w:val="single" w:sz="4" w:space="0" w:color="65305C"/>
            </w:tcBorders>
            <w:vAlign w:val="center"/>
          </w:tcPr>
          <w:p w:rsidR="00DE5FC0" w:rsidRDefault="00DE5FC0" w:rsidP="00311759">
            <w:pPr>
              <w:spacing w:before="60" w:after="60"/>
              <w:rPr>
                <w:color w:val="364C88"/>
                <w:kern w:val="24"/>
                <w:lang w:val="en-US"/>
              </w:rPr>
            </w:pPr>
            <w:r>
              <w:rPr>
                <w:color w:val="364C88"/>
                <w:kern w:val="24"/>
                <w:lang w:val="en-US"/>
              </w:rPr>
              <w:t>A</w:t>
            </w:r>
            <w:r w:rsidRPr="003C43F2">
              <w:rPr>
                <w:color w:val="364C88"/>
                <w:kern w:val="24"/>
                <w:lang w:val="en-US"/>
              </w:rPr>
              <w:t>ddress</w:t>
            </w:r>
            <w:r>
              <w:rPr>
                <w:color w:val="364C88"/>
                <w:kern w:val="24"/>
                <w:lang w:val="en-US"/>
              </w:rPr>
              <w:t xml:space="preserve"> and</w:t>
            </w:r>
            <w:r w:rsidRPr="003C43F2">
              <w:rPr>
                <w:color w:val="364C88"/>
                <w:kern w:val="24"/>
                <w:lang w:val="en-US"/>
              </w:rPr>
              <w:t xml:space="preserve"> outline different engagement techniques, and – building on the previous steps – design an approach that suits the needs of your specific situation and help you to reach your objectives. </w:t>
            </w:r>
          </w:p>
        </w:tc>
      </w:tr>
      <w:tr w:rsidR="00DE5FC0" w:rsidTr="00A428FB">
        <w:tc>
          <w:tcPr>
            <w:tcW w:w="1526" w:type="dxa"/>
            <w:tcBorders>
              <w:top w:val="nil"/>
              <w:left w:val="nil"/>
              <w:bottom w:val="nil"/>
              <w:right w:val="nil"/>
            </w:tcBorders>
            <w:shd w:val="clear" w:color="auto" w:fill="921C1C"/>
            <w:vAlign w:val="center"/>
          </w:tcPr>
          <w:p w:rsidR="00DE5FC0" w:rsidRPr="00A428FB" w:rsidRDefault="00DE5FC0" w:rsidP="00311759">
            <w:pPr>
              <w:pStyle w:val="NormalWeb"/>
              <w:spacing w:before="0" w:beforeAutospacing="0" w:after="0" w:afterAutospacing="0"/>
              <w:rPr>
                <w:sz w:val="28"/>
                <w:szCs w:val="28"/>
              </w:rPr>
            </w:pPr>
            <w:r w:rsidRPr="00A428FB">
              <w:rPr>
                <w:rFonts w:ascii="Arial Narrow" w:hAnsi="Arial Narrow" w:cstheme="minorBidi"/>
                <w:color w:val="FFFFFF"/>
                <w:kern w:val="24"/>
                <w:sz w:val="28"/>
                <w:szCs w:val="28"/>
              </w:rPr>
              <w:t>Evaluate</w:t>
            </w:r>
          </w:p>
        </w:tc>
        <w:tc>
          <w:tcPr>
            <w:tcW w:w="7433" w:type="dxa"/>
            <w:tcBorders>
              <w:top w:val="single" w:sz="4" w:space="0" w:color="921C1C"/>
              <w:left w:val="single" w:sz="4" w:space="0" w:color="921C1C"/>
              <w:bottom w:val="single" w:sz="4" w:space="0" w:color="921C1C"/>
              <w:right w:val="single" w:sz="4" w:space="0" w:color="921C1C"/>
            </w:tcBorders>
            <w:vAlign w:val="center"/>
          </w:tcPr>
          <w:p w:rsidR="00DE5FC0" w:rsidRDefault="00DE5FC0" w:rsidP="00A428FB">
            <w:pPr>
              <w:spacing w:before="60" w:after="60"/>
              <w:rPr>
                <w:color w:val="364C88"/>
                <w:kern w:val="24"/>
                <w:lang w:val="en-US"/>
              </w:rPr>
            </w:pPr>
            <w:r>
              <w:rPr>
                <w:color w:val="364C88"/>
                <w:kern w:val="24"/>
                <w:lang w:val="en-US"/>
              </w:rPr>
              <w:t>F</w:t>
            </w:r>
            <w:r w:rsidRPr="003C43F2">
              <w:rPr>
                <w:color w:val="364C88"/>
                <w:kern w:val="24"/>
                <w:lang w:val="en-US"/>
              </w:rPr>
              <w:t>ollow</w:t>
            </w:r>
            <w:r>
              <w:rPr>
                <w:color w:val="364C88"/>
                <w:kern w:val="24"/>
                <w:lang w:val="en-US"/>
              </w:rPr>
              <w:t>-</w:t>
            </w:r>
            <w:r w:rsidRPr="003C43F2">
              <w:rPr>
                <w:rFonts w:eastAsia="Times New Roman"/>
                <w:color w:val="364C88"/>
                <w:kern w:val="24"/>
                <w:lang w:val="en-US" w:eastAsia="en-AU"/>
              </w:rPr>
              <w:t>up on the outputs of engagement, and ensure that your stakeholders feel assured regarding the quality of your efforts.</w:t>
            </w:r>
            <w:r w:rsidRPr="000877EC">
              <w:rPr>
                <w:rFonts w:ascii="Calibri" w:hAnsi="Calibri"/>
              </w:rPr>
              <w:t xml:space="preserve"> </w:t>
            </w:r>
          </w:p>
        </w:tc>
      </w:tr>
    </w:tbl>
    <w:p w:rsidR="00442CFB" w:rsidRDefault="00442CFB" w:rsidP="008E4524">
      <w:pPr>
        <w:rPr>
          <w:rFonts w:ascii="Calibri" w:hAnsi="Calibri"/>
        </w:rPr>
      </w:pPr>
      <w:r>
        <w:rPr>
          <w:rFonts w:ascii="Calibri" w:hAnsi="Calibri"/>
        </w:rPr>
        <w:t xml:space="preserve">How this process is applied will be driven by the purpose, level and type of engagement </w:t>
      </w:r>
      <w:r w:rsidR="00FF135F">
        <w:rPr>
          <w:rFonts w:ascii="Calibri" w:hAnsi="Calibri"/>
        </w:rPr>
        <w:t>undertaken</w:t>
      </w:r>
      <w:r>
        <w:rPr>
          <w:rFonts w:ascii="Calibri" w:hAnsi="Calibri"/>
        </w:rPr>
        <w:t>. It is also important to note that the process will operate at the strategic and operational ends of stakeholder engagement activities and you may be working on more than one step in the process at any time, with different stakeholders, depending on the nature of the engagement.</w:t>
      </w:r>
    </w:p>
    <w:p w:rsidR="00DE61D3" w:rsidRPr="0084021A" w:rsidRDefault="00DE61D3" w:rsidP="00F305F0">
      <w:pPr>
        <w:pStyle w:val="Heading2"/>
        <w:pageBreakBefore/>
      </w:pPr>
      <w:bookmarkStart w:id="13" w:name="_Toc428268455"/>
      <w:bookmarkStart w:id="14" w:name="_Toc482859632"/>
      <w:r w:rsidRPr="0084021A">
        <w:lastRenderedPageBreak/>
        <w:t>Inclusive Participation</w:t>
      </w:r>
      <w:bookmarkEnd w:id="13"/>
      <w:bookmarkEnd w:id="14"/>
    </w:p>
    <w:p w:rsidR="00DE61D3" w:rsidRPr="00635C95" w:rsidRDefault="00DE61D3" w:rsidP="00A428FB">
      <w:pPr>
        <w:spacing w:before="0"/>
        <w:rPr>
          <w:rFonts w:ascii="Calibri" w:hAnsi="Calibri"/>
          <w:color w:val="000000" w:themeColor="text1"/>
        </w:rPr>
      </w:pPr>
      <w:r w:rsidRPr="00635C95">
        <w:rPr>
          <w:rFonts w:ascii="Calibri" w:hAnsi="Calibri"/>
          <w:color w:val="000000" w:themeColor="text1"/>
        </w:rPr>
        <w:t>Inclusion is one of the five Stakeholder Engagement Principles that guide our engagement; we are committed to work with stakeholders who may be harder to reach for reasons such as language, culture, age or mobility. Some of the priority stakeholders for inclusion are:</w:t>
      </w:r>
    </w:p>
    <w:p w:rsidR="00DE61D3" w:rsidRPr="00E6611D" w:rsidRDefault="00635C95" w:rsidP="00E6611D">
      <w:pPr>
        <w:pStyle w:val="Heading3"/>
      </w:pPr>
      <w:bookmarkStart w:id="15" w:name="_Toc482859633"/>
      <w:r w:rsidRPr="00E6611D">
        <w:t xml:space="preserve">Aboriginal and Torres Strait Islander </w:t>
      </w:r>
      <w:r w:rsidR="00B33624" w:rsidRPr="00E6611D">
        <w:t>communities</w:t>
      </w:r>
      <w:bookmarkEnd w:id="15"/>
    </w:p>
    <w:p w:rsidR="00DE61D3" w:rsidRPr="00635C95" w:rsidRDefault="00DE61D3" w:rsidP="00A428FB">
      <w:pPr>
        <w:spacing w:before="0"/>
        <w:rPr>
          <w:rFonts w:ascii="Calibri" w:hAnsi="Calibri"/>
          <w:color w:val="000000" w:themeColor="text1"/>
        </w:rPr>
      </w:pPr>
      <w:r w:rsidRPr="00635C95">
        <w:rPr>
          <w:rFonts w:ascii="Calibri" w:hAnsi="Calibri"/>
          <w:color w:val="000000" w:themeColor="text1"/>
        </w:rPr>
        <w:t>A key success factor will be to expand the capability of all staff to engage effectively with Aboriginal and Torres Strait Islander Australians as they develop and deliver policies and services for Indigenous people and communities. Cultural awareness and appreciation, strong engagement skills for the development policy and programme implementation that meet cultural needs and address the social disadvantage faced by Aboriginal and Torres Strait Islander Australians is important to closing the gap in health outcomes.</w:t>
      </w:r>
    </w:p>
    <w:p w:rsidR="00DE61D3" w:rsidRPr="00635C95" w:rsidRDefault="00DE61D3" w:rsidP="00E6611D">
      <w:pPr>
        <w:pStyle w:val="Heading3"/>
      </w:pPr>
      <w:bookmarkStart w:id="16" w:name="_Toc482859634"/>
      <w:r w:rsidRPr="00635C95">
        <w:t>Culturally and linguistically diverse communities</w:t>
      </w:r>
      <w:bookmarkEnd w:id="16"/>
    </w:p>
    <w:p w:rsidR="00DE61D3" w:rsidRPr="00635C95" w:rsidRDefault="00DE61D3" w:rsidP="00A428FB">
      <w:pPr>
        <w:spacing w:before="0"/>
        <w:rPr>
          <w:rFonts w:ascii="Calibri" w:hAnsi="Calibri"/>
          <w:color w:val="000000" w:themeColor="text1"/>
        </w:rPr>
      </w:pPr>
      <w:r w:rsidRPr="00635C95">
        <w:rPr>
          <w:rFonts w:ascii="Calibri" w:hAnsi="Calibri"/>
          <w:color w:val="000000" w:themeColor="text1"/>
        </w:rPr>
        <w:t>We recognise that policies and services should be more responsive to the cultural needs of Australians as the population becomes more diverse. There may be a need to develop a cultural diversity plan to address the provision for culturally sensitive services and engagement strategies for communicating with these communities.</w:t>
      </w:r>
    </w:p>
    <w:p w:rsidR="00DE61D3" w:rsidRPr="00635C95" w:rsidRDefault="00DE61D3" w:rsidP="00E6611D">
      <w:pPr>
        <w:pStyle w:val="Heading3"/>
      </w:pPr>
      <w:bookmarkStart w:id="17" w:name="_Toc482859635"/>
      <w:r w:rsidRPr="00635C95">
        <w:t>Enabling those with disabilities to participate in consultation</w:t>
      </w:r>
      <w:bookmarkEnd w:id="17"/>
    </w:p>
    <w:p w:rsidR="00D6239B" w:rsidRDefault="00DE61D3" w:rsidP="00297ED4">
      <w:pPr>
        <w:spacing w:before="0"/>
        <w:rPr>
          <w:rFonts w:ascii="Calibri" w:hAnsi="Calibri"/>
          <w:color w:val="000000" w:themeColor="text1"/>
        </w:rPr>
      </w:pPr>
      <w:r w:rsidRPr="00635C95">
        <w:rPr>
          <w:rFonts w:ascii="Calibri" w:hAnsi="Calibri"/>
          <w:color w:val="000000" w:themeColor="text1"/>
        </w:rPr>
        <w:t>The Department’s commitment to supporting people with disability in order to maximise their involvement and potential to participate as equal citizens of the Australian society is underpinned by the National Disability Strategy 2010-2020 and the Department’s  protocol for engaging with people with disability in developing and successfully delivering the Department’s business</w:t>
      </w:r>
      <w:r w:rsidR="00D6239B">
        <w:rPr>
          <w:rFonts w:ascii="Calibri" w:hAnsi="Calibri"/>
          <w:color w:val="000000" w:themeColor="text1"/>
        </w:rPr>
        <w:t>.</w:t>
      </w:r>
    </w:p>
    <w:p w:rsidR="00A551C0" w:rsidRPr="009C4127" w:rsidRDefault="00A551C0" w:rsidP="00D6239B">
      <w:pPr>
        <w:pStyle w:val="Heading1"/>
      </w:pPr>
      <w:bookmarkStart w:id="18" w:name="_Toc482859636"/>
      <w:r>
        <w:lastRenderedPageBreak/>
        <w:t>Levels of</w:t>
      </w:r>
      <w:r w:rsidRPr="00E20D1A">
        <w:t xml:space="preserve"> </w:t>
      </w:r>
      <w:r>
        <w:t>e</w:t>
      </w:r>
      <w:r w:rsidRPr="00E20D1A">
        <w:t>ngagement</w:t>
      </w:r>
      <w:bookmarkEnd w:id="18"/>
    </w:p>
    <w:p w:rsidR="00D6239B" w:rsidRDefault="00F4019C" w:rsidP="00311759">
      <w:pPr>
        <w:spacing w:after="120"/>
        <w:rPr>
          <w:rFonts w:ascii="Calibri" w:hAnsi="Calibri"/>
        </w:rPr>
      </w:pPr>
      <w:r w:rsidRPr="009D3FB8">
        <w:rPr>
          <w:rFonts w:ascii="Calibri" w:hAnsi="Calibri"/>
        </w:rPr>
        <w:t>There is no one right stakeholder engagement method and you may choose a number of methods at different stages of the process. Thinking about and selecting the most appropriate method of stakeholder engagement and the relevant tools and techniques to facilitate the engagement process can vary according to the situation, time, skills and resources. All engagement methods have their benefits and limitations and it is important to select the right one and review</w:t>
      </w:r>
      <w:r>
        <w:rPr>
          <w:rFonts w:ascii="Calibri" w:hAnsi="Calibri"/>
        </w:rPr>
        <w:t xml:space="preserve"> to ensure the method best fits the particular environment</w:t>
      </w:r>
      <w:r w:rsidR="00D6239B">
        <w:rPr>
          <w:rFonts w:ascii="Calibri" w:hAnsi="Calibri"/>
        </w:rPr>
        <w:t>.</w:t>
      </w:r>
    </w:p>
    <w:p w:rsidR="00F4019C" w:rsidRPr="00635C95" w:rsidRDefault="00597CE7" w:rsidP="00311759">
      <w:pPr>
        <w:spacing w:after="120"/>
        <w:rPr>
          <w:rFonts w:ascii="Calibri" w:hAnsi="Calibri"/>
          <w:color w:val="000000" w:themeColor="text1"/>
        </w:rPr>
      </w:pPr>
      <w:r w:rsidRPr="00635C95">
        <w:rPr>
          <w:rFonts w:ascii="Calibri" w:hAnsi="Calibri"/>
          <w:color w:val="000000" w:themeColor="text1"/>
        </w:rPr>
        <w:t>The following table provides guidance on the various levels of engagement</w:t>
      </w:r>
      <w:r w:rsidRPr="00635C95">
        <w:rPr>
          <w:rStyle w:val="FootnoteReference"/>
          <w:rFonts w:ascii="Calibri" w:hAnsi="Calibri"/>
          <w:color w:val="000000" w:themeColor="text1"/>
        </w:rPr>
        <w:footnoteReference w:id="1"/>
      </w:r>
      <w:r w:rsidRPr="00635C95">
        <w:rPr>
          <w:rFonts w:ascii="Calibri" w:hAnsi="Calibri"/>
          <w:color w:val="000000" w:themeColor="text1"/>
        </w:rPr>
        <w:t xml:space="preserve"> and our commitment to stakeholders:</w:t>
      </w:r>
    </w:p>
    <w:tbl>
      <w:tblPr>
        <w:tblStyle w:val="TableGrid"/>
        <w:tblW w:w="0" w:type="auto"/>
        <w:tblLook w:val="04A0" w:firstRow="1" w:lastRow="0" w:firstColumn="1" w:lastColumn="0" w:noHBand="0" w:noVBand="1"/>
        <w:tblDescription w:val="This table shows an increasing level of engagement.  It has 5 columns.  Read across for inform, consult, involve, collaborate and empower."/>
      </w:tblPr>
      <w:tblGrid>
        <w:gridCol w:w="1841"/>
        <w:gridCol w:w="1838"/>
        <w:gridCol w:w="1838"/>
        <w:gridCol w:w="1855"/>
        <w:gridCol w:w="1870"/>
      </w:tblGrid>
      <w:tr w:rsidR="00635C95" w:rsidRPr="00635C95" w:rsidTr="008058F6">
        <w:trPr>
          <w:tblHeader/>
        </w:trPr>
        <w:tc>
          <w:tcPr>
            <w:tcW w:w="18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6EA7"/>
          </w:tcPr>
          <w:p w:rsidR="00C24BF5" w:rsidRPr="00635C95" w:rsidRDefault="00C24BF5" w:rsidP="00E40B96">
            <w:pPr>
              <w:spacing w:before="60" w:after="60"/>
              <w:rPr>
                <w:rStyle w:val="IntenseReference"/>
                <w:rFonts w:ascii="Calibri" w:hAnsi="Calibri"/>
                <w:b w:val="0"/>
                <w:bCs w:val="0"/>
                <w:i w:val="0"/>
                <w:smallCaps w:val="0"/>
                <w:color w:val="000000" w:themeColor="text1"/>
                <w:sz w:val="24"/>
                <w:szCs w:val="24"/>
              </w:rPr>
            </w:pPr>
            <w:r w:rsidRPr="00635C95">
              <w:rPr>
                <w:rFonts w:ascii="Calibri" w:eastAsia="Times New Roman" w:hAnsi="Calibri"/>
                <w:color w:val="000000" w:themeColor="text1"/>
                <w:sz w:val="24"/>
                <w:szCs w:val="24"/>
              </w:rPr>
              <w:t>Inform</w:t>
            </w:r>
          </w:p>
        </w:tc>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9DAC"/>
          </w:tcPr>
          <w:p w:rsidR="00C24BF5" w:rsidRPr="00635C95" w:rsidRDefault="00C24BF5" w:rsidP="00E40B96">
            <w:pPr>
              <w:spacing w:before="60" w:after="60"/>
              <w:rPr>
                <w:rStyle w:val="IntenseReference"/>
                <w:rFonts w:ascii="Calibri" w:hAnsi="Calibri"/>
                <w:b w:val="0"/>
                <w:bCs w:val="0"/>
                <w:i w:val="0"/>
                <w:smallCaps w:val="0"/>
                <w:color w:val="000000" w:themeColor="text1"/>
                <w:sz w:val="24"/>
                <w:szCs w:val="24"/>
              </w:rPr>
            </w:pPr>
            <w:r w:rsidRPr="00635C95">
              <w:rPr>
                <w:rFonts w:ascii="Calibri" w:eastAsia="Times New Roman" w:hAnsi="Calibri"/>
                <w:color w:val="000000" w:themeColor="text1"/>
                <w:sz w:val="24"/>
                <w:szCs w:val="24"/>
              </w:rPr>
              <w:t>Consult</w:t>
            </w:r>
          </w:p>
        </w:tc>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DB18E"/>
          </w:tcPr>
          <w:p w:rsidR="00C24BF5" w:rsidRPr="00635C95" w:rsidRDefault="00C24BF5" w:rsidP="00E40B96">
            <w:pPr>
              <w:spacing w:before="60" w:after="60"/>
              <w:rPr>
                <w:rStyle w:val="IntenseReference"/>
                <w:rFonts w:ascii="Calibri" w:hAnsi="Calibri"/>
                <w:b w:val="0"/>
                <w:bCs w:val="0"/>
                <w:i w:val="0"/>
                <w:smallCaps w:val="0"/>
                <w:color w:val="000000" w:themeColor="text1"/>
                <w:sz w:val="24"/>
                <w:szCs w:val="24"/>
              </w:rPr>
            </w:pPr>
            <w:r w:rsidRPr="00635C95">
              <w:rPr>
                <w:rFonts w:ascii="Calibri" w:eastAsia="Times New Roman" w:hAnsi="Calibri"/>
                <w:color w:val="000000" w:themeColor="text1"/>
                <w:sz w:val="24"/>
                <w:szCs w:val="24"/>
              </w:rPr>
              <w:t>Involve</w:t>
            </w:r>
          </w:p>
        </w:tc>
        <w:tc>
          <w:tcPr>
            <w:tcW w:w="1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B65B"/>
          </w:tcPr>
          <w:p w:rsidR="00C24BF5" w:rsidRPr="00635C95" w:rsidRDefault="00C24BF5" w:rsidP="00E40B96">
            <w:pPr>
              <w:spacing w:before="60" w:after="60"/>
              <w:rPr>
                <w:rStyle w:val="IntenseReference"/>
                <w:rFonts w:ascii="Calibri" w:hAnsi="Calibri"/>
                <w:b w:val="0"/>
                <w:bCs w:val="0"/>
                <w:i w:val="0"/>
                <w:smallCaps w:val="0"/>
                <w:color w:val="000000" w:themeColor="text1"/>
                <w:sz w:val="24"/>
                <w:szCs w:val="24"/>
              </w:rPr>
            </w:pPr>
            <w:r w:rsidRPr="00635C95">
              <w:rPr>
                <w:rFonts w:ascii="Calibri" w:eastAsia="Times New Roman" w:hAnsi="Calibri"/>
                <w:color w:val="000000" w:themeColor="text1"/>
                <w:sz w:val="24"/>
                <w:szCs w:val="24"/>
              </w:rPr>
              <w:t>Collaborate</w:t>
            </w:r>
          </w:p>
        </w:tc>
        <w:tc>
          <w:tcPr>
            <w:tcW w:w="1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E84B9"/>
          </w:tcPr>
          <w:p w:rsidR="00C24BF5" w:rsidRPr="00635C95" w:rsidRDefault="00C24BF5" w:rsidP="00E40B96">
            <w:pPr>
              <w:spacing w:before="60" w:after="60"/>
              <w:rPr>
                <w:rStyle w:val="IntenseReference"/>
                <w:rFonts w:ascii="Calibri" w:hAnsi="Calibri"/>
                <w:b w:val="0"/>
                <w:bCs w:val="0"/>
                <w:i w:val="0"/>
                <w:smallCaps w:val="0"/>
                <w:color w:val="000000" w:themeColor="text1"/>
                <w:sz w:val="24"/>
                <w:szCs w:val="24"/>
              </w:rPr>
            </w:pPr>
            <w:r w:rsidRPr="00635C95">
              <w:rPr>
                <w:rFonts w:ascii="Calibri" w:eastAsia="Times New Roman" w:hAnsi="Calibri"/>
                <w:color w:val="000000" w:themeColor="text1"/>
                <w:sz w:val="24"/>
                <w:szCs w:val="24"/>
              </w:rPr>
              <w:t>Empower</w:t>
            </w:r>
          </w:p>
        </w:tc>
      </w:tr>
      <w:tr w:rsidR="00635C95" w:rsidRPr="00635C95" w:rsidTr="00311759">
        <w:tc>
          <w:tcPr>
            <w:tcW w:w="1841" w:type="dxa"/>
            <w:tcBorders>
              <w:top w:val="single" w:sz="4" w:space="0" w:color="FFFFFF" w:themeColor="background1"/>
              <w:left w:val="dotted" w:sz="4" w:space="0" w:color="auto"/>
              <w:bottom w:val="dotted" w:sz="4" w:space="0" w:color="auto"/>
              <w:right w:val="dotted" w:sz="4" w:space="0" w:color="auto"/>
            </w:tcBorders>
          </w:tcPr>
          <w:p w:rsidR="00C24BF5" w:rsidRPr="00635C95" w:rsidRDefault="00C24BF5" w:rsidP="00E40B96">
            <w:pPr>
              <w:spacing w:before="60" w:after="60"/>
              <w:rPr>
                <w:rStyle w:val="IntenseReference"/>
                <w:rFonts w:ascii="Calibri" w:hAnsi="Calibri"/>
                <w:b w:val="0"/>
                <w:bCs w:val="0"/>
                <w:i w:val="0"/>
                <w:smallCaps w:val="0"/>
                <w:color w:val="000000" w:themeColor="text1"/>
              </w:rPr>
            </w:pPr>
            <w:r w:rsidRPr="00635C95">
              <w:rPr>
                <w:rFonts w:ascii="Calibri" w:eastAsia="Times New Roman" w:hAnsi="Calibri"/>
                <w:color w:val="000000" w:themeColor="text1"/>
              </w:rPr>
              <w:t>to inform or educate stakeholders in one-way communication, there is no invitation to respond</w:t>
            </w:r>
          </w:p>
        </w:tc>
        <w:tc>
          <w:tcPr>
            <w:tcW w:w="1838" w:type="dxa"/>
            <w:tcBorders>
              <w:top w:val="single" w:sz="4" w:space="0" w:color="FFFFFF" w:themeColor="background1"/>
              <w:left w:val="dotted" w:sz="4" w:space="0" w:color="auto"/>
              <w:bottom w:val="dotted" w:sz="4" w:space="0" w:color="auto"/>
              <w:right w:val="dotted" w:sz="4" w:space="0" w:color="auto"/>
            </w:tcBorders>
          </w:tcPr>
          <w:p w:rsidR="00C24BF5" w:rsidRPr="00635C95" w:rsidRDefault="00C24BF5" w:rsidP="00E40B96">
            <w:pPr>
              <w:spacing w:before="60" w:after="60"/>
              <w:rPr>
                <w:rStyle w:val="IntenseReference"/>
                <w:rFonts w:ascii="Calibri" w:hAnsi="Calibri"/>
                <w:b w:val="0"/>
                <w:bCs w:val="0"/>
                <w:i w:val="0"/>
                <w:smallCaps w:val="0"/>
                <w:color w:val="000000" w:themeColor="text1"/>
              </w:rPr>
            </w:pPr>
            <w:proofErr w:type="gramStart"/>
            <w:r w:rsidRPr="00635C95">
              <w:rPr>
                <w:rFonts w:ascii="Calibri" w:eastAsia="Times New Roman" w:hAnsi="Calibri"/>
                <w:color w:val="000000" w:themeColor="text1"/>
              </w:rPr>
              <w:t>to</w:t>
            </w:r>
            <w:proofErr w:type="gramEnd"/>
            <w:r w:rsidRPr="00635C95">
              <w:rPr>
                <w:rFonts w:ascii="Calibri" w:eastAsia="Times New Roman" w:hAnsi="Calibri"/>
                <w:color w:val="000000" w:themeColor="text1"/>
              </w:rPr>
              <w:t xml:space="preserve"> gain information and feedback from stakeholders to inform decisions made internally. Limited two-way communication - ask questions,   stakeholder provides answers</w:t>
            </w:r>
          </w:p>
        </w:tc>
        <w:tc>
          <w:tcPr>
            <w:tcW w:w="1838" w:type="dxa"/>
            <w:tcBorders>
              <w:top w:val="single" w:sz="4" w:space="0" w:color="FFFFFF" w:themeColor="background1"/>
              <w:left w:val="dotted" w:sz="4" w:space="0" w:color="auto"/>
              <w:bottom w:val="dotted" w:sz="4" w:space="0" w:color="auto"/>
              <w:right w:val="dotted" w:sz="4" w:space="0" w:color="auto"/>
            </w:tcBorders>
          </w:tcPr>
          <w:p w:rsidR="00C24BF5" w:rsidRPr="00635C95" w:rsidRDefault="00C24BF5" w:rsidP="00E40B96">
            <w:pPr>
              <w:spacing w:before="60" w:after="60"/>
              <w:rPr>
                <w:rStyle w:val="IntenseReference"/>
                <w:rFonts w:ascii="Calibri" w:hAnsi="Calibri"/>
                <w:b w:val="0"/>
                <w:bCs w:val="0"/>
                <w:i w:val="0"/>
                <w:smallCaps w:val="0"/>
                <w:color w:val="000000" w:themeColor="text1"/>
              </w:rPr>
            </w:pPr>
            <w:proofErr w:type="gramStart"/>
            <w:r w:rsidRPr="00635C95">
              <w:rPr>
                <w:rFonts w:ascii="Calibri" w:eastAsia="Times New Roman" w:hAnsi="Calibri"/>
                <w:color w:val="000000" w:themeColor="text1"/>
              </w:rPr>
              <w:t>to</w:t>
            </w:r>
            <w:proofErr w:type="gramEnd"/>
            <w:r w:rsidRPr="00635C95">
              <w:rPr>
                <w:rFonts w:ascii="Calibri" w:eastAsia="Times New Roman" w:hAnsi="Calibri"/>
                <w:color w:val="000000" w:themeColor="text1"/>
              </w:rPr>
              <w:t xml:space="preserve"> work directly with stakeholders throughout the process to ensure that issues and concerns are understood and considered. Two-way or multi-way communication where learning takes place on both sides</w:t>
            </w:r>
          </w:p>
        </w:tc>
        <w:tc>
          <w:tcPr>
            <w:tcW w:w="1855" w:type="dxa"/>
            <w:tcBorders>
              <w:top w:val="single" w:sz="4" w:space="0" w:color="FFFFFF" w:themeColor="background1"/>
              <w:left w:val="dotted" w:sz="4" w:space="0" w:color="auto"/>
              <w:bottom w:val="dotted" w:sz="4" w:space="0" w:color="auto"/>
              <w:right w:val="dotted" w:sz="4" w:space="0" w:color="auto"/>
            </w:tcBorders>
          </w:tcPr>
          <w:p w:rsidR="00C24BF5" w:rsidRPr="00635C95" w:rsidRDefault="00C24BF5" w:rsidP="00E40B96">
            <w:pPr>
              <w:spacing w:before="60" w:after="60"/>
              <w:rPr>
                <w:rStyle w:val="IntenseReference"/>
                <w:rFonts w:ascii="Calibri" w:hAnsi="Calibri"/>
                <w:b w:val="0"/>
                <w:bCs w:val="0"/>
                <w:i w:val="0"/>
                <w:smallCaps w:val="0"/>
                <w:color w:val="000000" w:themeColor="text1"/>
              </w:rPr>
            </w:pPr>
            <w:proofErr w:type="gramStart"/>
            <w:r w:rsidRPr="00635C95">
              <w:rPr>
                <w:rFonts w:ascii="Calibri" w:eastAsia="Times New Roman" w:hAnsi="Calibri"/>
                <w:color w:val="000000" w:themeColor="text1"/>
              </w:rPr>
              <w:t>to</w:t>
            </w:r>
            <w:proofErr w:type="gramEnd"/>
            <w:r w:rsidRPr="00635C95">
              <w:rPr>
                <w:rFonts w:ascii="Calibri" w:eastAsia="Times New Roman" w:hAnsi="Calibri"/>
                <w:color w:val="000000" w:themeColor="text1"/>
              </w:rPr>
              <w:t xml:space="preserve"> partner with stakeholder and/or stakeholder groups for the development of mutually agreed solutions and joint plan of action. Two-way/multi-way communication where learning, negotiation and decision making on both sides. Stakeholders work together to take action</w:t>
            </w:r>
          </w:p>
        </w:tc>
        <w:tc>
          <w:tcPr>
            <w:tcW w:w="1870" w:type="dxa"/>
            <w:tcBorders>
              <w:top w:val="single" w:sz="4" w:space="0" w:color="FFFFFF" w:themeColor="background1"/>
              <w:left w:val="dotted" w:sz="4" w:space="0" w:color="auto"/>
              <w:bottom w:val="dotted" w:sz="4" w:space="0" w:color="auto"/>
              <w:right w:val="dotted" w:sz="4" w:space="0" w:color="auto"/>
            </w:tcBorders>
          </w:tcPr>
          <w:p w:rsidR="00C24BF5" w:rsidRPr="00635C95" w:rsidRDefault="00C24BF5" w:rsidP="00E40B96">
            <w:pPr>
              <w:spacing w:before="60" w:after="60"/>
              <w:rPr>
                <w:rStyle w:val="IntenseReference"/>
                <w:rFonts w:ascii="Calibri" w:hAnsi="Calibri"/>
                <w:b w:val="0"/>
                <w:bCs w:val="0"/>
                <w:i w:val="0"/>
                <w:smallCaps w:val="0"/>
                <w:color w:val="000000" w:themeColor="text1"/>
              </w:rPr>
            </w:pPr>
            <w:proofErr w:type="gramStart"/>
            <w:r w:rsidRPr="00635C95">
              <w:rPr>
                <w:rFonts w:ascii="Calibri" w:eastAsia="Times New Roman" w:hAnsi="Calibri"/>
                <w:color w:val="000000" w:themeColor="text1"/>
              </w:rPr>
              <w:t>to</w:t>
            </w:r>
            <w:proofErr w:type="gramEnd"/>
            <w:r w:rsidRPr="00635C95">
              <w:rPr>
                <w:rFonts w:ascii="Calibri" w:eastAsia="Times New Roman" w:hAnsi="Calibri"/>
                <w:color w:val="000000" w:themeColor="text1"/>
              </w:rPr>
              <w:t xml:space="preserve"> delegate decision-making in the hands of the stakeholders on a particular issue. Stakeholders are enabled/equipped to actively contribute to the achievement of outcomes</w:t>
            </w:r>
          </w:p>
        </w:tc>
      </w:tr>
      <w:tr w:rsidR="00635C95" w:rsidRPr="00635C95" w:rsidTr="00311759">
        <w:tc>
          <w:tcPr>
            <w:tcW w:w="1841" w:type="dxa"/>
            <w:tcBorders>
              <w:top w:val="dotted" w:sz="4" w:space="0" w:color="auto"/>
              <w:left w:val="dotted" w:sz="4" w:space="0" w:color="auto"/>
              <w:bottom w:val="dotted" w:sz="4" w:space="0" w:color="auto"/>
              <w:right w:val="dotted" w:sz="4" w:space="0" w:color="auto"/>
            </w:tcBorders>
          </w:tcPr>
          <w:p w:rsidR="00C24BF5" w:rsidRPr="00635C95" w:rsidRDefault="00C24BF5" w:rsidP="00E40B96">
            <w:pPr>
              <w:spacing w:before="60" w:after="60"/>
              <w:rPr>
                <w:rStyle w:val="IntenseReference"/>
                <w:rFonts w:ascii="Calibri" w:hAnsi="Calibri"/>
                <w:b w:val="0"/>
                <w:bCs w:val="0"/>
                <w:i w:val="0"/>
                <w:smallCaps w:val="0"/>
                <w:color w:val="000000" w:themeColor="text1"/>
              </w:rPr>
            </w:pPr>
            <w:r w:rsidRPr="00635C95">
              <w:rPr>
                <w:rFonts w:ascii="Calibri" w:eastAsia="Times New Roman" w:hAnsi="Calibri"/>
                <w:i/>
                <w:iCs/>
                <w:color w:val="000000" w:themeColor="text1"/>
              </w:rPr>
              <w:t>We will keep you informed</w:t>
            </w:r>
          </w:p>
        </w:tc>
        <w:tc>
          <w:tcPr>
            <w:tcW w:w="1838" w:type="dxa"/>
            <w:tcBorders>
              <w:top w:val="dotted" w:sz="4" w:space="0" w:color="auto"/>
              <w:left w:val="dotted" w:sz="4" w:space="0" w:color="auto"/>
              <w:bottom w:val="dotted" w:sz="4" w:space="0" w:color="auto"/>
              <w:right w:val="dotted" w:sz="4" w:space="0" w:color="auto"/>
            </w:tcBorders>
          </w:tcPr>
          <w:p w:rsidR="00C24BF5" w:rsidRPr="00635C95" w:rsidRDefault="00C24BF5" w:rsidP="00E40B96">
            <w:pPr>
              <w:spacing w:before="60" w:after="60"/>
              <w:rPr>
                <w:rStyle w:val="IntenseReference"/>
                <w:rFonts w:ascii="Calibri" w:hAnsi="Calibri"/>
                <w:b w:val="0"/>
                <w:bCs w:val="0"/>
                <w:i w:val="0"/>
                <w:smallCaps w:val="0"/>
                <w:color w:val="000000" w:themeColor="text1"/>
              </w:rPr>
            </w:pPr>
            <w:r w:rsidRPr="00635C95">
              <w:rPr>
                <w:rFonts w:ascii="Calibri" w:eastAsia="Times New Roman" w:hAnsi="Calibri"/>
                <w:i/>
                <w:iCs/>
                <w:color w:val="000000" w:themeColor="text1"/>
              </w:rPr>
              <w:t>We will keep you informed, listen to your concerns, consider your insights, and provide feedback on our decisions</w:t>
            </w:r>
          </w:p>
        </w:tc>
        <w:tc>
          <w:tcPr>
            <w:tcW w:w="1838" w:type="dxa"/>
            <w:tcBorders>
              <w:top w:val="dotted" w:sz="4" w:space="0" w:color="auto"/>
              <w:left w:val="dotted" w:sz="4" w:space="0" w:color="auto"/>
              <w:bottom w:val="dotted" w:sz="4" w:space="0" w:color="auto"/>
              <w:right w:val="dotted" w:sz="4" w:space="0" w:color="auto"/>
            </w:tcBorders>
          </w:tcPr>
          <w:p w:rsidR="00C24BF5" w:rsidRPr="00635C95" w:rsidRDefault="00C24BF5" w:rsidP="00E40B96">
            <w:pPr>
              <w:spacing w:before="60" w:after="60"/>
              <w:rPr>
                <w:rStyle w:val="IntenseReference"/>
                <w:rFonts w:ascii="Calibri" w:hAnsi="Calibri"/>
                <w:b w:val="0"/>
                <w:bCs w:val="0"/>
                <w:i w:val="0"/>
                <w:smallCaps w:val="0"/>
                <w:color w:val="000000" w:themeColor="text1"/>
              </w:rPr>
            </w:pPr>
            <w:r w:rsidRPr="00635C95">
              <w:rPr>
                <w:rFonts w:ascii="Calibri" w:eastAsia="Times New Roman" w:hAnsi="Calibri"/>
                <w:i/>
                <w:iCs/>
                <w:color w:val="000000" w:themeColor="text1"/>
              </w:rPr>
              <w:t>We will work with you so that your concerns and issues are directly reflected in alternatives developed and provide feedback on how input influenced the outcome</w:t>
            </w:r>
          </w:p>
        </w:tc>
        <w:tc>
          <w:tcPr>
            <w:tcW w:w="1855" w:type="dxa"/>
            <w:tcBorders>
              <w:top w:val="dotted" w:sz="4" w:space="0" w:color="auto"/>
              <w:left w:val="dotted" w:sz="4" w:space="0" w:color="auto"/>
              <w:bottom w:val="dotted" w:sz="4" w:space="0" w:color="auto"/>
              <w:right w:val="dotted" w:sz="4" w:space="0" w:color="auto"/>
            </w:tcBorders>
          </w:tcPr>
          <w:p w:rsidR="00C24BF5" w:rsidRPr="00635C95" w:rsidRDefault="00C24BF5" w:rsidP="00E40B96">
            <w:pPr>
              <w:spacing w:before="60" w:after="60"/>
              <w:rPr>
                <w:rStyle w:val="IntenseReference"/>
                <w:rFonts w:ascii="Calibri" w:hAnsi="Calibri"/>
                <w:b w:val="0"/>
                <w:bCs w:val="0"/>
                <w:i w:val="0"/>
                <w:smallCaps w:val="0"/>
                <w:color w:val="000000" w:themeColor="text1"/>
              </w:rPr>
            </w:pPr>
            <w:r w:rsidRPr="00635C95">
              <w:rPr>
                <w:rFonts w:ascii="Calibri" w:eastAsia="Times New Roman" w:hAnsi="Calibri"/>
                <w:i/>
                <w:iCs/>
                <w:color w:val="000000" w:themeColor="text1"/>
              </w:rPr>
              <w:t>We will work together to agree on what we will implement  and incorporate your advice and recommendations into the outcomes to the maximum extent possible</w:t>
            </w:r>
          </w:p>
        </w:tc>
        <w:tc>
          <w:tcPr>
            <w:tcW w:w="1870" w:type="dxa"/>
            <w:tcBorders>
              <w:top w:val="dotted" w:sz="4" w:space="0" w:color="auto"/>
              <w:left w:val="dotted" w:sz="4" w:space="0" w:color="auto"/>
              <w:bottom w:val="dotted" w:sz="4" w:space="0" w:color="auto"/>
              <w:right w:val="dotted" w:sz="4" w:space="0" w:color="auto"/>
            </w:tcBorders>
          </w:tcPr>
          <w:p w:rsidR="00C24BF5" w:rsidRPr="00635C95" w:rsidRDefault="00C24BF5" w:rsidP="00E40B96">
            <w:pPr>
              <w:spacing w:before="60" w:after="60"/>
              <w:rPr>
                <w:rStyle w:val="IntenseReference"/>
                <w:rFonts w:ascii="Calibri" w:hAnsi="Calibri"/>
                <w:b w:val="0"/>
                <w:bCs w:val="0"/>
                <w:i w:val="0"/>
                <w:smallCaps w:val="0"/>
                <w:color w:val="000000" w:themeColor="text1"/>
              </w:rPr>
            </w:pPr>
            <w:r w:rsidRPr="00635C95">
              <w:rPr>
                <w:rFonts w:ascii="Calibri" w:eastAsia="Times New Roman" w:hAnsi="Calibri"/>
                <w:i/>
                <w:iCs/>
                <w:color w:val="000000" w:themeColor="text1"/>
              </w:rPr>
              <w:t>We will implement what you decide and we will support and complement your actions</w:t>
            </w:r>
          </w:p>
        </w:tc>
      </w:tr>
    </w:tbl>
    <w:p w:rsidR="009975D6" w:rsidRPr="00635C95" w:rsidRDefault="00F4019C" w:rsidP="00736BC4">
      <w:pPr>
        <w:pageBreakBefore/>
        <w:spacing w:after="360"/>
        <w:rPr>
          <w:rFonts w:ascii="Calibri" w:hAnsi="Calibri"/>
          <w:color w:val="000000" w:themeColor="text1"/>
        </w:rPr>
      </w:pPr>
      <w:r w:rsidRPr="00635C95">
        <w:rPr>
          <w:rFonts w:ascii="Calibri" w:hAnsi="Calibri"/>
          <w:color w:val="000000" w:themeColor="text1"/>
        </w:rPr>
        <w:lastRenderedPageBreak/>
        <w:t xml:space="preserve">The table below provides an outline of suggested ways in which you can engage stakeholders according to each </w:t>
      </w:r>
      <w:r w:rsidR="00F54283" w:rsidRPr="00635C95">
        <w:rPr>
          <w:rFonts w:ascii="Calibri" w:hAnsi="Calibri"/>
          <w:color w:val="000000" w:themeColor="text1"/>
        </w:rPr>
        <w:t xml:space="preserve">level </w:t>
      </w:r>
      <w:r w:rsidRPr="00635C95">
        <w:rPr>
          <w:rFonts w:ascii="Calibri" w:hAnsi="Calibri"/>
          <w:color w:val="000000" w:themeColor="text1"/>
        </w:rPr>
        <w:t xml:space="preserve">of engagement. </w:t>
      </w:r>
      <w:r w:rsidR="007A44A8" w:rsidRPr="00635C95">
        <w:rPr>
          <w:rFonts w:ascii="Calibri" w:hAnsi="Calibri"/>
          <w:color w:val="000000" w:themeColor="text1"/>
        </w:rPr>
        <w:t>Our activities across the department are diverse, so it would be expected that engagement will occur at all levels.</w:t>
      </w:r>
    </w:p>
    <w:p w:rsidR="00311759" w:rsidRPr="00EB0036" w:rsidRDefault="009975D6" w:rsidP="009975D6">
      <w:pPr>
        <w:spacing w:before="0" w:after="0"/>
        <w:rPr>
          <w:rFonts w:ascii="Calibri" w:hAnsi="Calibri"/>
        </w:rPr>
      </w:pPr>
      <w:r>
        <w:rPr>
          <w:rFonts w:ascii="Calibri" w:hAnsi="Calibri"/>
          <w:noProof/>
          <w:color w:val="4BACC6" w:themeColor="accent5"/>
          <w:sz w:val="16"/>
          <w:szCs w:val="16"/>
          <w:lang w:eastAsia="en-AU"/>
        </w:rPr>
        <w:drawing>
          <wp:inline distT="0" distB="0" distL="0" distR="0" wp14:anchorId="2AC62531" wp14:editId="0E8DA09F">
            <wp:extent cx="6039134" cy="2161989"/>
            <wp:effectExtent l="0" t="0" r="0" b="0"/>
            <wp:docPr id="292" name="Picture 292" descr="Suggested methods for engagement:&#10;Inform:&#10;- Fact sheets and websites&#10;- Bulletins and letters&#10;- Corporate documents (annual reports)&#10;- Speeches, conference and public presentations&#10;- Media releases and advertising. &#10;Consult:&#10;- Surveys&#10;- Focus groups&#10;- One-on-one meetings&#10;- Public meetings and workshops&#10;- On-line feedback and discussion.&#10;Involve:&#10;- Multi-stakeholder forums&#10;- Advisory panels&#10;- Consultative committees&#10;- Participatory decision making processes&#10;- Workshops.&#10;Collaborate:&#10;- Reference groups&#10;- Joint projects&#10;- Multi-stakeholder initiatives&#10;- Partnerships.&#10;Empower:&#10;- Integration of stakeholders into governance structure (e.g. as members or shareholders on particular committe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4858" cy="2164038"/>
                    </a:xfrm>
                    <a:prstGeom prst="rect">
                      <a:avLst/>
                    </a:prstGeom>
                    <a:noFill/>
                  </pic:spPr>
                </pic:pic>
              </a:graphicData>
            </a:graphic>
          </wp:inline>
        </w:drawing>
      </w:r>
    </w:p>
    <w:p w:rsidR="003A351D" w:rsidRDefault="00547C04" w:rsidP="00297ED4">
      <w:pPr>
        <w:spacing w:before="360" w:after="120"/>
        <w:rPr>
          <w:rFonts w:ascii="Calibri" w:hAnsi="Calibri"/>
        </w:rPr>
      </w:pPr>
      <w:r w:rsidRPr="00DF78C4">
        <w:rPr>
          <w:rFonts w:ascii="Calibri" w:hAnsi="Calibri"/>
        </w:rPr>
        <w:t xml:space="preserve">At lower levels, it may be determined that engagement simply means ensuring stakeholders are well informed about our processes and outcomes. At higher levels, this approach shows that for some issues we may seek more direct stakeholder input. The level of </w:t>
      </w:r>
      <w:r w:rsidR="00DD4661">
        <w:rPr>
          <w:rFonts w:ascii="Calibri" w:hAnsi="Calibri"/>
        </w:rPr>
        <w:t>approach applied</w:t>
      </w:r>
      <w:r w:rsidRPr="00DF78C4">
        <w:rPr>
          <w:rFonts w:ascii="Calibri" w:hAnsi="Calibri"/>
        </w:rPr>
        <w:t xml:space="preserve"> will be determined by </w:t>
      </w:r>
      <w:r w:rsidR="00DD4661">
        <w:rPr>
          <w:rFonts w:ascii="Calibri" w:hAnsi="Calibri"/>
        </w:rPr>
        <w:t xml:space="preserve">the purpose of the engagement, </w:t>
      </w:r>
      <w:r w:rsidRPr="00DF78C4">
        <w:rPr>
          <w:rFonts w:ascii="Calibri" w:hAnsi="Calibri"/>
        </w:rPr>
        <w:t xml:space="preserve">our role and responsibilities, </w:t>
      </w:r>
      <w:r w:rsidR="00DD4661">
        <w:rPr>
          <w:rFonts w:ascii="Calibri" w:hAnsi="Calibri"/>
        </w:rPr>
        <w:t xml:space="preserve">and </w:t>
      </w:r>
      <w:r w:rsidRPr="00DF78C4">
        <w:rPr>
          <w:rFonts w:ascii="Calibri" w:hAnsi="Calibri"/>
        </w:rPr>
        <w:t>the issue</w:t>
      </w:r>
      <w:r w:rsidR="00DD4661">
        <w:rPr>
          <w:rFonts w:ascii="Calibri" w:hAnsi="Calibri"/>
        </w:rPr>
        <w:t xml:space="preserve"> or issues</w:t>
      </w:r>
      <w:r w:rsidRPr="00DF78C4">
        <w:rPr>
          <w:rFonts w:ascii="Calibri" w:hAnsi="Calibri"/>
        </w:rPr>
        <w:t xml:space="preserve"> being considered.</w:t>
      </w:r>
    </w:p>
    <w:p w:rsidR="008427A7" w:rsidRDefault="003A351D" w:rsidP="00297ED4">
      <w:pPr>
        <w:spacing w:before="120" w:after="360"/>
        <w:rPr>
          <w:rFonts w:ascii="Calibri" w:hAnsi="Calibri"/>
        </w:rPr>
      </w:pPr>
      <w:r>
        <w:rPr>
          <w:rFonts w:ascii="Calibri" w:hAnsi="Calibri"/>
        </w:rPr>
        <w:t xml:space="preserve">Three additional levels of engagement </w:t>
      </w:r>
      <w:r w:rsidR="008427A7">
        <w:rPr>
          <w:rFonts w:ascii="Calibri" w:hAnsi="Calibri"/>
        </w:rPr>
        <w:t>also</w:t>
      </w:r>
      <w:r>
        <w:rPr>
          <w:rFonts w:ascii="Calibri" w:hAnsi="Calibri"/>
        </w:rPr>
        <w:t xml:space="preserve"> exist – they are </w:t>
      </w:r>
      <w:r w:rsidRPr="003A351D">
        <w:rPr>
          <w:rFonts w:ascii="Calibri" w:hAnsi="Calibri"/>
        </w:rPr>
        <w:t>Remain Passive</w:t>
      </w:r>
      <w:r>
        <w:rPr>
          <w:rFonts w:ascii="Calibri" w:hAnsi="Calibri"/>
        </w:rPr>
        <w:t xml:space="preserve">, </w:t>
      </w:r>
      <w:r w:rsidRPr="003A351D">
        <w:rPr>
          <w:rFonts w:ascii="Calibri" w:hAnsi="Calibri"/>
        </w:rPr>
        <w:t>Monitor</w:t>
      </w:r>
      <w:r>
        <w:rPr>
          <w:rFonts w:ascii="Calibri" w:hAnsi="Calibri"/>
        </w:rPr>
        <w:t xml:space="preserve"> and </w:t>
      </w:r>
      <w:r w:rsidRPr="003A351D">
        <w:rPr>
          <w:rFonts w:ascii="Calibri" w:hAnsi="Calibri"/>
        </w:rPr>
        <w:t>Transact</w:t>
      </w:r>
      <w:r>
        <w:rPr>
          <w:rFonts w:ascii="Calibri" w:hAnsi="Calibri"/>
        </w:rPr>
        <w:t xml:space="preserve"> as shown below. These can be viewed as not valid engagement, however they can often be the first steps in a building a relationship with stakeholders that can lead to more interactive and effective engagement.</w:t>
      </w:r>
    </w:p>
    <w:p w:rsidR="008427A7" w:rsidRDefault="008427A7" w:rsidP="008427A7">
      <w:pPr>
        <w:spacing w:before="120" w:after="120"/>
        <w:jc w:val="center"/>
        <w:rPr>
          <w:rFonts w:ascii="Calibri" w:hAnsi="Calibri"/>
        </w:rPr>
      </w:pPr>
      <w:r>
        <w:rPr>
          <w:rFonts w:ascii="Calibri" w:hAnsi="Calibri"/>
          <w:noProof/>
          <w:lang w:eastAsia="en-AU"/>
        </w:rPr>
        <w:drawing>
          <wp:inline distT="0" distB="0" distL="0" distR="0" wp14:anchorId="6A57A2BD" wp14:editId="3F0B2898">
            <wp:extent cx="4566285" cy="2304415"/>
            <wp:effectExtent l="0" t="0" r="5715" b="0"/>
            <wp:docPr id="1" name="Picture 1" descr="Three further levels of engagement.&#10;- Remain passive: There is no goal and no engagement at this level of participation. There is no active communication and there is no real relationship. An example of this level could include the stakeholder expressed concern through the protest, letters, media, websites etc. or pressure via advocacy efforts.&#10;- Monitor: There is one-way communication to monitor the views of stakeholders. There is no relationship. An example of this level could include media and internet tracking or monitoring or a dependency on second hand reports from other stakeholders.&#10;- Transact: To work together in a contractual relationship where one partner directs the objectives and provides funding. There is limited two-way communication – setting and monitoring performance according to the terms of the contract. &#10;It should be noted that when viewing these levels as though they were a part of the increasing levels of engagement model, Monitor and Transact would sit either side of the Inform method of engage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66285" cy="2304415"/>
                    </a:xfrm>
                    <a:prstGeom prst="rect">
                      <a:avLst/>
                    </a:prstGeom>
                    <a:noFill/>
                  </pic:spPr>
                </pic:pic>
              </a:graphicData>
            </a:graphic>
          </wp:inline>
        </w:drawing>
      </w:r>
    </w:p>
    <w:p w:rsidR="0053661C" w:rsidRPr="00E8545F" w:rsidRDefault="008C2C5E" w:rsidP="00D6239B">
      <w:pPr>
        <w:pStyle w:val="Heading1"/>
      </w:pPr>
      <w:bookmarkStart w:id="19" w:name="_Toc422233023"/>
      <w:bookmarkStart w:id="20" w:name="_Toc482859637"/>
      <w:r w:rsidRPr="00E8545F">
        <w:lastRenderedPageBreak/>
        <w:t>W</w:t>
      </w:r>
      <w:r w:rsidR="0053661C" w:rsidRPr="00E8545F">
        <w:t>hat can inhibit effective engagement?</w:t>
      </w:r>
      <w:bookmarkEnd w:id="19"/>
      <w:bookmarkEnd w:id="20"/>
    </w:p>
    <w:p w:rsidR="002A7A7F" w:rsidRDefault="002A7A7F" w:rsidP="001B206E">
      <w:pPr>
        <w:spacing w:before="240" w:after="0" w:line="240" w:lineRule="auto"/>
        <w:rPr>
          <w:rFonts w:ascii="Calibri" w:hAnsi="Calibri"/>
        </w:rPr>
      </w:pPr>
      <w:r>
        <w:rPr>
          <w:rFonts w:ascii="Calibri" w:hAnsi="Calibri"/>
        </w:rPr>
        <w:t>The department recommends considering the following barriers to effective engagement, as set out by the Department of Prime Minister and Cabinet (PMC).</w:t>
      </w:r>
      <w:r>
        <w:rPr>
          <w:rStyle w:val="FootnoteReference"/>
          <w:rFonts w:ascii="Calibri" w:hAnsi="Calibri"/>
        </w:rPr>
        <w:footnoteReference w:id="2"/>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contains common issues found throughout stakeholder engagement practices. It has two columns. Read across for potential issue and method for mitigation."/>
      </w:tblPr>
      <w:tblGrid>
        <w:gridCol w:w="1951"/>
        <w:gridCol w:w="7291"/>
      </w:tblGrid>
      <w:tr w:rsidR="00DC0A70" w:rsidTr="007D5419">
        <w:trPr>
          <w:tblHeader/>
        </w:trPr>
        <w:tc>
          <w:tcPr>
            <w:tcW w:w="1951" w:type="dxa"/>
          </w:tcPr>
          <w:p w:rsidR="00DC0A70" w:rsidRPr="00FA19BB" w:rsidRDefault="00DC0A70" w:rsidP="00DC0A70">
            <w:pPr>
              <w:rPr>
                <w:rFonts w:ascii="Arial" w:eastAsiaTheme="majorEastAsia" w:hAnsi="Arial" w:cstheme="majorBidi"/>
                <w:b/>
                <w:bCs/>
                <w:color w:val="153F7A"/>
                <w:sz w:val="24"/>
                <w:szCs w:val="24"/>
              </w:rPr>
            </w:pPr>
            <w:r w:rsidRPr="00FA19BB">
              <w:rPr>
                <w:rFonts w:ascii="Arial" w:eastAsiaTheme="majorEastAsia" w:hAnsi="Arial" w:cstheme="majorBidi"/>
                <w:b/>
                <w:bCs/>
                <w:color w:val="153F7A"/>
                <w:sz w:val="24"/>
                <w:szCs w:val="24"/>
              </w:rPr>
              <w:t>Potential Issue</w:t>
            </w:r>
          </w:p>
        </w:tc>
        <w:tc>
          <w:tcPr>
            <w:tcW w:w="7291" w:type="dxa"/>
          </w:tcPr>
          <w:p w:rsidR="00DC0A70" w:rsidRPr="0053661C" w:rsidRDefault="00FA19BB" w:rsidP="00FA19BB">
            <w:pPr>
              <w:jc w:val="center"/>
              <w:rPr>
                <w:rFonts w:ascii="Calibri" w:hAnsi="Calibri"/>
              </w:rPr>
            </w:pPr>
            <w:r>
              <w:rPr>
                <w:rFonts w:ascii="Arial" w:eastAsiaTheme="majorEastAsia" w:hAnsi="Arial" w:cstheme="majorBidi"/>
                <w:b/>
                <w:bCs/>
                <w:color w:val="153F7A"/>
                <w:sz w:val="24"/>
                <w:szCs w:val="24"/>
              </w:rPr>
              <w:t>Method for Mitigation</w:t>
            </w:r>
          </w:p>
        </w:tc>
      </w:tr>
      <w:tr w:rsidR="00A428FB" w:rsidTr="001B206E">
        <w:tc>
          <w:tcPr>
            <w:tcW w:w="1951" w:type="dxa"/>
          </w:tcPr>
          <w:p w:rsidR="00A428FB" w:rsidRDefault="00A428FB" w:rsidP="001B206E">
            <w:pPr>
              <w:rPr>
                <w:rFonts w:ascii="Calibri" w:hAnsi="Calibri"/>
              </w:rPr>
            </w:pPr>
            <w:r w:rsidRPr="003C43F2">
              <w:rPr>
                <w:rFonts w:ascii="Arial" w:eastAsiaTheme="majorEastAsia" w:hAnsi="Arial" w:cstheme="majorBidi"/>
                <w:bCs/>
                <w:color w:val="153F7A"/>
                <w:sz w:val="24"/>
                <w:szCs w:val="24"/>
              </w:rPr>
              <w:t>Unclear purpose</w:t>
            </w:r>
          </w:p>
        </w:tc>
        <w:tc>
          <w:tcPr>
            <w:tcW w:w="7291" w:type="dxa"/>
          </w:tcPr>
          <w:p w:rsidR="00A428FB" w:rsidRDefault="00A428FB" w:rsidP="001B206E">
            <w:pPr>
              <w:spacing w:after="200"/>
              <w:rPr>
                <w:rFonts w:ascii="Calibri" w:hAnsi="Calibri"/>
              </w:rPr>
            </w:pPr>
            <w:r w:rsidRPr="0053661C">
              <w:rPr>
                <w:rFonts w:ascii="Calibri" w:hAnsi="Calibri"/>
              </w:rPr>
              <w:t>If the purpose of the engagement is poorly defined, all the activities that follow will be affected, including the identification of stakeholders, determining the methods to be used, and managing stakeholder expectations. You may need to involve stakeholders in defining the purpose of the engagement.</w:t>
            </w:r>
          </w:p>
        </w:tc>
      </w:tr>
      <w:tr w:rsidR="00A428FB" w:rsidTr="001B206E">
        <w:tc>
          <w:tcPr>
            <w:tcW w:w="1951" w:type="dxa"/>
          </w:tcPr>
          <w:p w:rsidR="00A428FB" w:rsidRPr="003C43F2" w:rsidRDefault="00A428FB" w:rsidP="001B206E">
            <w:pPr>
              <w:rPr>
                <w:rFonts w:ascii="Arial" w:eastAsiaTheme="majorEastAsia" w:hAnsi="Arial" w:cstheme="majorBidi"/>
                <w:bCs/>
                <w:color w:val="153F7A"/>
                <w:sz w:val="24"/>
                <w:szCs w:val="24"/>
              </w:rPr>
            </w:pPr>
            <w:r>
              <w:rPr>
                <w:rFonts w:ascii="Arial" w:eastAsiaTheme="majorEastAsia" w:hAnsi="Arial" w:cstheme="majorBidi"/>
                <w:bCs/>
                <w:color w:val="153F7A"/>
                <w:sz w:val="24"/>
                <w:szCs w:val="24"/>
              </w:rPr>
              <w:t>Differing capacity of stakeholders</w:t>
            </w:r>
          </w:p>
        </w:tc>
        <w:tc>
          <w:tcPr>
            <w:tcW w:w="7291" w:type="dxa"/>
          </w:tcPr>
          <w:p w:rsidR="00A428FB" w:rsidRPr="0053661C" w:rsidRDefault="00A428FB" w:rsidP="001B206E">
            <w:pPr>
              <w:spacing w:after="200"/>
              <w:rPr>
                <w:rFonts w:ascii="Calibri" w:hAnsi="Calibri"/>
              </w:rPr>
            </w:pPr>
            <w:r w:rsidRPr="0053661C">
              <w:rPr>
                <w:rFonts w:ascii="Calibri" w:hAnsi="Calibri"/>
              </w:rPr>
              <w:t>Stakeholders can sometimes have different levels of skills and experience in engaging with government. This can affect their ability to fully participate in an initiative, as well as the quality of the information they provide. You may need to work with some stakeholders to build their capacity to contribute, or offer modified or different models of engagement.</w:t>
            </w:r>
          </w:p>
        </w:tc>
      </w:tr>
      <w:tr w:rsidR="00A428FB" w:rsidTr="001B206E">
        <w:tc>
          <w:tcPr>
            <w:tcW w:w="1951" w:type="dxa"/>
          </w:tcPr>
          <w:p w:rsidR="00A428FB" w:rsidRDefault="00A428FB" w:rsidP="001B206E">
            <w:pPr>
              <w:rPr>
                <w:rFonts w:ascii="Arial" w:eastAsiaTheme="majorEastAsia" w:hAnsi="Arial" w:cstheme="majorBidi"/>
                <w:bCs/>
                <w:color w:val="153F7A"/>
                <w:sz w:val="24"/>
                <w:szCs w:val="24"/>
              </w:rPr>
            </w:pPr>
            <w:r>
              <w:rPr>
                <w:rFonts w:ascii="Arial" w:eastAsiaTheme="majorEastAsia" w:hAnsi="Arial" w:cstheme="majorBidi"/>
                <w:bCs/>
                <w:color w:val="153F7A"/>
                <w:sz w:val="24"/>
                <w:szCs w:val="24"/>
              </w:rPr>
              <w:t>Insufficient skills in the team</w:t>
            </w:r>
          </w:p>
        </w:tc>
        <w:tc>
          <w:tcPr>
            <w:tcW w:w="7291" w:type="dxa"/>
          </w:tcPr>
          <w:p w:rsidR="00A428FB" w:rsidRPr="0053661C" w:rsidRDefault="001B206E" w:rsidP="001B206E">
            <w:pPr>
              <w:spacing w:after="200"/>
              <w:rPr>
                <w:rFonts w:ascii="Calibri" w:hAnsi="Calibri"/>
              </w:rPr>
            </w:pPr>
            <w:r w:rsidRPr="008C2C5E">
              <w:rPr>
                <w:rFonts w:ascii="Calibri" w:hAnsi="Calibri"/>
              </w:rPr>
              <w:t>Effective stakeholder engagement requires a specific skill set. The absence of the right skills can hinder collaboration across organisational boundaries and make it hard to identify issues and opportunities. This can result in damaged relationships between government and stakeholders, and poor quality advice and information. During the planning stages, identify skills available and skills required at subsequent stages. Explore options to develop skills and/or engage external expertise.</w:t>
            </w:r>
          </w:p>
        </w:tc>
      </w:tr>
      <w:tr w:rsidR="001B206E" w:rsidTr="001B206E">
        <w:tc>
          <w:tcPr>
            <w:tcW w:w="1951" w:type="dxa"/>
          </w:tcPr>
          <w:p w:rsidR="001B206E" w:rsidRDefault="001B206E" w:rsidP="001B206E">
            <w:pPr>
              <w:rPr>
                <w:rFonts w:ascii="Arial" w:eastAsiaTheme="majorEastAsia" w:hAnsi="Arial" w:cstheme="majorBidi"/>
                <w:bCs/>
                <w:color w:val="153F7A"/>
                <w:sz w:val="24"/>
                <w:szCs w:val="24"/>
              </w:rPr>
            </w:pPr>
            <w:r>
              <w:rPr>
                <w:rFonts w:ascii="Arial" w:eastAsiaTheme="majorEastAsia" w:hAnsi="Arial" w:cstheme="majorBidi"/>
                <w:bCs/>
                <w:color w:val="153F7A"/>
                <w:sz w:val="24"/>
                <w:szCs w:val="24"/>
              </w:rPr>
              <w:t>Unfocused dialogue</w:t>
            </w:r>
          </w:p>
        </w:tc>
        <w:tc>
          <w:tcPr>
            <w:tcW w:w="7291" w:type="dxa"/>
          </w:tcPr>
          <w:p w:rsidR="001B206E" w:rsidRPr="008C2C5E" w:rsidRDefault="001B206E" w:rsidP="001B206E">
            <w:pPr>
              <w:spacing w:after="200"/>
              <w:rPr>
                <w:rFonts w:ascii="Calibri" w:hAnsi="Calibri"/>
              </w:rPr>
            </w:pPr>
            <w:r>
              <w:rPr>
                <w:rFonts w:ascii="Calibri" w:hAnsi="Calibri"/>
              </w:rPr>
              <w:t xml:space="preserve">Stakeholder engagement can </w:t>
            </w:r>
            <w:r w:rsidRPr="00D212D8">
              <w:rPr>
                <w:rFonts w:ascii="Calibri" w:hAnsi="Calibri"/>
              </w:rPr>
              <w:t>cover a range of issues that are important to stakeholders bu</w:t>
            </w:r>
            <w:r>
              <w:rPr>
                <w:rFonts w:ascii="Calibri" w:hAnsi="Calibri"/>
              </w:rPr>
              <w:t>t</w:t>
            </w:r>
            <w:r w:rsidRPr="00D212D8">
              <w:rPr>
                <w:rFonts w:ascii="Calibri" w:hAnsi="Calibri"/>
              </w:rPr>
              <w:t xml:space="preserve"> may be less so to the initiative. If this happens, it can distract from obtaining relevant input. </w:t>
            </w:r>
            <w:r>
              <w:rPr>
                <w:rFonts w:ascii="Calibri" w:hAnsi="Calibri"/>
              </w:rPr>
              <w:t>The engagement plan should be clear on what issues are relevant and how to manage and respond to any ad hoc issues that are raised. Responding to ad hoc issues thoughtfully is important. For example, there may be another area in the department where those issues could be considered further.</w:t>
            </w:r>
          </w:p>
        </w:tc>
      </w:tr>
      <w:tr w:rsidR="001B206E" w:rsidTr="001B206E">
        <w:tc>
          <w:tcPr>
            <w:tcW w:w="1951" w:type="dxa"/>
          </w:tcPr>
          <w:p w:rsidR="001B206E" w:rsidRDefault="001B206E" w:rsidP="001B206E">
            <w:pPr>
              <w:rPr>
                <w:rFonts w:ascii="Arial" w:eastAsiaTheme="majorEastAsia" w:hAnsi="Arial" w:cstheme="majorBidi"/>
                <w:bCs/>
                <w:color w:val="153F7A"/>
                <w:sz w:val="24"/>
                <w:szCs w:val="24"/>
              </w:rPr>
            </w:pPr>
            <w:r>
              <w:rPr>
                <w:rFonts w:ascii="Arial" w:eastAsiaTheme="majorEastAsia" w:hAnsi="Arial" w:cstheme="majorBidi"/>
                <w:bCs/>
                <w:color w:val="153F7A"/>
                <w:sz w:val="24"/>
                <w:szCs w:val="24"/>
              </w:rPr>
              <w:t>Failure to review and evaluate</w:t>
            </w:r>
          </w:p>
        </w:tc>
        <w:tc>
          <w:tcPr>
            <w:tcW w:w="7291" w:type="dxa"/>
          </w:tcPr>
          <w:p w:rsidR="001B206E" w:rsidRDefault="001B206E" w:rsidP="001B206E">
            <w:pPr>
              <w:spacing w:after="200"/>
              <w:rPr>
                <w:rFonts w:ascii="Calibri" w:hAnsi="Calibri"/>
              </w:rPr>
            </w:pPr>
            <w:r w:rsidRPr="004F184E">
              <w:rPr>
                <w:rFonts w:ascii="Calibri" w:hAnsi="Calibri"/>
              </w:rPr>
              <w:t>Without robust review and evaluation it is difficult to know if the approach is working and whether changes are needed. Failure to review and evaluate also reduces the ability to learn from and improve engagement. The engagement plan should include review points throughout the policy design and implementation, with flexibility to adjust the approach if needed.</w:t>
            </w:r>
          </w:p>
        </w:tc>
      </w:tr>
    </w:tbl>
    <w:p w:rsidR="003F17C7" w:rsidRPr="004C4C84" w:rsidRDefault="003F17C7" w:rsidP="00D6239B">
      <w:pPr>
        <w:pStyle w:val="Heading1"/>
      </w:pPr>
      <w:bookmarkStart w:id="21" w:name="_Toc482859638"/>
      <w:r>
        <w:lastRenderedPageBreak/>
        <w:t xml:space="preserve">Strategies for </w:t>
      </w:r>
      <w:r w:rsidRPr="004C4C84">
        <w:t>Success</w:t>
      </w:r>
      <w:bookmarkEnd w:id="21"/>
    </w:p>
    <w:p w:rsidR="00CB26D2" w:rsidRPr="002A7A7F" w:rsidRDefault="00DD4661" w:rsidP="00980A0F">
      <w:pPr>
        <w:pStyle w:val="ListParagraph"/>
        <w:numPr>
          <w:ilvl w:val="0"/>
          <w:numId w:val="35"/>
        </w:numPr>
      </w:pPr>
      <w:r w:rsidRPr="002A7A7F">
        <w:t xml:space="preserve">Commit to </w:t>
      </w:r>
      <w:r w:rsidR="003F17C7" w:rsidRPr="002A7A7F">
        <w:t xml:space="preserve">action </w:t>
      </w:r>
    </w:p>
    <w:p w:rsidR="00CB26D2" w:rsidRPr="00304051" w:rsidRDefault="00CB26D2" w:rsidP="00980A0F">
      <w:pPr>
        <w:pStyle w:val="ListParagraph"/>
        <w:numPr>
          <w:ilvl w:val="0"/>
          <w:numId w:val="35"/>
        </w:numPr>
      </w:pPr>
      <w:r w:rsidRPr="00304051">
        <w:t>Manage time and resources</w:t>
      </w:r>
    </w:p>
    <w:p w:rsidR="00CB26D2" w:rsidRPr="00304051" w:rsidRDefault="00CB26D2" w:rsidP="00980A0F">
      <w:pPr>
        <w:pStyle w:val="ListParagraph"/>
        <w:numPr>
          <w:ilvl w:val="0"/>
          <w:numId w:val="35"/>
        </w:numPr>
      </w:pPr>
      <w:r w:rsidRPr="00304051">
        <w:t>Map your stakeholders and get the right stakeholders to the table</w:t>
      </w:r>
    </w:p>
    <w:p w:rsidR="00CB26D2" w:rsidRPr="00304051" w:rsidRDefault="00CB26D2" w:rsidP="00980A0F">
      <w:pPr>
        <w:pStyle w:val="ListParagraph"/>
        <w:numPr>
          <w:ilvl w:val="0"/>
          <w:numId w:val="35"/>
        </w:numPr>
      </w:pPr>
      <w:r w:rsidRPr="00304051">
        <w:t>Agree on the rules of engagement</w:t>
      </w:r>
    </w:p>
    <w:p w:rsidR="00CB26D2" w:rsidRPr="00304051" w:rsidRDefault="00CB26D2" w:rsidP="00980A0F">
      <w:pPr>
        <w:pStyle w:val="ListParagraph"/>
        <w:numPr>
          <w:ilvl w:val="0"/>
          <w:numId w:val="35"/>
        </w:numPr>
      </w:pPr>
      <w:r w:rsidRPr="00304051">
        <w:t>Plan the engagement and manage expectations</w:t>
      </w:r>
    </w:p>
    <w:p w:rsidR="00CB26D2" w:rsidRPr="00304051" w:rsidRDefault="00CB26D2" w:rsidP="00980A0F">
      <w:pPr>
        <w:pStyle w:val="ListParagraph"/>
        <w:numPr>
          <w:ilvl w:val="0"/>
          <w:numId w:val="35"/>
        </w:numPr>
      </w:pPr>
      <w:r w:rsidRPr="00304051">
        <w:t>Ensure a coherent approach across the department</w:t>
      </w:r>
    </w:p>
    <w:p w:rsidR="00CB26D2" w:rsidRPr="00304051" w:rsidRDefault="00CB26D2" w:rsidP="00980A0F">
      <w:pPr>
        <w:pStyle w:val="ListParagraph"/>
        <w:numPr>
          <w:ilvl w:val="0"/>
          <w:numId w:val="35"/>
        </w:numPr>
      </w:pPr>
      <w:r w:rsidRPr="00304051">
        <w:t>Use a mixed or fit-for-purpose approach</w:t>
      </w:r>
    </w:p>
    <w:p w:rsidR="00CB26D2" w:rsidRPr="00304051" w:rsidRDefault="00CB26D2" w:rsidP="00980A0F">
      <w:pPr>
        <w:pStyle w:val="ListParagraph"/>
        <w:numPr>
          <w:ilvl w:val="0"/>
          <w:numId w:val="35"/>
        </w:numPr>
      </w:pPr>
      <w:r w:rsidRPr="00304051">
        <w:t>Use consistent and appropriate messages</w:t>
      </w:r>
    </w:p>
    <w:p w:rsidR="00CB26D2" w:rsidRPr="00304051" w:rsidRDefault="00CB26D2" w:rsidP="00980A0F">
      <w:pPr>
        <w:pStyle w:val="ListParagraph"/>
        <w:numPr>
          <w:ilvl w:val="0"/>
          <w:numId w:val="35"/>
        </w:numPr>
      </w:pPr>
      <w:r w:rsidRPr="00304051">
        <w:t>Act with transparency and accountability</w:t>
      </w:r>
    </w:p>
    <w:p w:rsidR="00CB26D2" w:rsidRPr="00304051" w:rsidRDefault="00CB26D2" w:rsidP="00980A0F">
      <w:pPr>
        <w:pStyle w:val="ListParagraph"/>
        <w:numPr>
          <w:ilvl w:val="0"/>
          <w:numId w:val="35"/>
        </w:numPr>
      </w:pPr>
      <w:r w:rsidRPr="00304051">
        <w:t>Learn from others</w:t>
      </w:r>
    </w:p>
    <w:p w:rsidR="00CB26D2" w:rsidRPr="00304051" w:rsidRDefault="00CB26D2" w:rsidP="00980A0F">
      <w:pPr>
        <w:pStyle w:val="ListParagraph"/>
        <w:numPr>
          <w:ilvl w:val="0"/>
          <w:numId w:val="35"/>
        </w:numPr>
      </w:pPr>
      <w:r w:rsidRPr="00304051">
        <w:t>Use the information you collect</w:t>
      </w:r>
    </w:p>
    <w:p w:rsidR="00CB26D2" w:rsidRPr="00304051" w:rsidRDefault="00CB26D2" w:rsidP="00980A0F">
      <w:pPr>
        <w:pStyle w:val="ListParagraph"/>
        <w:numPr>
          <w:ilvl w:val="0"/>
          <w:numId w:val="35"/>
        </w:numPr>
      </w:pPr>
      <w:r w:rsidRPr="00304051">
        <w:t>Be focussed and flexible</w:t>
      </w:r>
    </w:p>
    <w:p w:rsidR="00CB26D2" w:rsidRPr="00304051" w:rsidRDefault="00CB26D2" w:rsidP="00980A0F">
      <w:pPr>
        <w:pStyle w:val="ListParagraph"/>
        <w:numPr>
          <w:ilvl w:val="0"/>
          <w:numId w:val="35"/>
        </w:numPr>
      </w:pPr>
      <w:r w:rsidRPr="00304051">
        <w:t>Listen and be respectful</w:t>
      </w:r>
    </w:p>
    <w:p w:rsidR="00CB26D2" w:rsidRPr="00304051" w:rsidRDefault="00CB26D2" w:rsidP="00980A0F">
      <w:pPr>
        <w:pStyle w:val="ListParagraph"/>
        <w:numPr>
          <w:ilvl w:val="0"/>
          <w:numId w:val="35"/>
        </w:numPr>
      </w:pPr>
      <w:r w:rsidRPr="00304051">
        <w:t>Maintain the right to disagree</w:t>
      </w:r>
    </w:p>
    <w:p w:rsidR="00CB26D2" w:rsidRPr="00304051" w:rsidRDefault="00CB26D2" w:rsidP="00980A0F">
      <w:pPr>
        <w:pStyle w:val="ListParagraph"/>
        <w:numPr>
          <w:ilvl w:val="0"/>
          <w:numId w:val="35"/>
        </w:numPr>
      </w:pPr>
      <w:r w:rsidRPr="00304051">
        <w:t>Don’t expect to change the world overnight!</w:t>
      </w:r>
    </w:p>
    <w:p w:rsidR="00304051" w:rsidRPr="00825E59" w:rsidRDefault="00CB26D2" w:rsidP="00D6239B">
      <w:pPr>
        <w:pStyle w:val="Heading1"/>
      </w:pPr>
      <w:bookmarkStart w:id="22" w:name="_Toc482859639"/>
      <w:r>
        <w:lastRenderedPageBreak/>
        <w:t>References</w:t>
      </w:r>
      <w:bookmarkEnd w:id="22"/>
    </w:p>
    <w:p w:rsidR="00C87438" w:rsidRPr="00825E59" w:rsidRDefault="00C87438" w:rsidP="00980A0F">
      <w:pPr>
        <w:pStyle w:val="ListParagraph"/>
      </w:pPr>
      <w:proofErr w:type="spellStart"/>
      <w:r>
        <w:t>AccountA</w:t>
      </w:r>
      <w:r w:rsidRPr="00A365BF">
        <w:t>bility</w:t>
      </w:r>
      <w:proofErr w:type="spellEnd"/>
      <w:r w:rsidRPr="00A365BF">
        <w:t>. 2005. Stakeholder Engagement Standard AA1000SES</w:t>
      </w:r>
    </w:p>
    <w:p w:rsidR="00C87438" w:rsidRPr="00825E59" w:rsidRDefault="00C87438" w:rsidP="00825E59">
      <w:proofErr w:type="spellStart"/>
      <w:proofErr w:type="gramStart"/>
      <w:r>
        <w:t>AccountA</w:t>
      </w:r>
      <w:r w:rsidRPr="00A365BF">
        <w:t>bility</w:t>
      </w:r>
      <w:proofErr w:type="spellEnd"/>
      <w:r w:rsidRPr="00A365BF">
        <w:t>.</w:t>
      </w:r>
      <w:proofErr w:type="gramEnd"/>
      <w:r w:rsidRPr="00A365BF">
        <w:t xml:space="preserve"> 2005. </w:t>
      </w:r>
      <w:r w:rsidRPr="00825E59">
        <w:rPr>
          <w:i/>
        </w:rPr>
        <w:t>AA1000SE Stakeholder Engagement Practitioner’s Perspectives</w:t>
      </w:r>
    </w:p>
    <w:p w:rsidR="00D6239B" w:rsidRDefault="00304051" w:rsidP="00825E59">
      <w:pPr>
        <w:rPr>
          <w:i/>
        </w:rPr>
      </w:pPr>
      <w:proofErr w:type="gramStart"/>
      <w:r>
        <w:t>A</w:t>
      </w:r>
      <w:r w:rsidR="00A365BF">
        <w:t>ustralian National Audit Office (ANAO).</w:t>
      </w:r>
      <w:proofErr w:type="gramEnd"/>
      <w:r w:rsidRPr="00304051">
        <w:t xml:space="preserve"> </w:t>
      </w:r>
      <w:r>
        <w:t xml:space="preserve">2014. </w:t>
      </w:r>
      <w:r w:rsidRPr="00825E59">
        <w:rPr>
          <w:i/>
        </w:rPr>
        <w:t>Better Practice Guide, Public Sector Governance: Strengthening performance through good governance</w:t>
      </w:r>
      <w:r w:rsidR="00D6239B">
        <w:rPr>
          <w:i/>
        </w:rPr>
        <w:t>.</w:t>
      </w:r>
    </w:p>
    <w:p w:rsidR="00EA0B05" w:rsidRPr="00825E59" w:rsidRDefault="00304051" w:rsidP="00825E59">
      <w:proofErr w:type="gramStart"/>
      <w:r>
        <w:t>Department of Prime Minister and Cabinet</w:t>
      </w:r>
      <w:r w:rsidR="00A365BF">
        <w:t xml:space="preserve"> (PMC).</w:t>
      </w:r>
      <w:proofErr w:type="gramEnd"/>
      <w:r>
        <w:t xml:space="preserve"> 2013. </w:t>
      </w:r>
      <w:r w:rsidRPr="00825E59">
        <w:rPr>
          <w:i/>
        </w:rPr>
        <w:t>Cabinet Implementation Toolkit.</w:t>
      </w:r>
    </w:p>
    <w:p w:rsidR="00A365BF" w:rsidRDefault="00A365BF" w:rsidP="00825E59">
      <w:proofErr w:type="gramStart"/>
      <w:r w:rsidRPr="00A365BF">
        <w:t>International Association for Public Participation (IAP2).</w:t>
      </w:r>
      <w:proofErr w:type="gramEnd"/>
      <w:r w:rsidRPr="00A365BF">
        <w:t xml:space="preserve"> </w:t>
      </w:r>
      <w:r>
        <w:t xml:space="preserve">2007. </w:t>
      </w:r>
      <w:r w:rsidRPr="00825E59">
        <w:rPr>
          <w:i/>
        </w:rPr>
        <w:t>IAP2 public participation spectrum</w:t>
      </w:r>
    </w:p>
    <w:p w:rsidR="00A365BF" w:rsidRPr="00736BC4" w:rsidRDefault="00A365BF" w:rsidP="00736BC4"/>
    <w:p w:rsidR="00A365BF" w:rsidRPr="00A365BF" w:rsidRDefault="00A365BF" w:rsidP="00A365BF">
      <w:pPr>
        <w:rPr>
          <w:i/>
        </w:rPr>
        <w:sectPr w:rsidR="00A365BF" w:rsidRPr="00A365BF" w:rsidSect="00C07663">
          <w:footerReference w:type="default" r:id="rId22"/>
          <w:pgSz w:w="11906" w:h="16838" w:code="9"/>
          <w:pgMar w:top="1440" w:right="1440" w:bottom="851" w:left="1440" w:header="709" w:footer="567" w:gutter="0"/>
          <w:pgNumType w:start="1"/>
          <w:cols w:space="708"/>
          <w:docGrid w:linePitch="360"/>
        </w:sectPr>
      </w:pPr>
    </w:p>
    <w:p w:rsidR="00347C64" w:rsidRPr="00BC79BF" w:rsidRDefault="00E8545F" w:rsidP="00BC79BF">
      <w:pPr>
        <w:pBdr>
          <w:top w:val="single" w:sz="4" w:space="1" w:color="auto"/>
        </w:pBdr>
        <w:spacing w:before="7440"/>
        <w:ind w:left="2552"/>
        <w:rPr>
          <w:rStyle w:val="IntenseEmphasis"/>
          <w:color w:val="000000" w:themeColor="text1"/>
        </w:rPr>
      </w:pPr>
      <w:r w:rsidRPr="00BC79BF">
        <w:rPr>
          <w:rStyle w:val="IntenseEmphasis"/>
          <w:color w:val="000000" w:themeColor="text1"/>
        </w:rPr>
        <w:lastRenderedPageBreak/>
        <w:t>“</w:t>
      </w:r>
      <w:r w:rsidR="00C87438" w:rsidRPr="00BC79BF">
        <w:rPr>
          <w:rStyle w:val="IntenseEmphasis"/>
          <w:color w:val="000000" w:themeColor="text1"/>
        </w:rPr>
        <w:t>Engaging with the individuals, groups of individuals or organisations that are affected by or can affect an organisation’s activities, and responding to their concerns makes organisations perform better. It increases their knowledge and contributes to their license to operate.</w:t>
      </w:r>
      <w:r w:rsidRPr="00BC79BF">
        <w:rPr>
          <w:rStyle w:val="IntenseEmphasis"/>
          <w:color w:val="000000" w:themeColor="text1"/>
        </w:rPr>
        <w:t>”</w:t>
      </w:r>
    </w:p>
    <w:p w:rsidR="00D6239B" w:rsidRDefault="00C87438" w:rsidP="00E8545F">
      <w:pPr>
        <w:autoSpaceDE w:val="0"/>
        <w:autoSpaceDN w:val="0"/>
        <w:adjustRightInd w:val="0"/>
        <w:spacing w:before="120" w:after="0"/>
        <w:ind w:left="2552"/>
        <w:rPr>
          <w:rFonts w:ascii="Arial Narrow" w:hAnsi="Arial Narrow" w:cs="AGaramond-Regular"/>
          <w:color w:val="000000" w:themeColor="text1"/>
          <w:sz w:val="16"/>
          <w:szCs w:val="16"/>
          <w:lang w:eastAsia="en-AU"/>
        </w:rPr>
      </w:pPr>
      <w:r w:rsidRPr="00BC79BF">
        <w:rPr>
          <w:rFonts w:ascii="Arial Narrow" w:hAnsi="Arial Narrow" w:cs="AGaramond-Regular"/>
          <w:i/>
          <w:color w:val="000000" w:themeColor="text1"/>
          <w:sz w:val="16"/>
          <w:szCs w:val="16"/>
          <w:lang w:eastAsia="en-AU"/>
        </w:rPr>
        <w:t xml:space="preserve"> </w:t>
      </w:r>
      <w:proofErr w:type="gramStart"/>
      <w:r w:rsidRPr="00BC79BF">
        <w:rPr>
          <w:rFonts w:ascii="Arial Narrow" w:hAnsi="Arial Narrow" w:cs="AGaramond-Regular"/>
          <w:color w:val="000000" w:themeColor="text1"/>
          <w:sz w:val="16"/>
          <w:szCs w:val="16"/>
          <w:lang w:eastAsia="en-AU"/>
        </w:rPr>
        <w:t>Accountability</w:t>
      </w:r>
      <w:r w:rsidR="00D6239B">
        <w:rPr>
          <w:rFonts w:ascii="Arial Narrow" w:hAnsi="Arial Narrow" w:cs="AGaramond-Regular"/>
          <w:color w:val="000000" w:themeColor="text1"/>
          <w:sz w:val="16"/>
          <w:szCs w:val="16"/>
          <w:lang w:eastAsia="en-AU"/>
        </w:rPr>
        <w:t>.</w:t>
      </w:r>
      <w:proofErr w:type="gramEnd"/>
    </w:p>
    <w:p w:rsidR="00C87438" w:rsidRPr="00BC79BF" w:rsidRDefault="00E8545F" w:rsidP="00E8545F">
      <w:pPr>
        <w:autoSpaceDE w:val="0"/>
        <w:autoSpaceDN w:val="0"/>
        <w:adjustRightInd w:val="0"/>
        <w:spacing w:before="0" w:after="0"/>
        <w:ind w:left="2552"/>
        <w:rPr>
          <w:rStyle w:val="IntenseEmphasis"/>
          <w:rFonts w:ascii="Arial Narrow" w:hAnsi="Arial Narrow" w:cs="AGaramond-Regular"/>
          <w:b w:val="0"/>
          <w:bCs w:val="0"/>
          <w:i w:val="0"/>
          <w:iCs w:val="0"/>
          <w:color w:val="000000" w:themeColor="text1"/>
          <w:sz w:val="16"/>
          <w:szCs w:val="16"/>
          <w:lang w:eastAsia="en-AU"/>
        </w:rPr>
      </w:pPr>
      <w:proofErr w:type="gramStart"/>
      <w:r w:rsidRPr="00BC79BF">
        <w:rPr>
          <w:rFonts w:ascii="Arial Narrow" w:hAnsi="Arial Narrow" w:cs="AGaramond-Regular"/>
          <w:color w:val="000000" w:themeColor="text1"/>
          <w:sz w:val="16"/>
          <w:szCs w:val="16"/>
          <w:lang w:eastAsia="en-AU"/>
        </w:rPr>
        <w:t>AA1000SE Stakeholder Engagement Standard.</w:t>
      </w:r>
      <w:proofErr w:type="gramEnd"/>
      <w:r w:rsidRPr="00BC79BF">
        <w:rPr>
          <w:rFonts w:ascii="Arial Narrow" w:hAnsi="Arial Narrow" w:cs="AGaramond-Regular"/>
          <w:color w:val="000000" w:themeColor="text1"/>
          <w:sz w:val="16"/>
          <w:szCs w:val="16"/>
          <w:lang w:eastAsia="en-AU"/>
        </w:rPr>
        <w:t xml:space="preserve">  2005</w:t>
      </w:r>
    </w:p>
    <w:sectPr w:rsidR="00C87438" w:rsidRPr="00BC79BF" w:rsidSect="00C07663">
      <w:headerReference w:type="default" r:id="rId23"/>
      <w:footerReference w:type="default" r:id="rId24"/>
      <w:pgSz w:w="11906" w:h="16838" w:code="9"/>
      <w:pgMar w:top="1440" w:right="1440" w:bottom="851" w:left="1440"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B96" w:rsidRDefault="00E40B96" w:rsidP="00AC42AE">
      <w:pPr>
        <w:spacing w:before="0" w:after="0" w:line="240" w:lineRule="auto"/>
      </w:pPr>
      <w:r>
        <w:separator/>
      </w:r>
    </w:p>
    <w:p w:rsidR="00E40B96" w:rsidRDefault="00E40B96"/>
    <w:p w:rsidR="00E40B96" w:rsidRDefault="00E40B96"/>
  </w:endnote>
  <w:endnote w:type="continuationSeparator" w:id="0">
    <w:p w:rsidR="00E40B96" w:rsidRDefault="00E40B96" w:rsidP="00AC42AE">
      <w:pPr>
        <w:spacing w:before="0" w:after="0" w:line="240" w:lineRule="auto"/>
      </w:pPr>
      <w:r>
        <w:continuationSeparator/>
      </w:r>
    </w:p>
    <w:p w:rsidR="00E40B96" w:rsidRDefault="00E40B96"/>
    <w:p w:rsidR="00E40B96" w:rsidRDefault="00E40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Regular">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392460"/>
      <w:docPartObj>
        <w:docPartGallery w:val="Page Numbers (Bottom of Page)"/>
        <w:docPartUnique/>
      </w:docPartObj>
    </w:sdtPr>
    <w:sdtEndPr>
      <w:rPr>
        <w:noProof/>
      </w:rPr>
    </w:sdtEndPr>
    <w:sdtContent>
      <w:p w:rsidR="009D184A" w:rsidRDefault="009D184A">
        <w:pPr>
          <w:pStyle w:val="Footer"/>
          <w:jc w:val="center"/>
        </w:pPr>
        <w:r>
          <w:fldChar w:fldCharType="begin"/>
        </w:r>
        <w:r>
          <w:instrText xml:space="preserve"> PAGE   \* MERGEFORMAT </w:instrText>
        </w:r>
        <w:r>
          <w:fldChar w:fldCharType="separate"/>
        </w:r>
        <w:r w:rsidR="004E50CF">
          <w:rPr>
            <w:noProof/>
          </w:rPr>
          <w:t>2</w:t>
        </w:r>
        <w:r>
          <w:rPr>
            <w:noProof/>
          </w:rPr>
          <w:fldChar w:fldCharType="end"/>
        </w:r>
      </w:p>
    </w:sdtContent>
  </w:sdt>
  <w:p w:rsidR="009D184A" w:rsidRDefault="009D184A">
    <w:pPr>
      <w:pStyle w:val="Footer"/>
    </w:pPr>
  </w:p>
  <w:p w:rsidR="00A817BE" w:rsidRDefault="00A817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5E4" w:rsidRDefault="008E1361" w:rsidP="008E1361">
    <w:pPr>
      <w:pStyle w:val="Footer"/>
      <w:jc w:val="right"/>
    </w:pPr>
    <w:r>
      <w:rPr>
        <w:noProof/>
        <w:lang w:eastAsia="en-AU"/>
      </w:rPr>
      <w:drawing>
        <wp:inline distT="0" distB="0" distL="0" distR="0" wp14:anchorId="155BA968" wp14:editId="787EBB5E">
          <wp:extent cx="2371725" cy="565251"/>
          <wp:effectExtent l="0" t="0" r="0" b="6350"/>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65251"/>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4A" w:rsidRDefault="009D18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939" w:rsidRDefault="00351939" w:rsidP="00A60E02">
    <w:pPr>
      <w:pStyle w:val="Footer"/>
      <w:tabs>
        <w:tab w:val="clear" w:pos="4513"/>
        <w:tab w:val="clear" w:pos="9026"/>
        <w:tab w:val="left" w:pos="188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4A" w:rsidRPr="00071580" w:rsidRDefault="009D184A" w:rsidP="004F184E">
    <w:pPr>
      <w:pStyle w:val="Footer"/>
      <w:jc w:val="right"/>
      <w:rPr>
        <w:i/>
        <w:sz w:val="18"/>
        <w:szCs w:val="18"/>
      </w:rPr>
    </w:pPr>
    <w:r w:rsidRPr="00071580">
      <w:rPr>
        <w:i/>
        <w:sz w:val="18"/>
        <w:szCs w:val="18"/>
      </w:rPr>
      <w:t xml:space="preserve">Health Stakeholder Engagement Framework – Page </w:t>
    </w:r>
    <w:r w:rsidRPr="00071580">
      <w:rPr>
        <w:i/>
        <w:sz w:val="18"/>
        <w:szCs w:val="18"/>
      </w:rPr>
      <w:fldChar w:fldCharType="begin"/>
    </w:r>
    <w:r w:rsidRPr="00071580">
      <w:rPr>
        <w:i/>
        <w:sz w:val="18"/>
        <w:szCs w:val="18"/>
      </w:rPr>
      <w:instrText xml:space="preserve"> PAGE   \* MERGEFORMAT </w:instrText>
    </w:r>
    <w:r w:rsidRPr="00071580">
      <w:rPr>
        <w:i/>
        <w:sz w:val="18"/>
        <w:szCs w:val="18"/>
      </w:rPr>
      <w:fldChar w:fldCharType="separate"/>
    </w:r>
    <w:r w:rsidR="00736BC4">
      <w:rPr>
        <w:i/>
        <w:noProof/>
        <w:sz w:val="18"/>
        <w:szCs w:val="18"/>
      </w:rPr>
      <w:t>1</w:t>
    </w:r>
    <w:r w:rsidRPr="00071580">
      <w:rPr>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438" w:rsidRPr="00C87438" w:rsidRDefault="00E8545F" w:rsidP="00E8545F">
    <w:pPr>
      <w:pStyle w:val="Footer"/>
      <w:tabs>
        <w:tab w:val="clear" w:pos="4513"/>
        <w:tab w:val="clear" w:pos="9026"/>
        <w:tab w:val="left" w:pos="5100"/>
        <w:tab w:val="left" w:pos="7838"/>
      </w:tabs>
      <w:jc w:val="right"/>
    </w:pPr>
    <w:r>
      <w:rPr>
        <w:noProof/>
        <w:lang w:eastAsia="en-AU"/>
      </w:rPr>
      <w:drawing>
        <wp:inline distT="0" distB="0" distL="0" distR="0" wp14:anchorId="0A624DDA" wp14:editId="78514E9A">
          <wp:extent cx="2371725" cy="565251"/>
          <wp:effectExtent l="0" t="0" r="0" b="6350"/>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6525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B96" w:rsidRDefault="00E40B96" w:rsidP="00AC42AE">
      <w:pPr>
        <w:spacing w:before="0" w:after="0" w:line="240" w:lineRule="auto"/>
      </w:pPr>
      <w:r>
        <w:separator/>
      </w:r>
    </w:p>
  </w:footnote>
  <w:footnote w:type="continuationSeparator" w:id="0">
    <w:p w:rsidR="00E40B96" w:rsidRDefault="00E40B96" w:rsidP="00AC42AE">
      <w:pPr>
        <w:spacing w:before="0" w:after="0" w:line="240" w:lineRule="auto"/>
      </w:pPr>
      <w:r>
        <w:continuationSeparator/>
      </w:r>
    </w:p>
    <w:p w:rsidR="00E40B96" w:rsidRDefault="00E40B96"/>
    <w:p w:rsidR="00E40B96" w:rsidRDefault="00E40B96"/>
  </w:footnote>
  <w:footnote w:id="1">
    <w:p w:rsidR="00597CE7" w:rsidRDefault="00597CE7">
      <w:pPr>
        <w:pStyle w:val="FootnoteText"/>
      </w:pPr>
      <w:r w:rsidRPr="00597CE7">
        <w:rPr>
          <w:rStyle w:val="FootnoteReference"/>
          <w:rFonts w:ascii="Calibri" w:hAnsi="Calibri"/>
        </w:rPr>
        <w:footnoteRef/>
      </w:r>
      <w:r>
        <w:t xml:space="preserve"> </w:t>
      </w:r>
      <w:r w:rsidRPr="00A23F6D">
        <w:rPr>
          <w:rFonts w:ascii="Calibri" w:hAnsi="Calibri"/>
          <w:sz w:val="16"/>
          <w:szCs w:val="16"/>
        </w:rPr>
        <w:t>Adapted from the International Association f</w:t>
      </w:r>
      <w:r>
        <w:rPr>
          <w:rFonts w:ascii="Calibri" w:hAnsi="Calibri"/>
          <w:sz w:val="16"/>
          <w:szCs w:val="16"/>
        </w:rPr>
        <w:t>or Public Participation (IAP2) S</w:t>
      </w:r>
      <w:r w:rsidRPr="00A23F6D">
        <w:rPr>
          <w:rFonts w:ascii="Calibri" w:hAnsi="Calibri"/>
          <w:sz w:val="16"/>
          <w:szCs w:val="16"/>
        </w:rPr>
        <w:t>pectrum (2007)</w:t>
      </w:r>
    </w:p>
  </w:footnote>
  <w:footnote w:id="2">
    <w:p w:rsidR="002A7A7F" w:rsidRPr="002A7A7F" w:rsidRDefault="002A7A7F">
      <w:pPr>
        <w:pStyle w:val="FootnoteText"/>
        <w:rPr>
          <w:rFonts w:ascii="Arial Narrow" w:hAnsi="Arial Narrow"/>
          <w:sz w:val="16"/>
          <w:szCs w:val="16"/>
        </w:rPr>
      </w:pPr>
      <w:r>
        <w:rPr>
          <w:rStyle w:val="FootnoteReference"/>
        </w:rPr>
        <w:footnoteRef/>
      </w:r>
      <w:r>
        <w:t xml:space="preserve"> </w:t>
      </w:r>
      <w:r w:rsidRPr="002A7A7F">
        <w:rPr>
          <w:rFonts w:ascii="Arial Narrow" w:hAnsi="Arial Narrow"/>
          <w:sz w:val="16"/>
          <w:szCs w:val="16"/>
        </w:rPr>
        <w:t xml:space="preserve">Cabinet Implementation Toolkit </w:t>
      </w:r>
      <w:r w:rsidR="00460616">
        <w:rPr>
          <w:rFonts w:ascii="Arial Narrow" w:hAnsi="Arial Narrow"/>
          <w:sz w:val="16"/>
          <w:szCs w:val="16"/>
        </w:rPr>
        <w:t xml:space="preserve"> </w:t>
      </w:r>
      <w:r w:rsidRPr="002A7A7F">
        <w:rPr>
          <w:rFonts w:ascii="Arial Narrow" w:hAnsi="Arial Narrow"/>
          <w:sz w:val="16"/>
          <w:szCs w:val="16"/>
        </w:rPr>
        <w:t>(PMC,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61" w:rsidRDefault="008E1361" w:rsidP="008E1361">
    <w:pPr>
      <w:pStyle w:val="Header"/>
      <w:jc w:val="right"/>
    </w:pPr>
    <w:r>
      <w:rPr>
        <w:noProof/>
        <w:lang w:eastAsia="en-AU"/>
      </w:rPr>
      <w:drawing>
        <wp:inline distT="0" distB="0" distL="0" distR="0" wp14:anchorId="545264CC" wp14:editId="77F1D107">
          <wp:extent cx="4049753" cy="1133475"/>
          <wp:effectExtent l="0" t="0" r="8255" b="0"/>
          <wp:docPr id="8"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0644" cy="1139322"/>
                  </a:xfrm>
                  <a:prstGeom prst="rect">
                    <a:avLst/>
                  </a:prstGeom>
                  <a:noFill/>
                  <a:ln>
                    <a:noFill/>
                  </a:ln>
                </pic:spPr>
              </pic:pic>
            </a:graphicData>
          </a:graphic>
        </wp:inline>
      </w:drawing>
    </w:r>
  </w:p>
  <w:p w:rsidR="008E1361" w:rsidRPr="008E1361" w:rsidRDefault="008E1361" w:rsidP="00EC295D">
    <w:pPr>
      <w:pBdr>
        <w:bottom w:val="single" w:sz="24" w:space="1" w:color="auto"/>
      </w:pBdr>
      <w:ind w:left="255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4A" w:rsidRDefault="009D18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4A" w:rsidRPr="00061B02" w:rsidRDefault="009D184A" w:rsidP="00061B0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4A" w:rsidRPr="008E1361" w:rsidRDefault="009D184A" w:rsidP="008E136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61" w:rsidRPr="008E1361" w:rsidRDefault="008E1361" w:rsidP="008E136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5F" w:rsidRDefault="00E8545F" w:rsidP="00E8545F">
    <w:pPr>
      <w:pStyle w:val="Header"/>
      <w:jc w:val="right"/>
    </w:pPr>
    <w:r>
      <w:rPr>
        <w:noProof/>
        <w:lang w:eastAsia="en-AU"/>
      </w:rPr>
      <w:drawing>
        <wp:inline distT="0" distB="0" distL="0" distR="0" wp14:anchorId="23054B2D" wp14:editId="1D21BD44">
          <wp:extent cx="4049753" cy="1133475"/>
          <wp:effectExtent l="0" t="0" r="8255" b="0"/>
          <wp:docPr id="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0644" cy="1139322"/>
                  </a:xfrm>
                  <a:prstGeom prst="rect">
                    <a:avLst/>
                  </a:prstGeom>
                  <a:noFill/>
                  <a:ln>
                    <a:noFill/>
                  </a:ln>
                </pic:spPr>
              </pic:pic>
            </a:graphicData>
          </a:graphic>
        </wp:inline>
      </w:drawing>
    </w:r>
  </w:p>
  <w:p w:rsidR="00E8545F" w:rsidRPr="008E1361" w:rsidRDefault="00E8545F" w:rsidP="00E8545F">
    <w:pPr>
      <w:pBdr>
        <w:bottom w:val="single" w:sz="24" w:space="1" w:color="auto"/>
      </w:pBdr>
      <w:ind w:left="2552"/>
    </w:pPr>
  </w:p>
  <w:p w:rsidR="00351939" w:rsidRDefault="00351939" w:rsidP="00351939">
    <w:pPr>
      <w:pStyle w:val="Header"/>
      <w:tabs>
        <w:tab w:val="clear" w:pos="4513"/>
        <w:tab w:val="clear" w:pos="9026"/>
        <w:tab w:val="left" w:pos="5244"/>
      </w:tabs>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CA5"/>
    <w:multiLevelType w:val="hybridMultilevel"/>
    <w:tmpl w:val="C26E959C"/>
    <w:lvl w:ilvl="0" w:tplc="17E8859A">
      <w:start w:val="1"/>
      <w:numFmt w:val="bullet"/>
      <w:lvlText w:val="●"/>
      <w:lvlJc w:val="left"/>
      <w:pPr>
        <w:tabs>
          <w:tab w:val="num" w:pos="720"/>
        </w:tabs>
        <w:ind w:left="720" w:hanging="360"/>
      </w:pPr>
      <w:rPr>
        <w:rFonts w:ascii="Calibri" w:hAnsi="Calibri" w:hint="default"/>
      </w:rPr>
    </w:lvl>
    <w:lvl w:ilvl="1" w:tplc="CD586656" w:tentative="1">
      <w:start w:val="1"/>
      <w:numFmt w:val="bullet"/>
      <w:lvlText w:val="●"/>
      <w:lvlJc w:val="left"/>
      <w:pPr>
        <w:tabs>
          <w:tab w:val="num" w:pos="1440"/>
        </w:tabs>
        <w:ind w:left="1440" w:hanging="360"/>
      </w:pPr>
      <w:rPr>
        <w:rFonts w:ascii="Calibri" w:hAnsi="Calibri" w:hint="default"/>
      </w:rPr>
    </w:lvl>
    <w:lvl w:ilvl="2" w:tplc="697AF920" w:tentative="1">
      <w:start w:val="1"/>
      <w:numFmt w:val="bullet"/>
      <w:lvlText w:val="●"/>
      <w:lvlJc w:val="left"/>
      <w:pPr>
        <w:tabs>
          <w:tab w:val="num" w:pos="2160"/>
        </w:tabs>
        <w:ind w:left="2160" w:hanging="360"/>
      </w:pPr>
      <w:rPr>
        <w:rFonts w:ascii="Calibri" w:hAnsi="Calibri" w:hint="default"/>
      </w:rPr>
    </w:lvl>
    <w:lvl w:ilvl="3" w:tplc="CDC216D6" w:tentative="1">
      <w:start w:val="1"/>
      <w:numFmt w:val="bullet"/>
      <w:lvlText w:val="●"/>
      <w:lvlJc w:val="left"/>
      <w:pPr>
        <w:tabs>
          <w:tab w:val="num" w:pos="2880"/>
        </w:tabs>
        <w:ind w:left="2880" w:hanging="360"/>
      </w:pPr>
      <w:rPr>
        <w:rFonts w:ascii="Calibri" w:hAnsi="Calibri" w:hint="default"/>
      </w:rPr>
    </w:lvl>
    <w:lvl w:ilvl="4" w:tplc="879E1C40" w:tentative="1">
      <w:start w:val="1"/>
      <w:numFmt w:val="bullet"/>
      <w:lvlText w:val="●"/>
      <w:lvlJc w:val="left"/>
      <w:pPr>
        <w:tabs>
          <w:tab w:val="num" w:pos="3600"/>
        </w:tabs>
        <w:ind w:left="3600" w:hanging="360"/>
      </w:pPr>
      <w:rPr>
        <w:rFonts w:ascii="Calibri" w:hAnsi="Calibri" w:hint="default"/>
      </w:rPr>
    </w:lvl>
    <w:lvl w:ilvl="5" w:tplc="10AE4BE6" w:tentative="1">
      <w:start w:val="1"/>
      <w:numFmt w:val="bullet"/>
      <w:lvlText w:val="●"/>
      <w:lvlJc w:val="left"/>
      <w:pPr>
        <w:tabs>
          <w:tab w:val="num" w:pos="4320"/>
        </w:tabs>
        <w:ind w:left="4320" w:hanging="360"/>
      </w:pPr>
      <w:rPr>
        <w:rFonts w:ascii="Calibri" w:hAnsi="Calibri" w:hint="default"/>
      </w:rPr>
    </w:lvl>
    <w:lvl w:ilvl="6" w:tplc="4EB005F6" w:tentative="1">
      <w:start w:val="1"/>
      <w:numFmt w:val="bullet"/>
      <w:lvlText w:val="●"/>
      <w:lvlJc w:val="left"/>
      <w:pPr>
        <w:tabs>
          <w:tab w:val="num" w:pos="5040"/>
        </w:tabs>
        <w:ind w:left="5040" w:hanging="360"/>
      </w:pPr>
      <w:rPr>
        <w:rFonts w:ascii="Calibri" w:hAnsi="Calibri" w:hint="default"/>
      </w:rPr>
    </w:lvl>
    <w:lvl w:ilvl="7" w:tplc="13B08C3C" w:tentative="1">
      <w:start w:val="1"/>
      <w:numFmt w:val="bullet"/>
      <w:lvlText w:val="●"/>
      <w:lvlJc w:val="left"/>
      <w:pPr>
        <w:tabs>
          <w:tab w:val="num" w:pos="5760"/>
        </w:tabs>
        <w:ind w:left="5760" w:hanging="360"/>
      </w:pPr>
      <w:rPr>
        <w:rFonts w:ascii="Calibri" w:hAnsi="Calibri" w:hint="default"/>
      </w:rPr>
    </w:lvl>
    <w:lvl w:ilvl="8" w:tplc="8174DBD4" w:tentative="1">
      <w:start w:val="1"/>
      <w:numFmt w:val="bullet"/>
      <w:lvlText w:val="●"/>
      <w:lvlJc w:val="left"/>
      <w:pPr>
        <w:tabs>
          <w:tab w:val="num" w:pos="6480"/>
        </w:tabs>
        <w:ind w:left="6480" w:hanging="360"/>
      </w:pPr>
      <w:rPr>
        <w:rFonts w:ascii="Calibri" w:hAnsi="Calibri" w:hint="default"/>
      </w:rPr>
    </w:lvl>
  </w:abstractNum>
  <w:abstractNum w:abstractNumId="1">
    <w:nsid w:val="0743369B"/>
    <w:multiLevelType w:val="hybridMultilevel"/>
    <w:tmpl w:val="4C3021F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EB72A90"/>
    <w:multiLevelType w:val="hybridMultilevel"/>
    <w:tmpl w:val="46B29926"/>
    <w:lvl w:ilvl="0" w:tplc="6A8E568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1F1DD6"/>
    <w:multiLevelType w:val="hybridMultilevel"/>
    <w:tmpl w:val="BAB68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FD1A6D"/>
    <w:multiLevelType w:val="hybridMultilevel"/>
    <w:tmpl w:val="F4F26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0E0D50"/>
    <w:multiLevelType w:val="multilevel"/>
    <w:tmpl w:val="C0E24A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4F4D69"/>
    <w:multiLevelType w:val="hybridMultilevel"/>
    <w:tmpl w:val="DD7A3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9F4892"/>
    <w:multiLevelType w:val="hybridMultilevel"/>
    <w:tmpl w:val="809092F6"/>
    <w:lvl w:ilvl="0" w:tplc="CAF25842">
      <w:start w:val="1"/>
      <w:numFmt w:val="bullet"/>
      <w:lvlText w:val=""/>
      <w:lvlJc w:val="left"/>
      <w:pPr>
        <w:ind w:left="2705"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5E0191"/>
    <w:multiLevelType w:val="hybridMultilevel"/>
    <w:tmpl w:val="83828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7C1C6A"/>
    <w:multiLevelType w:val="hybridMultilevel"/>
    <w:tmpl w:val="81D2E9B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B2F6E0A"/>
    <w:multiLevelType w:val="hybridMultilevel"/>
    <w:tmpl w:val="89EA3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B34319"/>
    <w:multiLevelType w:val="hybridMultilevel"/>
    <w:tmpl w:val="C06CA14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nsid w:val="336D1018"/>
    <w:multiLevelType w:val="hybridMultilevel"/>
    <w:tmpl w:val="4320A4F4"/>
    <w:lvl w:ilvl="0" w:tplc="C2D29A54">
      <w:start w:val="1"/>
      <w:numFmt w:val="bullet"/>
      <w:lvlText w:val="●"/>
      <w:lvlJc w:val="left"/>
      <w:pPr>
        <w:tabs>
          <w:tab w:val="num" w:pos="720"/>
        </w:tabs>
        <w:ind w:left="720" w:hanging="360"/>
      </w:pPr>
      <w:rPr>
        <w:rFonts w:ascii="Arial" w:hAnsi="Arial" w:hint="default"/>
      </w:rPr>
    </w:lvl>
    <w:lvl w:ilvl="1" w:tplc="F57AC94C" w:tentative="1">
      <w:start w:val="1"/>
      <w:numFmt w:val="bullet"/>
      <w:lvlText w:val="●"/>
      <w:lvlJc w:val="left"/>
      <w:pPr>
        <w:tabs>
          <w:tab w:val="num" w:pos="1440"/>
        </w:tabs>
        <w:ind w:left="1440" w:hanging="360"/>
      </w:pPr>
      <w:rPr>
        <w:rFonts w:ascii="Arial" w:hAnsi="Arial" w:hint="default"/>
      </w:rPr>
    </w:lvl>
    <w:lvl w:ilvl="2" w:tplc="F5EAD912" w:tentative="1">
      <w:start w:val="1"/>
      <w:numFmt w:val="bullet"/>
      <w:lvlText w:val="●"/>
      <w:lvlJc w:val="left"/>
      <w:pPr>
        <w:tabs>
          <w:tab w:val="num" w:pos="2160"/>
        </w:tabs>
        <w:ind w:left="2160" w:hanging="360"/>
      </w:pPr>
      <w:rPr>
        <w:rFonts w:ascii="Arial" w:hAnsi="Arial" w:hint="default"/>
      </w:rPr>
    </w:lvl>
    <w:lvl w:ilvl="3" w:tplc="33F2261A" w:tentative="1">
      <w:start w:val="1"/>
      <w:numFmt w:val="bullet"/>
      <w:lvlText w:val="●"/>
      <w:lvlJc w:val="left"/>
      <w:pPr>
        <w:tabs>
          <w:tab w:val="num" w:pos="2880"/>
        </w:tabs>
        <w:ind w:left="2880" w:hanging="360"/>
      </w:pPr>
      <w:rPr>
        <w:rFonts w:ascii="Arial" w:hAnsi="Arial" w:hint="default"/>
      </w:rPr>
    </w:lvl>
    <w:lvl w:ilvl="4" w:tplc="12580E66" w:tentative="1">
      <w:start w:val="1"/>
      <w:numFmt w:val="bullet"/>
      <w:lvlText w:val="●"/>
      <w:lvlJc w:val="left"/>
      <w:pPr>
        <w:tabs>
          <w:tab w:val="num" w:pos="3600"/>
        </w:tabs>
        <w:ind w:left="3600" w:hanging="360"/>
      </w:pPr>
      <w:rPr>
        <w:rFonts w:ascii="Arial" w:hAnsi="Arial" w:hint="default"/>
      </w:rPr>
    </w:lvl>
    <w:lvl w:ilvl="5" w:tplc="B474636A" w:tentative="1">
      <w:start w:val="1"/>
      <w:numFmt w:val="bullet"/>
      <w:lvlText w:val="●"/>
      <w:lvlJc w:val="left"/>
      <w:pPr>
        <w:tabs>
          <w:tab w:val="num" w:pos="4320"/>
        </w:tabs>
        <w:ind w:left="4320" w:hanging="360"/>
      </w:pPr>
      <w:rPr>
        <w:rFonts w:ascii="Arial" w:hAnsi="Arial" w:hint="default"/>
      </w:rPr>
    </w:lvl>
    <w:lvl w:ilvl="6" w:tplc="759C7D5A" w:tentative="1">
      <w:start w:val="1"/>
      <w:numFmt w:val="bullet"/>
      <w:lvlText w:val="●"/>
      <w:lvlJc w:val="left"/>
      <w:pPr>
        <w:tabs>
          <w:tab w:val="num" w:pos="5040"/>
        </w:tabs>
        <w:ind w:left="5040" w:hanging="360"/>
      </w:pPr>
      <w:rPr>
        <w:rFonts w:ascii="Arial" w:hAnsi="Arial" w:hint="default"/>
      </w:rPr>
    </w:lvl>
    <w:lvl w:ilvl="7" w:tplc="5D9CABD0" w:tentative="1">
      <w:start w:val="1"/>
      <w:numFmt w:val="bullet"/>
      <w:lvlText w:val="●"/>
      <w:lvlJc w:val="left"/>
      <w:pPr>
        <w:tabs>
          <w:tab w:val="num" w:pos="5760"/>
        </w:tabs>
        <w:ind w:left="5760" w:hanging="360"/>
      </w:pPr>
      <w:rPr>
        <w:rFonts w:ascii="Arial" w:hAnsi="Arial" w:hint="default"/>
      </w:rPr>
    </w:lvl>
    <w:lvl w:ilvl="8" w:tplc="CCD006C8" w:tentative="1">
      <w:start w:val="1"/>
      <w:numFmt w:val="bullet"/>
      <w:lvlText w:val="●"/>
      <w:lvlJc w:val="left"/>
      <w:pPr>
        <w:tabs>
          <w:tab w:val="num" w:pos="6480"/>
        </w:tabs>
        <w:ind w:left="6480" w:hanging="360"/>
      </w:pPr>
      <w:rPr>
        <w:rFonts w:ascii="Arial" w:hAnsi="Arial" w:hint="default"/>
      </w:rPr>
    </w:lvl>
  </w:abstractNum>
  <w:abstractNum w:abstractNumId="13">
    <w:nsid w:val="3B0B4214"/>
    <w:multiLevelType w:val="hybridMultilevel"/>
    <w:tmpl w:val="5ECC4E4A"/>
    <w:lvl w:ilvl="0" w:tplc="C7FA43E4">
      <w:start w:val="1"/>
      <w:numFmt w:val="bullet"/>
      <w:pStyle w:val="ListParagraph"/>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nsid w:val="3D0357C5"/>
    <w:multiLevelType w:val="hybridMultilevel"/>
    <w:tmpl w:val="ACEC4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16348D"/>
    <w:multiLevelType w:val="multilevel"/>
    <w:tmpl w:val="0C09001D"/>
    <w:styleLink w:val="Borderteststyle"/>
    <w:lvl w:ilvl="0">
      <w:start w:val="1"/>
      <w:numFmt w:val="upperRoman"/>
      <w:lvlText w:val="%1"/>
      <w:lvlJc w:val="left"/>
      <w:pPr>
        <w:ind w:left="360" w:hanging="360"/>
      </w:pPr>
      <w:rPr>
        <w:rFonts w:ascii="Times New Roman" w:hAnsi="Times New Roman" w:hint="default"/>
        <w:color w:val="auto"/>
      </w:rPr>
    </w:lvl>
    <w:lvl w:ilvl="1">
      <w:start w:val="1"/>
      <w:numFmt w:val="lowerRoman"/>
      <w:lvlText w:val="%2"/>
      <w:lvlJc w:val="left"/>
      <w:pPr>
        <w:ind w:left="1080" w:hanging="360"/>
      </w:pPr>
      <w:rPr>
        <w:rFonts w:ascii="Times New Roman" w:hAnsi="Times New Roman" w:hint="default"/>
        <w:color w:val="auto"/>
      </w:r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ordinal"/>
      <w:lvlText w:val="(%5)"/>
      <w:lvlJc w:val="left"/>
      <w:pPr>
        <w:ind w:left="3240" w:hanging="360"/>
      </w:pPr>
    </w:lvl>
    <w:lvl w:ilvl="5">
      <w:start w:val="1"/>
      <w:numFmt w:val="cardinalText"/>
      <w:lvlText w:val="(%6)"/>
      <w:lvlJc w:val="left"/>
      <w:pPr>
        <w:ind w:left="2160" w:hanging="360"/>
      </w:pPr>
    </w:lvl>
    <w:lvl w:ilvl="6">
      <w:start w:val="1"/>
      <w:numFmt w:val="ordinalText"/>
      <w:lvlText w:val="%7."/>
      <w:lvlJc w:val="left"/>
      <w:pPr>
        <w:ind w:left="2520" w:hanging="360"/>
      </w:pPr>
    </w:lvl>
    <w:lvl w:ilvl="7">
      <w:start w:val="1"/>
      <w:numFmt w:val="decimalZero"/>
      <w:lvlText w:val="%8."/>
      <w:lvlJc w:val="left"/>
      <w:pPr>
        <w:ind w:left="2880" w:hanging="360"/>
      </w:pPr>
    </w:lvl>
    <w:lvl w:ilvl="8">
      <w:start w:val="1"/>
      <mc:AlternateContent>
        <mc:Choice Requires="w14">
          <w:numFmt w:val="custom" w:format="001, 002, 003, ..."/>
        </mc:Choice>
        <mc:Fallback>
          <w:numFmt w:val="decimal"/>
        </mc:Fallback>
      </mc:AlternateContent>
      <w:lvlText w:val="%9."/>
      <w:lvlJc w:val="left"/>
      <w:pPr>
        <w:ind w:left="3240" w:hanging="360"/>
      </w:pPr>
    </w:lvl>
  </w:abstractNum>
  <w:abstractNum w:abstractNumId="16">
    <w:nsid w:val="45424075"/>
    <w:multiLevelType w:val="hybridMultilevel"/>
    <w:tmpl w:val="0FD0EE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2D1A98"/>
    <w:multiLevelType w:val="hybridMultilevel"/>
    <w:tmpl w:val="5E1A64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3A401B5"/>
    <w:multiLevelType w:val="hybridMultilevel"/>
    <w:tmpl w:val="366AFFC2"/>
    <w:lvl w:ilvl="0" w:tplc="5516BFEC">
      <w:start w:val="1"/>
      <w:numFmt w:val="bullet"/>
      <w:lvlText w:val="●"/>
      <w:lvlJc w:val="left"/>
      <w:pPr>
        <w:tabs>
          <w:tab w:val="num" w:pos="720"/>
        </w:tabs>
        <w:ind w:left="720" w:hanging="360"/>
      </w:pPr>
      <w:rPr>
        <w:rFonts w:ascii="Calibri" w:hAnsi="Calibri" w:hint="default"/>
      </w:rPr>
    </w:lvl>
    <w:lvl w:ilvl="1" w:tplc="49F46F8C" w:tentative="1">
      <w:start w:val="1"/>
      <w:numFmt w:val="bullet"/>
      <w:lvlText w:val="●"/>
      <w:lvlJc w:val="left"/>
      <w:pPr>
        <w:tabs>
          <w:tab w:val="num" w:pos="1440"/>
        </w:tabs>
        <w:ind w:left="1440" w:hanging="360"/>
      </w:pPr>
      <w:rPr>
        <w:rFonts w:ascii="Calibri" w:hAnsi="Calibri" w:hint="default"/>
      </w:rPr>
    </w:lvl>
    <w:lvl w:ilvl="2" w:tplc="AF8C1BDC" w:tentative="1">
      <w:start w:val="1"/>
      <w:numFmt w:val="bullet"/>
      <w:lvlText w:val="●"/>
      <w:lvlJc w:val="left"/>
      <w:pPr>
        <w:tabs>
          <w:tab w:val="num" w:pos="2160"/>
        </w:tabs>
        <w:ind w:left="2160" w:hanging="360"/>
      </w:pPr>
      <w:rPr>
        <w:rFonts w:ascii="Calibri" w:hAnsi="Calibri" w:hint="default"/>
      </w:rPr>
    </w:lvl>
    <w:lvl w:ilvl="3" w:tplc="316439D8" w:tentative="1">
      <w:start w:val="1"/>
      <w:numFmt w:val="bullet"/>
      <w:lvlText w:val="●"/>
      <w:lvlJc w:val="left"/>
      <w:pPr>
        <w:tabs>
          <w:tab w:val="num" w:pos="2880"/>
        </w:tabs>
        <w:ind w:left="2880" w:hanging="360"/>
      </w:pPr>
      <w:rPr>
        <w:rFonts w:ascii="Calibri" w:hAnsi="Calibri" w:hint="default"/>
      </w:rPr>
    </w:lvl>
    <w:lvl w:ilvl="4" w:tplc="9C34E586" w:tentative="1">
      <w:start w:val="1"/>
      <w:numFmt w:val="bullet"/>
      <w:lvlText w:val="●"/>
      <w:lvlJc w:val="left"/>
      <w:pPr>
        <w:tabs>
          <w:tab w:val="num" w:pos="3600"/>
        </w:tabs>
        <w:ind w:left="3600" w:hanging="360"/>
      </w:pPr>
      <w:rPr>
        <w:rFonts w:ascii="Calibri" w:hAnsi="Calibri" w:hint="default"/>
      </w:rPr>
    </w:lvl>
    <w:lvl w:ilvl="5" w:tplc="E4644FE2" w:tentative="1">
      <w:start w:val="1"/>
      <w:numFmt w:val="bullet"/>
      <w:lvlText w:val="●"/>
      <w:lvlJc w:val="left"/>
      <w:pPr>
        <w:tabs>
          <w:tab w:val="num" w:pos="4320"/>
        </w:tabs>
        <w:ind w:left="4320" w:hanging="360"/>
      </w:pPr>
      <w:rPr>
        <w:rFonts w:ascii="Calibri" w:hAnsi="Calibri" w:hint="default"/>
      </w:rPr>
    </w:lvl>
    <w:lvl w:ilvl="6" w:tplc="EE3ACAAA" w:tentative="1">
      <w:start w:val="1"/>
      <w:numFmt w:val="bullet"/>
      <w:lvlText w:val="●"/>
      <w:lvlJc w:val="left"/>
      <w:pPr>
        <w:tabs>
          <w:tab w:val="num" w:pos="5040"/>
        </w:tabs>
        <w:ind w:left="5040" w:hanging="360"/>
      </w:pPr>
      <w:rPr>
        <w:rFonts w:ascii="Calibri" w:hAnsi="Calibri" w:hint="default"/>
      </w:rPr>
    </w:lvl>
    <w:lvl w:ilvl="7" w:tplc="4F783390" w:tentative="1">
      <w:start w:val="1"/>
      <w:numFmt w:val="bullet"/>
      <w:lvlText w:val="●"/>
      <w:lvlJc w:val="left"/>
      <w:pPr>
        <w:tabs>
          <w:tab w:val="num" w:pos="5760"/>
        </w:tabs>
        <w:ind w:left="5760" w:hanging="360"/>
      </w:pPr>
      <w:rPr>
        <w:rFonts w:ascii="Calibri" w:hAnsi="Calibri" w:hint="default"/>
      </w:rPr>
    </w:lvl>
    <w:lvl w:ilvl="8" w:tplc="A8D690EE" w:tentative="1">
      <w:start w:val="1"/>
      <w:numFmt w:val="bullet"/>
      <w:lvlText w:val="●"/>
      <w:lvlJc w:val="left"/>
      <w:pPr>
        <w:tabs>
          <w:tab w:val="num" w:pos="6480"/>
        </w:tabs>
        <w:ind w:left="6480" w:hanging="360"/>
      </w:pPr>
      <w:rPr>
        <w:rFonts w:ascii="Calibri" w:hAnsi="Calibri" w:hint="default"/>
      </w:rPr>
    </w:lvl>
  </w:abstractNum>
  <w:abstractNum w:abstractNumId="19">
    <w:nsid w:val="59A422CD"/>
    <w:multiLevelType w:val="hybridMultilevel"/>
    <w:tmpl w:val="9E3AA614"/>
    <w:lvl w:ilvl="0" w:tplc="C8B8E22C">
      <w:start w:val="1"/>
      <w:numFmt w:val="bullet"/>
      <w:lvlText w:val="•"/>
      <w:lvlJc w:val="left"/>
      <w:pPr>
        <w:tabs>
          <w:tab w:val="num" w:pos="720"/>
        </w:tabs>
        <w:ind w:left="720" w:hanging="360"/>
      </w:pPr>
      <w:rPr>
        <w:rFonts w:ascii="Times New Roman" w:hAnsi="Times New Roman" w:hint="default"/>
      </w:rPr>
    </w:lvl>
    <w:lvl w:ilvl="1" w:tplc="4A4EF2E0" w:tentative="1">
      <w:start w:val="1"/>
      <w:numFmt w:val="bullet"/>
      <w:lvlText w:val="•"/>
      <w:lvlJc w:val="left"/>
      <w:pPr>
        <w:tabs>
          <w:tab w:val="num" w:pos="1440"/>
        </w:tabs>
        <w:ind w:left="1440" w:hanging="360"/>
      </w:pPr>
      <w:rPr>
        <w:rFonts w:ascii="Times New Roman" w:hAnsi="Times New Roman" w:hint="default"/>
      </w:rPr>
    </w:lvl>
    <w:lvl w:ilvl="2" w:tplc="039CE04C" w:tentative="1">
      <w:start w:val="1"/>
      <w:numFmt w:val="bullet"/>
      <w:lvlText w:val="•"/>
      <w:lvlJc w:val="left"/>
      <w:pPr>
        <w:tabs>
          <w:tab w:val="num" w:pos="2160"/>
        </w:tabs>
        <w:ind w:left="2160" w:hanging="360"/>
      </w:pPr>
      <w:rPr>
        <w:rFonts w:ascii="Times New Roman" w:hAnsi="Times New Roman" w:hint="default"/>
      </w:rPr>
    </w:lvl>
    <w:lvl w:ilvl="3" w:tplc="56C646FA" w:tentative="1">
      <w:start w:val="1"/>
      <w:numFmt w:val="bullet"/>
      <w:lvlText w:val="•"/>
      <w:lvlJc w:val="left"/>
      <w:pPr>
        <w:tabs>
          <w:tab w:val="num" w:pos="2880"/>
        </w:tabs>
        <w:ind w:left="2880" w:hanging="360"/>
      </w:pPr>
      <w:rPr>
        <w:rFonts w:ascii="Times New Roman" w:hAnsi="Times New Roman" w:hint="default"/>
      </w:rPr>
    </w:lvl>
    <w:lvl w:ilvl="4" w:tplc="3946BC68" w:tentative="1">
      <w:start w:val="1"/>
      <w:numFmt w:val="bullet"/>
      <w:lvlText w:val="•"/>
      <w:lvlJc w:val="left"/>
      <w:pPr>
        <w:tabs>
          <w:tab w:val="num" w:pos="3600"/>
        </w:tabs>
        <w:ind w:left="3600" w:hanging="360"/>
      </w:pPr>
      <w:rPr>
        <w:rFonts w:ascii="Times New Roman" w:hAnsi="Times New Roman" w:hint="default"/>
      </w:rPr>
    </w:lvl>
    <w:lvl w:ilvl="5" w:tplc="6CF80898" w:tentative="1">
      <w:start w:val="1"/>
      <w:numFmt w:val="bullet"/>
      <w:lvlText w:val="•"/>
      <w:lvlJc w:val="left"/>
      <w:pPr>
        <w:tabs>
          <w:tab w:val="num" w:pos="4320"/>
        </w:tabs>
        <w:ind w:left="4320" w:hanging="360"/>
      </w:pPr>
      <w:rPr>
        <w:rFonts w:ascii="Times New Roman" w:hAnsi="Times New Roman" w:hint="default"/>
      </w:rPr>
    </w:lvl>
    <w:lvl w:ilvl="6" w:tplc="30D6DC96" w:tentative="1">
      <w:start w:val="1"/>
      <w:numFmt w:val="bullet"/>
      <w:lvlText w:val="•"/>
      <w:lvlJc w:val="left"/>
      <w:pPr>
        <w:tabs>
          <w:tab w:val="num" w:pos="5040"/>
        </w:tabs>
        <w:ind w:left="5040" w:hanging="360"/>
      </w:pPr>
      <w:rPr>
        <w:rFonts w:ascii="Times New Roman" w:hAnsi="Times New Roman" w:hint="default"/>
      </w:rPr>
    </w:lvl>
    <w:lvl w:ilvl="7" w:tplc="1E4826A8" w:tentative="1">
      <w:start w:val="1"/>
      <w:numFmt w:val="bullet"/>
      <w:lvlText w:val="•"/>
      <w:lvlJc w:val="left"/>
      <w:pPr>
        <w:tabs>
          <w:tab w:val="num" w:pos="5760"/>
        </w:tabs>
        <w:ind w:left="5760" w:hanging="360"/>
      </w:pPr>
      <w:rPr>
        <w:rFonts w:ascii="Times New Roman" w:hAnsi="Times New Roman" w:hint="default"/>
      </w:rPr>
    </w:lvl>
    <w:lvl w:ilvl="8" w:tplc="6C02049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B4B0F05"/>
    <w:multiLevelType w:val="hybridMultilevel"/>
    <w:tmpl w:val="BA9EE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F21E39"/>
    <w:multiLevelType w:val="hybridMultilevel"/>
    <w:tmpl w:val="496C436E"/>
    <w:lvl w:ilvl="0" w:tplc="51FC8140">
      <w:start w:val="1"/>
      <w:numFmt w:val="bullet"/>
      <w:lvlText w:val="●"/>
      <w:lvlJc w:val="left"/>
      <w:pPr>
        <w:tabs>
          <w:tab w:val="num" w:pos="720"/>
        </w:tabs>
        <w:ind w:left="720" w:hanging="360"/>
      </w:pPr>
      <w:rPr>
        <w:rFonts w:ascii="Arial" w:hAnsi="Arial" w:hint="default"/>
      </w:rPr>
    </w:lvl>
    <w:lvl w:ilvl="1" w:tplc="0FEE8866" w:tentative="1">
      <w:start w:val="1"/>
      <w:numFmt w:val="bullet"/>
      <w:lvlText w:val="●"/>
      <w:lvlJc w:val="left"/>
      <w:pPr>
        <w:tabs>
          <w:tab w:val="num" w:pos="1440"/>
        </w:tabs>
        <w:ind w:left="1440" w:hanging="360"/>
      </w:pPr>
      <w:rPr>
        <w:rFonts w:ascii="Arial" w:hAnsi="Arial" w:hint="default"/>
      </w:rPr>
    </w:lvl>
    <w:lvl w:ilvl="2" w:tplc="100E651C" w:tentative="1">
      <w:start w:val="1"/>
      <w:numFmt w:val="bullet"/>
      <w:lvlText w:val="●"/>
      <w:lvlJc w:val="left"/>
      <w:pPr>
        <w:tabs>
          <w:tab w:val="num" w:pos="2160"/>
        </w:tabs>
        <w:ind w:left="2160" w:hanging="360"/>
      </w:pPr>
      <w:rPr>
        <w:rFonts w:ascii="Arial" w:hAnsi="Arial" w:hint="default"/>
      </w:rPr>
    </w:lvl>
    <w:lvl w:ilvl="3" w:tplc="4F501546" w:tentative="1">
      <w:start w:val="1"/>
      <w:numFmt w:val="bullet"/>
      <w:lvlText w:val="●"/>
      <w:lvlJc w:val="left"/>
      <w:pPr>
        <w:tabs>
          <w:tab w:val="num" w:pos="2880"/>
        </w:tabs>
        <w:ind w:left="2880" w:hanging="360"/>
      </w:pPr>
      <w:rPr>
        <w:rFonts w:ascii="Arial" w:hAnsi="Arial" w:hint="default"/>
      </w:rPr>
    </w:lvl>
    <w:lvl w:ilvl="4" w:tplc="953CA3F4" w:tentative="1">
      <w:start w:val="1"/>
      <w:numFmt w:val="bullet"/>
      <w:lvlText w:val="●"/>
      <w:lvlJc w:val="left"/>
      <w:pPr>
        <w:tabs>
          <w:tab w:val="num" w:pos="3600"/>
        </w:tabs>
        <w:ind w:left="3600" w:hanging="360"/>
      </w:pPr>
      <w:rPr>
        <w:rFonts w:ascii="Arial" w:hAnsi="Arial" w:hint="default"/>
      </w:rPr>
    </w:lvl>
    <w:lvl w:ilvl="5" w:tplc="421CB6E8" w:tentative="1">
      <w:start w:val="1"/>
      <w:numFmt w:val="bullet"/>
      <w:lvlText w:val="●"/>
      <w:lvlJc w:val="left"/>
      <w:pPr>
        <w:tabs>
          <w:tab w:val="num" w:pos="4320"/>
        </w:tabs>
        <w:ind w:left="4320" w:hanging="360"/>
      </w:pPr>
      <w:rPr>
        <w:rFonts w:ascii="Arial" w:hAnsi="Arial" w:hint="default"/>
      </w:rPr>
    </w:lvl>
    <w:lvl w:ilvl="6" w:tplc="66EE4F80" w:tentative="1">
      <w:start w:val="1"/>
      <w:numFmt w:val="bullet"/>
      <w:lvlText w:val="●"/>
      <w:lvlJc w:val="left"/>
      <w:pPr>
        <w:tabs>
          <w:tab w:val="num" w:pos="5040"/>
        </w:tabs>
        <w:ind w:left="5040" w:hanging="360"/>
      </w:pPr>
      <w:rPr>
        <w:rFonts w:ascii="Arial" w:hAnsi="Arial" w:hint="default"/>
      </w:rPr>
    </w:lvl>
    <w:lvl w:ilvl="7" w:tplc="3FE6B1C0" w:tentative="1">
      <w:start w:val="1"/>
      <w:numFmt w:val="bullet"/>
      <w:lvlText w:val="●"/>
      <w:lvlJc w:val="left"/>
      <w:pPr>
        <w:tabs>
          <w:tab w:val="num" w:pos="5760"/>
        </w:tabs>
        <w:ind w:left="5760" w:hanging="360"/>
      </w:pPr>
      <w:rPr>
        <w:rFonts w:ascii="Arial" w:hAnsi="Arial" w:hint="default"/>
      </w:rPr>
    </w:lvl>
    <w:lvl w:ilvl="8" w:tplc="A3B84344" w:tentative="1">
      <w:start w:val="1"/>
      <w:numFmt w:val="bullet"/>
      <w:lvlText w:val="●"/>
      <w:lvlJc w:val="left"/>
      <w:pPr>
        <w:tabs>
          <w:tab w:val="num" w:pos="6480"/>
        </w:tabs>
        <w:ind w:left="6480" w:hanging="360"/>
      </w:pPr>
      <w:rPr>
        <w:rFonts w:ascii="Arial" w:hAnsi="Arial" w:hint="default"/>
      </w:rPr>
    </w:lvl>
  </w:abstractNum>
  <w:abstractNum w:abstractNumId="22">
    <w:nsid w:val="63214069"/>
    <w:multiLevelType w:val="hybridMultilevel"/>
    <w:tmpl w:val="90488BF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638C4465"/>
    <w:multiLevelType w:val="multilevel"/>
    <w:tmpl w:val="0F708B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4FB4855"/>
    <w:multiLevelType w:val="multilevel"/>
    <w:tmpl w:val="6D7A40C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7D352A7"/>
    <w:multiLevelType w:val="hybridMultilevel"/>
    <w:tmpl w:val="2BD2839A"/>
    <w:lvl w:ilvl="0" w:tplc="27765A8E">
      <w:start w:val="1"/>
      <w:numFmt w:val="bullet"/>
      <w:lvlText w:val="•"/>
      <w:lvlJc w:val="left"/>
      <w:pPr>
        <w:tabs>
          <w:tab w:val="num" w:pos="720"/>
        </w:tabs>
        <w:ind w:left="720" w:hanging="360"/>
      </w:pPr>
      <w:rPr>
        <w:rFonts w:ascii="Arial" w:hAnsi="Arial" w:hint="default"/>
      </w:rPr>
    </w:lvl>
    <w:lvl w:ilvl="1" w:tplc="9296EF32">
      <w:start w:val="1"/>
      <w:numFmt w:val="bullet"/>
      <w:lvlText w:val="•"/>
      <w:lvlJc w:val="left"/>
      <w:pPr>
        <w:tabs>
          <w:tab w:val="num" w:pos="1440"/>
        </w:tabs>
        <w:ind w:left="1440" w:hanging="360"/>
      </w:pPr>
      <w:rPr>
        <w:rFonts w:ascii="Arial" w:hAnsi="Arial" w:hint="default"/>
      </w:rPr>
    </w:lvl>
    <w:lvl w:ilvl="2" w:tplc="FE887172" w:tentative="1">
      <w:start w:val="1"/>
      <w:numFmt w:val="bullet"/>
      <w:lvlText w:val="•"/>
      <w:lvlJc w:val="left"/>
      <w:pPr>
        <w:tabs>
          <w:tab w:val="num" w:pos="2160"/>
        </w:tabs>
        <w:ind w:left="2160" w:hanging="360"/>
      </w:pPr>
      <w:rPr>
        <w:rFonts w:ascii="Arial" w:hAnsi="Arial" w:hint="default"/>
      </w:rPr>
    </w:lvl>
    <w:lvl w:ilvl="3" w:tplc="7E284CA4" w:tentative="1">
      <w:start w:val="1"/>
      <w:numFmt w:val="bullet"/>
      <w:lvlText w:val="•"/>
      <w:lvlJc w:val="left"/>
      <w:pPr>
        <w:tabs>
          <w:tab w:val="num" w:pos="2880"/>
        </w:tabs>
        <w:ind w:left="2880" w:hanging="360"/>
      </w:pPr>
      <w:rPr>
        <w:rFonts w:ascii="Arial" w:hAnsi="Arial" w:hint="default"/>
      </w:rPr>
    </w:lvl>
    <w:lvl w:ilvl="4" w:tplc="BFA01500" w:tentative="1">
      <w:start w:val="1"/>
      <w:numFmt w:val="bullet"/>
      <w:lvlText w:val="•"/>
      <w:lvlJc w:val="left"/>
      <w:pPr>
        <w:tabs>
          <w:tab w:val="num" w:pos="3600"/>
        </w:tabs>
        <w:ind w:left="3600" w:hanging="360"/>
      </w:pPr>
      <w:rPr>
        <w:rFonts w:ascii="Arial" w:hAnsi="Arial" w:hint="default"/>
      </w:rPr>
    </w:lvl>
    <w:lvl w:ilvl="5" w:tplc="EED61992" w:tentative="1">
      <w:start w:val="1"/>
      <w:numFmt w:val="bullet"/>
      <w:lvlText w:val="•"/>
      <w:lvlJc w:val="left"/>
      <w:pPr>
        <w:tabs>
          <w:tab w:val="num" w:pos="4320"/>
        </w:tabs>
        <w:ind w:left="4320" w:hanging="360"/>
      </w:pPr>
      <w:rPr>
        <w:rFonts w:ascii="Arial" w:hAnsi="Arial" w:hint="default"/>
      </w:rPr>
    </w:lvl>
    <w:lvl w:ilvl="6" w:tplc="63CE4B32" w:tentative="1">
      <w:start w:val="1"/>
      <w:numFmt w:val="bullet"/>
      <w:lvlText w:val="•"/>
      <w:lvlJc w:val="left"/>
      <w:pPr>
        <w:tabs>
          <w:tab w:val="num" w:pos="5040"/>
        </w:tabs>
        <w:ind w:left="5040" w:hanging="360"/>
      </w:pPr>
      <w:rPr>
        <w:rFonts w:ascii="Arial" w:hAnsi="Arial" w:hint="default"/>
      </w:rPr>
    </w:lvl>
    <w:lvl w:ilvl="7" w:tplc="3DECF090" w:tentative="1">
      <w:start w:val="1"/>
      <w:numFmt w:val="bullet"/>
      <w:lvlText w:val="•"/>
      <w:lvlJc w:val="left"/>
      <w:pPr>
        <w:tabs>
          <w:tab w:val="num" w:pos="5760"/>
        </w:tabs>
        <w:ind w:left="5760" w:hanging="360"/>
      </w:pPr>
      <w:rPr>
        <w:rFonts w:ascii="Arial" w:hAnsi="Arial" w:hint="default"/>
      </w:rPr>
    </w:lvl>
    <w:lvl w:ilvl="8" w:tplc="4DE0FD7C" w:tentative="1">
      <w:start w:val="1"/>
      <w:numFmt w:val="bullet"/>
      <w:lvlText w:val="•"/>
      <w:lvlJc w:val="left"/>
      <w:pPr>
        <w:tabs>
          <w:tab w:val="num" w:pos="6480"/>
        </w:tabs>
        <w:ind w:left="6480" w:hanging="360"/>
      </w:pPr>
      <w:rPr>
        <w:rFonts w:ascii="Arial" w:hAnsi="Arial" w:hint="default"/>
      </w:rPr>
    </w:lvl>
  </w:abstractNum>
  <w:abstractNum w:abstractNumId="26">
    <w:nsid w:val="682765CF"/>
    <w:multiLevelType w:val="multilevel"/>
    <w:tmpl w:val="F6D05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8293259"/>
    <w:multiLevelType w:val="hybridMultilevel"/>
    <w:tmpl w:val="98381E8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925A86"/>
    <w:multiLevelType w:val="multilevel"/>
    <w:tmpl w:val="32E621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EBF636D"/>
    <w:multiLevelType w:val="hybridMultilevel"/>
    <w:tmpl w:val="1E249ADA"/>
    <w:lvl w:ilvl="0" w:tplc="1960FDD0">
      <w:start w:val="1"/>
      <w:numFmt w:val="bullet"/>
      <w:lvlText w:val="o"/>
      <w:lvlJc w:val="left"/>
      <w:pPr>
        <w:ind w:left="720" w:hanging="360"/>
      </w:pPr>
      <w:rPr>
        <w:rFonts w:ascii="Courier New" w:hAnsi="Courier New" w:cs="Courier New"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0A53E56"/>
    <w:multiLevelType w:val="hybridMultilevel"/>
    <w:tmpl w:val="301881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1C728CA"/>
    <w:multiLevelType w:val="hybridMultilevel"/>
    <w:tmpl w:val="190E7012"/>
    <w:lvl w:ilvl="0" w:tplc="DD96557E">
      <w:start w:val="1"/>
      <w:numFmt w:val="bullet"/>
      <w:lvlText w:val="●"/>
      <w:lvlJc w:val="left"/>
      <w:pPr>
        <w:tabs>
          <w:tab w:val="num" w:pos="720"/>
        </w:tabs>
        <w:ind w:left="720" w:hanging="360"/>
      </w:pPr>
      <w:rPr>
        <w:rFonts w:ascii="Arial" w:hAnsi="Arial" w:hint="default"/>
      </w:rPr>
    </w:lvl>
    <w:lvl w:ilvl="1" w:tplc="5016D6A4" w:tentative="1">
      <w:start w:val="1"/>
      <w:numFmt w:val="bullet"/>
      <w:lvlText w:val="●"/>
      <w:lvlJc w:val="left"/>
      <w:pPr>
        <w:tabs>
          <w:tab w:val="num" w:pos="1440"/>
        </w:tabs>
        <w:ind w:left="1440" w:hanging="360"/>
      </w:pPr>
      <w:rPr>
        <w:rFonts w:ascii="Arial" w:hAnsi="Arial" w:hint="default"/>
      </w:rPr>
    </w:lvl>
    <w:lvl w:ilvl="2" w:tplc="10A01544" w:tentative="1">
      <w:start w:val="1"/>
      <w:numFmt w:val="bullet"/>
      <w:lvlText w:val="●"/>
      <w:lvlJc w:val="left"/>
      <w:pPr>
        <w:tabs>
          <w:tab w:val="num" w:pos="2160"/>
        </w:tabs>
        <w:ind w:left="2160" w:hanging="360"/>
      </w:pPr>
      <w:rPr>
        <w:rFonts w:ascii="Arial" w:hAnsi="Arial" w:hint="default"/>
      </w:rPr>
    </w:lvl>
    <w:lvl w:ilvl="3" w:tplc="4E384A76" w:tentative="1">
      <w:start w:val="1"/>
      <w:numFmt w:val="bullet"/>
      <w:lvlText w:val="●"/>
      <w:lvlJc w:val="left"/>
      <w:pPr>
        <w:tabs>
          <w:tab w:val="num" w:pos="2880"/>
        </w:tabs>
        <w:ind w:left="2880" w:hanging="360"/>
      </w:pPr>
      <w:rPr>
        <w:rFonts w:ascii="Arial" w:hAnsi="Arial" w:hint="default"/>
      </w:rPr>
    </w:lvl>
    <w:lvl w:ilvl="4" w:tplc="18D4F492" w:tentative="1">
      <w:start w:val="1"/>
      <w:numFmt w:val="bullet"/>
      <w:lvlText w:val="●"/>
      <w:lvlJc w:val="left"/>
      <w:pPr>
        <w:tabs>
          <w:tab w:val="num" w:pos="3600"/>
        </w:tabs>
        <w:ind w:left="3600" w:hanging="360"/>
      </w:pPr>
      <w:rPr>
        <w:rFonts w:ascii="Arial" w:hAnsi="Arial" w:hint="default"/>
      </w:rPr>
    </w:lvl>
    <w:lvl w:ilvl="5" w:tplc="44305FE6" w:tentative="1">
      <w:start w:val="1"/>
      <w:numFmt w:val="bullet"/>
      <w:lvlText w:val="●"/>
      <w:lvlJc w:val="left"/>
      <w:pPr>
        <w:tabs>
          <w:tab w:val="num" w:pos="4320"/>
        </w:tabs>
        <w:ind w:left="4320" w:hanging="360"/>
      </w:pPr>
      <w:rPr>
        <w:rFonts w:ascii="Arial" w:hAnsi="Arial" w:hint="default"/>
      </w:rPr>
    </w:lvl>
    <w:lvl w:ilvl="6" w:tplc="80745A1E" w:tentative="1">
      <w:start w:val="1"/>
      <w:numFmt w:val="bullet"/>
      <w:lvlText w:val="●"/>
      <w:lvlJc w:val="left"/>
      <w:pPr>
        <w:tabs>
          <w:tab w:val="num" w:pos="5040"/>
        </w:tabs>
        <w:ind w:left="5040" w:hanging="360"/>
      </w:pPr>
      <w:rPr>
        <w:rFonts w:ascii="Arial" w:hAnsi="Arial" w:hint="default"/>
      </w:rPr>
    </w:lvl>
    <w:lvl w:ilvl="7" w:tplc="AF169392" w:tentative="1">
      <w:start w:val="1"/>
      <w:numFmt w:val="bullet"/>
      <w:lvlText w:val="●"/>
      <w:lvlJc w:val="left"/>
      <w:pPr>
        <w:tabs>
          <w:tab w:val="num" w:pos="5760"/>
        </w:tabs>
        <w:ind w:left="5760" w:hanging="360"/>
      </w:pPr>
      <w:rPr>
        <w:rFonts w:ascii="Arial" w:hAnsi="Arial" w:hint="default"/>
      </w:rPr>
    </w:lvl>
    <w:lvl w:ilvl="8" w:tplc="C1F2DFD6" w:tentative="1">
      <w:start w:val="1"/>
      <w:numFmt w:val="bullet"/>
      <w:lvlText w:val="●"/>
      <w:lvlJc w:val="left"/>
      <w:pPr>
        <w:tabs>
          <w:tab w:val="num" w:pos="6480"/>
        </w:tabs>
        <w:ind w:left="6480" w:hanging="360"/>
      </w:pPr>
      <w:rPr>
        <w:rFonts w:ascii="Arial" w:hAnsi="Arial" w:hint="default"/>
      </w:rPr>
    </w:lvl>
  </w:abstractNum>
  <w:abstractNum w:abstractNumId="32">
    <w:nsid w:val="762B3379"/>
    <w:multiLevelType w:val="hybridMultilevel"/>
    <w:tmpl w:val="D9CCE226"/>
    <w:lvl w:ilvl="0" w:tplc="68F02DE8">
      <w:start w:val="1"/>
      <w:numFmt w:val="bullet"/>
      <w:lvlText w:val="​"/>
      <w:lvlJc w:val="left"/>
      <w:pPr>
        <w:tabs>
          <w:tab w:val="num" w:pos="720"/>
        </w:tabs>
        <w:ind w:left="720" w:hanging="360"/>
      </w:pPr>
      <w:rPr>
        <w:rFonts w:ascii="Calibri" w:hAnsi="Calibri" w:hint="default"/>
      </w:rPr>
    </w:lvl>
    <w:lvl w:ilvl="1" w:tplc="73167802" w:tentative="1">
      <w:start w:val="1"/>
      <w:numFmt w:val="bullet"/>
      <w:lvlText w:val="​"/>
      <w:lvlJc w:val="left"/>
      <w:pPr>
        <w:tabs>
          <w:tab w:val="num" w:pos="1440"/>
        </w:tabs>
        <w:ind w:left="1440" w:hanging="360"/>
      </w:pPr>
      <w:rPr>
        <w:rFonts w:ascii="Calibri" w:hAnsi="Calibri" w:hint="default"/>
      </w:rPr>
    </w:lvl>
    <w:lvl w:ilvl="2" w:tplc="6EB6B542">
      <w:start w:val="1"/>
      <w:numFmt w:val="bullet"/>
      <w:lvlText w:val="​"/>
      <w:lvlJc w:val="left"/>
      <w:pPr>
        <w:tabs>
          <w:tab w:val="num" w:pos="2160"/>
        </w:tabs>
        <w:ind w:left="2160" w:hanging="360"/>
      </w:pPr>
      <w:rPr>
        <w:rFonts w:ascii="Calibri" w:hAnsi="Calibri" w:hint="default"/>
      </w:rPr>
    </w:lvl>
    <w:lvl w:ilvl="3" w:tplc="4BB2602E" w:tentative="1">
      <w:start w:val="1"/>
      <w:numFmt w:val="bullet"/>
      <w:lvlText w:val="​"/>
      <w:lvlJc w:val="left"/>
      <w:pPr>
        <w:tabs>
          <w:tab w:val="num" w:pos="2880"/>
        </w:tabs>
        <w:ind w:left="2880" w:hanging="360"/>
      </w:pPr>
      <w:rPr>
        <w:rFonts w:ascii="Calibri" w:hAnsi="Calibri" w:hint="default"/>
      </w:rPr>
    </w:lvl>
    <w:lvl w:ilvl="4" w:tplc="5010F634" w:tentative="1">
      <w:start w:val="1"/>
      <w:numFmt w:val="bullet"/>
      <w:lvlText w:val="​"/>
      <w:lvlJc w:val="left"/>
      <w:pPr>
        <w:tabs>
          <w:tab w:val="num" w:pos="3600"/>
        </w:tabs>
        <w:ind w:left="3600" w:hanging="360"/>
      </w:pPr>
      <w:rPr>
        <w:rFonts w:ascii="Calibri" w:hAnsi="Calibri" w:hint="default"/>
      </w:rPr>
    </w:lvl>
    <w:lvl w:ilvl="5" w:tplc="E5AECE32" w:tentative="1">
      <w:start w:val="1"/>
      <w:numFmt w:val="bullet"/>
      <w:lvlText w:val="​"/>
      <w:lvlJc w:val="left"/>
      <w:pPr>
        <w:tabs>
          <w:tab w:val="num" w:pos="4320"/>
        </w:tabs>
        <w:ind w:left="4320" w:hanging="360"/>
      </w:pPr>
      <w:rPr>
        <w:rFonts w:ascii="Calibri" w:hAnsi="Calibri" w:hint="default"/>
      </w:rPr>
    </w:lvl>
    <w:lvl w:ilvl="6" w:tplc="E5B84A0C" w:tentative="1">
      <w:start w:val="1"/>
      <w:numFmt w:val="bullet"/>
      <w:lvlText w:val="​"/>
      <w:lvlJc w:val="left"/>
      <w:pPr>
        <w:tabs>
          <w:tab w:val="num" w:pos="5040"/>
        </w:tabs>
        <w:ind w:left="5040" w:hanging="360"/>
      </w:pPr>
      <w:rPr>
        <w:rFonts w:ascii="Calibri" w:hAnsi="Calibri" w:hint="default"/>
      </w:rPr>
    </w:lvl>
    <w:lvl w:ilvl="7" w:tplc="FC3878D6" w:tentative="1">
      <w:start w:val="1"/>
      <w:numFmt w:val="bullet"/>
      <w:lvlText w:val="​"/>
      <w:lvlJc w:val="left"/>
      <w:pPr>
        <w:tabs>
          <w:tab w:val="num" w:pos="5760"/>
        </w:tabs>
        <w:ind w:left="5760" w:hanging="360"/>
      </w:pPr>
      <w:rPr>
        <w:rFonts w:ascii="Calibri" w:hAnsi="Calibri" w:hint="default"/>
      </w:rPr>
    </w:lvl>
    <w:lvl w:ilvl="8" w:tplc="06CAD10A" w:tentative="1">
      <w:start w:val="1"/>
      <w:numFmt w:val="bullet"/>
      <w:lvlText w:val="​"/>
      <w:lvlJc w:val="left"/>
      <w:pPr>
        <w:tabs>
          <w:tab w:val="num" w:pos="6480"/>
        </w:tabs>
        <w:ind w:left="6480" w:hanging="360"/>
      </w:pPr>
      <w:rPr>
        <w:rFonts w:ascii="Calibri" w:hAnsi="Calibri" w:hint="default"/>
      </w:rPr>
    </w:lvl>
  </w:abstractNum>
  <w:abstractNum w:abstractNumId="33">
    <w:nsid w:val="78675670"/>
    <w:multiLevelType w:val="hybridMultilevel"/>
    <w:tmpl w:val="9D0A24DE"/>
    <w:lvl w:ilvl="0" w:tplc="CAF25842">
      <w:start w:val="1"/>
      <w:numFmt w:val="bullet"/>
      <w:lvlText w:val=""/>
      <w:lvlJc w:val="left"/>
      <w:pPr>
        <w:ind w:left="4505"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4">
    <w:nsid w:val="792C520C"/>
    <w:multiLevelType w:val="multilevel"/>
    <w:tmpl w:val="C54EDC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C9F3BE5"/>
    <w:multiLevelType w:val="hybridMultilevel"/>
    <w:tmpl w:val="F2261C26"/>
    <w:lvl w:ilvl="0" w:tplc="0C09000D">
      <w:start w:val="1"/>
      <w:numFmt w:val="bullet"/>
      <w:lvlText w:val=""/>
      <w:lvlJc w:val="left"/>
      <w:pPr>
        <w:ind w:left="1975" w:hanging="360"/>
      </w:pPr>
      <w:rPr>
        <w:rFonts w:ascii="Wingdings" w:hAnsi="Wingdings" w:hint="default"/>
      </w:rPr>
    </w:lvl>
    <w:lvl w:ilvl="1" w:tplc="0C090003" w:tentative="1">
      <w:start w:val="1"/>
      <w:numFmt w:val="bullet"/>
      <w:lvlText w:val="o"/>
      <w:lvlJc w:val="left"/>
      <w:pPr>
        <w:ind w:left="2695" w:hanging="360"/>
      </w:pPr>
      <w:rPr>
        <w:rFonts w:ascii="Courier New" w:hAnsi="Courier New" w:cs="Courier New" w:hint="default"/>
      </w:rPr>
    </w:lvl>
    <w:lvl w:ilvl="2" w:tplc="0C090005" w:tentative="1">
      <w:start w:val="1"/>
      <w:numFmt w:val="bullet"/>
      <w:lvlText w:val=""/>
      <w:lvlJc w:val="left"/>
      <w:pPr>
        <w:ind w:left="3415" w:hanging="360"/>
      </w:pPr>
      <w:rPr>
        <w:rFonts w:ascii="Wingdings" w:hAnsi="Wingdings" w:hint="default"/>
      </w:rPr>
    </w:lvl>
    <w:lvl w:ilvl="3" w:tplc="0C090001" w:tentative="1">
      <w:start w:val="1"/>
      <w:numFmt w:val="bullet"/>
      <w:lvlText w:val=""/>
      <w:lvlJc w:val="left"/>
      <w:pPr>
        <w:ind w:left="4135" w:hanging="360"/>
      </w:pPr>
      <w:rPr>
        <w:rFonts w:ascii="Symbol" w:hAnsi="Symbol" w:hint="default"/>
      </w:rPr>
    </w:lvl>
    <w:lvl w:ilvl="4" w:tplc="0C090003" w:tentative="1">
      <w:start w:val="1"/>
      <w:numFmt w:val="bullet"/>
      <w:lvlText w:val="o"/>
      <w:lvlJc w:val="left"/>
      <w:pPr>
        <w:ind w:left="4855" w:hanging="360"/>
      </w:pPr>
      <w:rPr>
        <w:rFonts w:ascii="Courier New" w:hAnsi="Courier New" w:cs="Courier New" w:hint="default"/>
      </w:rPr>
    </w:lvl>
    <w:lvl w:ilvl="5" w:tplc="0C090005" w:tentative="1">
      <w:start w:val="1"/>
      <w:numFmt w:val="bullet"/>
      <w:lvlText w:val=""/>
      <w:lvlJc w:val="left"/>
      <w:pPr>
        <w:ind w:left="5575" w:hanging="360"/>
      </w:pPr>
      <w:rPr>
        <w:rFonts w:ascii="Wingdings" w:hAnsi="Wingdings" w:hint="default"/>
      </w:rPr>
    </w:lvl>
    <w:lvl w:ilvl="6" w:tplc="0C090001" w:tentative="1">
      <w:start w:val="1"/>
      <w:numFmt w:val="bullet"/>
      <w:lvlText w:val=""/>
      <w:lvlJc w:val="left"/>
      <w:pPr>
        <w:ind w:left="6295" w:hanging="360"/>
      </w:pPr>
      <w:rPr>
        <w:rFonts w:ascii="Symbol" w:hAnsi="Symbol" w:hint="default"/>
      </w:rPr>
    </w:lvl>
    <w:lvl w:ilvl="7" w:tplc="0C090003" w:tentative="1">
      <w:start w:val="1"/>
      <w:numFmt w:val="bullet"/>
      <w:lvlText w:val="o"/>
      <w:lvlJc w:val="left"/>
      <w:pPr>
        <w:ind w:left="7015" w:hanging="360"/>
      </w:pPr>
      <w:rPr>
        <w:rFonts w:ascii="Courier New" w:hAnsi="Courier New" w:cs="Courier New" w:hint="default"/>
      </w:rPr>
    </w:lvl>
    <w:lvl w:ilvl="8" w:tplc="0C090005" w:tentative="1">
      <w:start w:val="1"/>
      <w:numFmt w:val="bullet"/>
      <w:lvlText w:val=""/>
      <w:lvlJc w:val="left"/>
      <w:pPr>
        <w:ind w:left="7735" w:hanging="360"/>
      </w:pPr>
      <w:rPr>
        <w:rFonts w:ascii="Wingdings" w:hAnsi="Wingdings" w:hint="default"/>
      </w:rPr>
    </w:lvl>
  </w:abstractNum>
  <w:abstractNum w:abstractNumId="36">
    <w:nsid w:val="7F9B3B4D"/>
    <w:multiLevelType w:val="hybridMultilevel"/>
    <w:tmpl w:val="4E6E5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4"/>
  </w:num>
  <w:num w:numId="4">
    <w:abstractNumId w:val="36"/>
  </w:num>
  <w:num w:numId="5">
    <w:abstractNumId w:val="3"/>
  </w:num>
  <w:num w:numId="6">
    <w:abstractNumId w:val="20"/>
  </w:num>
  <w:num w:numId="7">
    <w:abstractNumId w:val="12"/>
  </w:num>
  <w:num w:numId="8">
    <w:abstractNumId w:val="18"/>
  </w:num>
  <w:num w:numId="9">
    <w:abstractNumId w:val="21"/>
  </w:num>
  <w:num w:numId="10">
    <w:abstractNumId w:val="0"/>
  </w:num>
  <w:num w:numId="11">
    <w:abstractNumId w:val="31"/>
  </w:num>
  <w:num w:numId="12">
    <w:abstractNumId w:val="8"/>
  </w:num>
  <w:num w:numId="13">
    <w:abstractNumId w:val="16"/>
  </w:num>
  <w:num w:numId="14">
    <w:abstractNumId w:val="10"/>
  </w:num>
  <w:num w:numId="15">
    <w:abstractNumId w:val="6"/>
  </w:num>
  <w:num w:numId="16">
    <w:abstractNumId w:val="30"/>
  </w:num>
  <w:num w:numId="17">
    <w:abstractNumId w:val="1"/>
  </w:num>
  <w:num w:numId="18">
    <w:abstractNumId w:val="22"/>
  </w:num>
  <w:num w:numId="19">
    <w:abstractNumId w:val="9"/>
  </w:num>
  <w:num w:numId="20">
    <w:abstractNumId w:val="17"/>
  </w:num>
  <w:num w:numId="21">
    <w:abstractNumId w:val="5"/>
  </w:num>
  <w:num w:numId="22">
    <w:abstractNumId w:val="34"/>
  </w:num>
  <w:num w:numId="23">
    <w:abstractNumId w:val="24"/>
  </w:num>
  <w:num w:numId="24">
    <w:abstractNumId w:val="28"/>
  </w:num>
  <w:num w:numId="25">
    <w:abstractNumId w:val="23"/>
  </w:num>
  <w:num w:numId="26">
    <w:abstractNumId w:val="4"/>
  </w:num>
  <w:num w:numId="27">
    <w:abstractNumId w:val="29"/>
  </w:num>
  <w:num w:numId="28">
    <w:abstractNumId w:val="19"/>
  </w:num>
  <w:num w:numId="29">
    <w:abstractNumId w:val="11"/>
  </w:num>
  <w:num w:numId="30">
    <w:abstractNumId w:val="13"/>
  </w:num>
  <w:num w:numId="31">
    <w:abstractNumId w:val="32"/>
  </w:num>
  <w:num w:numId="32">
    <w:abstractNumId w:val="7"/>
  </w:num>
  <w:num w:numId="33">
    <w:abstractNumId w:val="33"/>
  </w:num>
  <w:num w:numId="34">
    <w:abstractNumId w:val="35"/>
  </w:num>
  <w:num w:numId="35">
    <w:abstractNumId w:val="27"/>
  </w:num>
  <w:num w:numId="36">
    <w:abstractNumId w:val="25"/>
  </w:num>
  <w:num w:numId="37">
    <w:abstractNumId w:val="2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B4"/>
    <w:rsid w:val="00005DB4"/>
    <w:rsid w:val="0002176D"/>
    <w:rsid w:val="00052C8F"/>
    <w:rsid w:val="00061B02"/>
    <w:rsid w:val="00062912"/>
    <w:rsid w:val="00071580"/>
    <w:rsid w:val="00072C11"/>
    <w:rsid w:val="000877EC"/>
    <w:rsid w:val="000A1308"/>
    <w:rsid w:val="000A15F6"/>
    <w:rsid w:val="000A2CF9"/>
    <w:rsid w:val="000A4464"/>
    <w:rsid w:val="000A68F6"/>
    <w:rsid w:val="000C0DB8"/>
    <w:rsid w:val="000C2499"/>
    <w:rsid w:val="000D7343"/>
    <w:rsid w:val="000E01C0"/>
    <w:rsid w:val="000E4F75"/>
    <w:rsid w:val="000E7EF0"/>
    <w:rsid w:val="0010293C"/>
    <w:rsid w:val="00110DAB"/>
    <w:rsid w:val="00111780"/>
    <w:rsid w:val="00127326"/>
    <w:rsid w:val="00127DDA"/>
    <w:rsid w:val="00131461"/>
    <w:rsid w:val="001413F3"/>
    <w:rsid w:val="00146623"/>
    <w:rsid w:val="00152A94"/>
    <w:rsid w:val="00164C4F"/>
    <w:rsid w:val="0016585C"/>
    <w:rsid w:val="00170DE3"/>
    <w:rsid w:val="00173237"/>
    <w:rsid w:val="00175577"/>
    <w:rsid w:val="00175EF6"/>
    <w:rsid w:val="00177956"/>
    <w:rsid w:val="001827F5"/>
    <w:rsid w:val="00192EDF"/>
    <w:rsid w:val="001971F0"/>
    <w:rsid w:val="001A1C4D"/>
    <w:rsid w:val="001A4BD1"/>
    <w:rsid w:val="001A4F9F"/>
    <w:rsid w:val="001A6D33"/>
    <w:rsid w:val="001B206E"/>
    <w:rsid w:val="001B76DF"/>
    <w:rsid w:val="001D2DC0"/>
    <w:rsid w:val="001D56F2"/>
    <w:rsid w:val="001D7D8B"/>
    <w:rsid w:val="001E6CCA"/>
    <w:rsid w:val="001F0BB4"/>
    <w:rsid w:val="0020134D"/>
    <w:rsid w:val="00223AB4"/>
    <w:rsid w:val="002245EB"/>
    <w:rsid w:val="00232521"/>
    <w:rsid w:val="00233627"/>
    <w:rsid w:val="00235C42"/>
    <w:rsid w:val="00235D51"/>
    <w:rsid w:val="002716CF"/>
    <w:rsid w:val="00275900"/>
    <w:rsid w:val="00275DB2"/>
    <w:rsid w:val="00283C9D"/>
    <w:rsid w:val="00287589"/>
    <w:rsid w:val="00290742"/>
    <w:rsid w:val="00291D14"/>
    <w:rsid w:val="002952A8"/>
    <w:rsid w:val="00297ED4"/>
    <w:rsid w:val="002A722D"/>
    <w:rsid w:val="002A7A7F"/>
    <w:rsid w:val="002C366E"/>
    <w:rsid w:val="002C6948"/>
    <w:rsid w:val="002C7C92"/>
    <w:rsid w:val="002D241E"/>
    <w:rsid w:val="002D690B"/>
    <w:rsid w:val="002E2180"/>
    <w:rsid w:val="002E2A44"/>
    <w:rsid w:val="002E3A7D"/>
    <w:rsid w:val="002E7845"/>
    <w:rsid w:val="002F17C6"/>
    <w:rsid w:val="002F4E9D"/>
    <w:rsid w:val="00304051"/>
    <w:rsid w:val="00304E1D"/>
    <w:rsid w:val="00311759"/>
    <w:rsid w:val="0032267F"/>
    <w:rsid w:val="00343D7D"/>
    <w:rsid w:val="0034494F"/>
    <w:rsid w:val="00346AF7"/>
    <w:rsid w:val="00347C64"/>
    <w:rsid w:val="003502EB"/>
    <w:rsid w:val="00351939"/>
    <w:rsid w:val="0035354A"/>
    <w:rsid w:val="00360113"/>
    <w:rsid w:val="00360F63"/>
    <w:rsid w:val="00361854"/>
    <w:rsid w:val="00363F6A"/>
    <w:rsid w:val="00371971"/>
    <w:rsid w:val="0038074C"/>
    <w:rsid w:val="00390F05"/>
    <w:rsid w:val="0039333C"/>
    <w:rsid w:val="003A351D"/>
    <w:rsid w:val="003A4FF4"/>
    <w:rsid w:val="003A5BE6"/>
    <w:rsid w:val="003B4D05"/>
    <w:rsid w:val="003C43F2"/>
    <w:rsid w:val="003D51EC"/>
    <w:rsid w:val="003E0DB2"/>
    <w:rsid w:val="003E14C8"/>
    <w:rsid w:val="003E1546"/>
    <w:rsid w:val="003F0E46"/>
    <w:rsid w:val="003F17C7"/>
    <w:rsid w:val="00403797"/>
    <w:rsid w:val="004111E3"/>
    <w:rsid w:val="00412221"/>
    <w:rsid w:val="00416D2F"/>
    <w:rsid w:val="0043096A"/>
    <w:rsid w:val="00437223"/>
    <w:rsid w:val="0043792F"/>
    <w:rsid w:val="00442CFB"/>
    <w:rsid w:val="00450BF2"/>
    <w:rsid w:val="00460616"/>
    <w:rsid w:val="00467B89"/>
    <w:rsid w:val="00467BF8"/>
    <w:rsid w:val="00482F66"/>
    <w:rsid w:val="0048403B"/>
    <w:rsid w:val="004847D3"/>
    <w:rsid w:val="004958F9"/>
    <w:rsid w:val="004A280C"/>
    <w:rsid w:val="004A5881"/>
    <w:rsid w:val="004B0FB6"/>
    <w:rsid w:val="004C0555"/>
    <w:rsid w:val="004C4C84"/>
    <w:rsid w:val="004D0D77"/>
    <w:rsid w:val="004D2FE3"/>
    <w:rsid w:val="004D4EEA"/>
    <w:rsid w:val="004E50CF"/>
    <w:rsid w:val="004F184E"/>
    <w:rsid w:val="004F1E87"/>
    <w:rsid w:val="005141A4"/>
    <w:rsid w:val="005212B8"/>
    <w:rsid w:val="0053661C"/>
    <w:rsid w:val="00547846"/>
    <w:rsid w:val="00547C04"/>
    <w:rsid w:val="00550362"/>
    <w:rsid w:val="00550B06"/>
    <w:rsid w:val="005715E1"/>
    <w:rsid w:val="00573750"/>
    <w:rsid w:val="005744F7"/>
    <w:rsid w:val="00576DC6"/>
    <w:rsid w:val="00590D1B"/>
    <w:rsid w:val="00590D50"/>
    <w:rsid w:val="005918C5"/>
    <w:rsid w:val="00596E5F"/>
    <w:rsid w:val="00597CE7"/>
    <w:rsid w:val="005A283F"/>
    <w:rsid w:val="005A63BC"/>
    <w:rsid w:val="005B2469"/>
    <w:rsid w:val="005C162B"/>
    <w:rsid w:val="005C31AB"/>
    <w:rsid w:val="005C3608"/>
    <w:rsid w:val="005C422C"/>
    <w:rsid w:val="005C5167"/>
    <w:rsid w:val="005C5C82"/>
    <w:rsid w:val="005C7D2C"/>
    <w:rsid w:val="005D36AB"/>
    <w:rsid w:val="0060175F"/>
    <w:rsid w:val="006109CC"/>
    <w:rsid w:val="0061496C"/>
    <w:rsid w:val="00616480"/>
    <w:rsid w:val="006238A0"/>
    <w:rsid w:val="00635C95"/>
    <w:rsid w:val="006443D3"/>
    <w:rsid w:val="0065187E"/>
    <w:rsid w:val="0067772D"/>
    <w:rsid w:val="00686B40"/>
    <w:rsid w:val="006B54DA"/>
    <w:rsid w:val="006D52E3"/>
    <w:rsid w:val="006F64AB"/>
    <w:rsid w:val="006F6DD7"/>
    <w:rsid w:val="00701363"/>
    <w:rsid w:val="0070169C"/>
    <w:rsid w:val="00710A01"/>
    <w:rsid w:val="00717DBC"/>
    <w:rsid w:val="0072077C"/>
    <w:rsid w:val="00722037"/>
    <w:rsid w:val="007273DD"/>
    <w:rsid w:val="00731030"/>
    <w:rsid w:val="00736BC4"/>
    <w:rsid w:val="007514FB"/>
    <w:rsid w:val="00762383"/>
    <w:rsid w:val="007629BB"/>
    <w:rsid w:val="00763E28"/>
    <w:rsid w:val="00767A7E"/>
    <w:rsid w:val="007717BB"/>
    <w:rsid w:val="00785AA6"/>
    <w:rsid w:val="00790E4E"/>
    <w:rsid w:val="00791D87"/>
    <w:rsid w:val="00793A2A"/>
    <w:rsid w:val="007A16B3"/>
    <w:rsid w:val="007A3C8A"/>
    <w:rsid w:val="007A44A8"/>
    <w:rsid w:val="007D5419"/>
    <w:rsid w:val="007D541A"/>
    <w:rsid w:val="007F2921"/>
    <w:rsid w:val="007F2C19"/>
    <w:rsid w:val="007F446F"/>
    <w:rsid w:val="007F4E20"/>
    <w:rsid w:val="007F7E3B"/>
    <w:rsid w:val="008058F6"/>
    <w:rsid w:val="00806CE4"/>
    <w:rsid w:val="00825E59"/>
    <w:rsid w:val="00827DF8"/>
    <w:rsid w:val="008378CB"/>
    <w:rsid w:val="0084021A"/>
    <w:rsid w:val="008427A7"/>
    <w:rsid w:val="00844CCB"/>
    <w:rsid w:val="00847186"/>
    <w:rsid w:val="008569A9"/>
    <w:rsid w:val="00856F07"/>
    <w:rsid w:val="00860786"/>
    <w:rsid w:val="008615C6"/>
    <w:rsid w:val="008662DC"/>
    <w:rsid w:val="008679AD"/>
    <w:rsid w:val="0087237B"/>
    <w:rsid w:val="0087465D"/>
    <w:rsid w:val="00885028"/>
    <w:rsid w:val="0088594F"/>
    <w:rsid w:val="0089245C"/>
    <w:rsid w:val="008A4BD4"/>
    <w:rsid w:val="008A616C"/>
    <w:rsid w:val="008B2F77"/>
    <w:rsid w:val="008C06C7"/>
    <w:rsid w:val="008C2C5E"/>
    <w:rsid w:val="008E1361"/>
    <w:rsid w:val="008E2CCF"/>
    <w:rsid w:val="008E4524"/>
    <w:rsid w:val="008E5A20"/>
    <w:rsid w:val="008F4B1B"/>
    <w:rsid w:val="00901D07"/>
    <w:rsid w:val="00911DD8"/>
    <w:rsid w:val="00925CDB"/>
    <w:rsid w:val="00932D1E"/>
    <w:rsid w:val="009344F4"/>
    <w:rsid w:val="0093465D"/>
    <w:rsid w:val="00943928"/>
    <w:rsid w:val="00947F69"/>
    <w:rsid w:val="0095069F"/>
    <w:rsid w:val="00970EBE"/>
    <w:rsid w:val="00980A0F"/>
    <w:rsid w:val="009872CF"/>
    <w:rsid w:val="00990DDC"/>
    <w:rsid w:val="00990E68"/>
    <w:rsid w:val="009915FE"/>
    <w:rsid w:val="009935E4"/>
    <w:rsid w:val="009975D6"/>
    <w:rsid w:val="009A2D06"/>
    <w:rsid w:val="009A2F53"/>
    <w:rsid w:val="009B134F"/>
    <w:rsid w:val="009B3D2F"/>
    <w:rsid w:val="009C159D"/>
    <w:rsid w:val="009C4127"/>
    <w:rsid w:val="009C686C"/>
    <w:rsid w:val="009D17AD"/>
    <w:rsid w:val="009D184A"/>
    <w:rsid w:val="009D1DA9"/>
    <w:rsid w:val="009E28DC"/>
    <w:rsid w:val="00A04D37"/>
    <w:rsid w:val="00A05186"/>
    <w:rsid w:val="00A14C99"/>
    <w:rsid w:val="00A16F5A"/>
    <w:rsid w:val="00A23F6D"/>
    <w:rsid w:val="00A31000"/>
    <w:rsid w:val="00A31515"/>
    <w:rsid w:val="00A365BF"/>
    <w:rsid w:val="00A428FB"/>
    <w:rsid w:val="00A5029F"/>
    <w:rsid w:val="00A5270E"/>
    <w:rsid w:val="00A551C0"/>
    <w:rsid w:val="00A60E02"/>
    <w:rsid w:val="00A60F17"/>
    <w:rsid w:val="00A613F9"/>
    <w:rsid w:val="00A6466D"/>
    <w:rsid w:val="00A661C7"/>
    <w:rsid w:val="00A66B2A"/>
    <w:rsid w:val="00A734BA"/>
    <w:rsid w:val="00A75E97"/>
    <w:rsid w:val="00A80643"/>
    <w:rsid w:val="00A817BE"/>
    <w:rsid w:val="00A91BDB"/>
    <w:rsid w:val="00A93E1C"/>
    <w:rsid w:val="00AB3ADD"/>
    <w:rsid w:val="00AC42AE"/>
    <w:rsid w:val="00AE67BD"/>
    <w:rsid w:val="00B01258"/>
    <w:rsid w:val="00B02C19"/>
    <w:rsid w:val="00B0566F"/>
    <w:rsid w:val="00B063A2"/>
    <w:rsid w:val="00B07C01"/>
    <w:rsid w:val="00B105AD"/>
    <w:rsid w:val="00B134CA"/>
    <w:rsid w:val="00B22C89"/>
    <w:rsid w:val="00B24D07"/>
    <w:rsid w:val="00B25D15"/>
    <w:rsid w:val="00B33624"/>
    <w:rsid w:val="00B337B3"/>
    <w:rsid w:val="00B37554"/>
    <w:rsid w:val="00B4626A"/>
    <w:rsid w:val="00B54260"/>
    <w:rsid w:val="00B55C81"/>
    <w:rsid w:val="00B56387"/>
    <w:rsid w:val="00B62B1F"/>
    <w:rsid w:val="00B65CD4"/>
    <w:rsid w:val="00B670F2"/>
    <w:rsid w:val="00B70A1E"/>
    <w:rsid w:val="00B83B08"/>
    <w:rsid w:val="00B877F0"/>
    <w:rsid w:val="00B92617"/>
    <w:rsid w:val="00B94523"/>
    <w:rsid w:val="00BA516B"/>
    <w:rsid w:val="00BC6F39"/>
    <w:rsid w:val="00BC79BF"/>
    <w:rsid w:val="00BD025D"/>
    <w:rsid w:val="00BD4C6B"/>
    <w:rsid w:val="00BE0B0C"/>
    <w:rsid w:val="00BE12B9"/>
    <w:rsid w:val="00BE26D5"/>
    <w:rsid w:val="00BE3E90"/>
    <w:rsid w:val="00BF16D7"/>
    <w:rsid w:val="00BF3AFC"/>
    <w:rsid w:val="00C0053B"/>
    <w:rsid w:val="00C00796"/>
    <w:rsid w:val="00C07663"/>
    <w:rsid w:val="00C07B71"/>
    <w:rsid w:val="00C1245F"/>
    <w:rsid w:val="00C226E8"/>
    <w:rsid w:val="00C24BF5"/>
    <w:rsid w:val="00C25F5E"/>
    <w:rsid w:val="00C34D9D"/>
    <w:rsid w:val="00C34F01"/>
    <w:rsid w:val="00C35739"/>
    <w:rsid w:val="00C44C70"/>
    <w:rsid w:val="00C55A70"/>
    <w:rsid w:val="00C65345"/>
    <w:rsid w:val="00C72934"/>
    <w:rsid w:val="00C84E58"/>
    <w:rsid w:val="00C87438"/>
    <w:rsid w:val="00C9107C"/>
    <w:rsid w:val="00C971A6"/>
    <w:rsid w:val="00CA2BC9"/>
    <w:rsid w:val="00CB02E9"/>
    <w:rsid w:val="00CB26D2"/>
    <w:rsid w:val="00CC1597"/>
    <w:rsid w:val="00CD1D98"/>
    <w:rsid w:val="00CE5C93"/>
    <w:rsid w:val="00CF142E"/>
    <w:rsid w:val="00CF4292"/>
    <w:rsid w:val="00CF6221"/>
    <w:rsid w:val="00D03108"/>
    <w:rsid w:val="00D06A0E"/>
    <w:rsid w:val="00D12AEA"/>
    <w:rsid w:val="00D212D8"/>
    <w:rsid w:val="00D31644"/>
    <w:rsid w:val="00D405B6"/>
    <w:rsid w:val="00D42DDB"/>
    <w:rsid w:val="00D43EB9"/>
    <w:rsid w:val="00D45091"/>
    <w:rsid w:val="00D6239B"/>
    <w:rsid w:val="00D62EAC"/>
    <w:rsid w:val="00D77CE2"/>
    <w:rsid w:val="00D81616"/>
    <w:rsid w:val="00D819EE"/>
    <w:rsid w:val="00D84757"/>
    <w:rsid w:val="00D85374"/>
    <w:rsid w:val="00D86A22"/>
    <w:rsid w:val="00DA41AB"/>
    <w:rsid w:val="00DA54BC"/>
    <w:rsid w:val="00DB7BFD"/>
    <w:rsid w:val="00DC0A70"/>
    <w:rsid w:val="00DC205F"/>
    <w:rsid w:val="00DD20C2"/>
    <w:rsid w:val="00DD4661"/>
    <w:rsid w:val="00DD6AB0"/>
    <w:rsid w:val="00DE1F4C"/>
    <w:rsid w:val="00DE2EF4"/>
    <w:rsid w:val="00DE5FC0"/>
    <w:rsid w:val="00DE61D3"/>
    <w:rsid w:val="00DF1DF3"/>
    <w:rsid w:val="00DF1FA0"/>
    <w:rsid w:val="00DF78C4"/>
    <w:rsid w:val="00E006B5"/>
    <w:rsid w:val="00E04241"/>
    <w:rsid w:val="00E06D00"/>
    <w:rsid w:val="00E10C23"/>
    <w:rsid w:val="00E157CD"/>
    <w:rsid w:val="00E20D1A"/>
    <w:rsid w:val="00E219BA"/>
    <w:rsid w:val="00E30B50"/>
    <w:rsid w:val="00E31500"/>
    <w:rsid w:val="00E34F00"/>
    <w:rsid w:val="00E40B96"/>
    <w:rsid w:val="00E4577A"/>
    <w:rsid w:val="00E56778"/>
    <w:rsid w:val="00E61D6B"/>
    <w:rsid w:val="00E6611D"/>
    <w:rsid w:val="00E679B7"/>
    <w:rsid w:val="00E67CFF"/>
    <w:rsid w:val="00E724CA"/>
    <w:rsid w:val="00E8545F"/>
    <w:rsid w:val="00EA0B05"/>
    <w:rsid w:val="00EB1B0F"/>
    <w:rsid w:val="00EB39CF"/>
    <w:rsid w:val="00EC10D2"/>
    <w:rsid w:val="00EC295D"/>
    <w:rsid w:val="00EC374D"/>
    <w:rsid w:val="00ED22DA"/>
    <w:rsid w:val="00ED7806"/>
    <w:rsid w:val="00F20C33"/>
    <w:rsid w:val="00F2649C"/>
    <w:rsid w:val="00F305F0"/>
    <w:rsid w:val="00F342B6"/>
    <w:rsid w:val="00F4019C"/>
    <w:rsid w:val="00F524B5"/>
    <w:rsid w:val="00F54283"/>
    <w:rsid w:val="00F6393D"/>
    <w:rsid w:val="00F63996"/>
    <w:rsid w:val="00F67F81"/>
    <w:rsid w:val="00F84457"/>
    <w:rsid w:val="00F85602"/>
    <w:rsid w:val="00FA0900"/>
    <w:rsid w:val="00FA19BB"/>
    <w:rsid w:val="00FA6EC8"/>
    <w:rsid w:val="00FC1F37"/>
    <w:rsid w:val="00FC3A6A"/>
    <w:rsid w:val="00FC3DA5"/>
    <w:rsid w:val="00FD160E"/>
    <w:rsid w:val="00FE0D39"/>
    <w:rsid w:val="00FF135F"/>
    <w:rsid w:val="00FF48BC"/>
    <w:rsid w:val="00FF6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B4"/>
    <w:pPr>
      <w:spacing w:before="200"/>
    </w:pPr>
    <w:rPr>
      <w:rFonts w:asciiTheme="minorHAnsi" w:hAnsiTheme="minorHAnsi"/>
      <w:sz w:val="22"/>
    </w:rPr>
  </w:style>
  <w:style w:type="paragraph" w:styleId="Heading1">
    <w:name w:val="heading 1"/>
    <w:basedOn w:val="Heading2"/>
    <w:next w:val="Normal"/>
    <w:link w:val="Heading1Char"/>
    <w:autoRedefine/>
    <w:uiPriority w:val="9"/>
    <w:qFormat/>
    <w:rsid w:val="00D6239B"/>
    <w:pPr>
      <w:pageBreakBefore/>
      <w:pBdr>
        <w:bottom w:val="single" w:sz="18" w:space="1" w:color="153F7A"/>
      </w:pBdr>
      <w:outlineLvl w:val="0"/>
    </w:pPr>
    <w:rPr>
      <w:rFonts w:asciiTheme="minorHAnsi" w:hAnsiTheme="minorHAnsi"/>
      <w:b w:val="0"/>
      <w:sz w:val="52"/>
      <w:szCs w:val="52"/>
    </w:rPr>
  </w:style>
  <w:style w:type="paragraph" w:styleId="Heading2">
    <w:name w:val="heading 2"/>
    <w:basedOn w:val="Normal"/>
    <w:next w:val="Normal"/>
    <w:link w:val="Heading2Char"/>
    <w:uiPriority w:val="9"/>
    <w:unhideWhenUsed/>
    <w:qFormat/>
    <w:rsid w:val="00E6611D"/>
    <w:pPr>
      <w:spacing w:after="120"/>
      <w:ind w:left="1418" w:hanging="1418"/>
      <w:outlineLvl w:val="1"/>
    </w:pPr>
    <w:rPr>
      <w:rFonts w:ascii="Arial" w:hAnsi="Arial" w:cs="Arial"/>
      <w:b/>
      <w:color w:val="103060"/>
      <w:sz w:val="24"/>
      <w:szCs w:val="24"/>
    </w:rPr>
  </w:style>
  <w:style w:type="paragraph" w:styleId="Heading3">
    <w:name w:val="heading 3"/>
    <w:basedOn w:val="Heading2"/>
    <w:next w:val="Normal"/>
    <w:link w:val="Heading3Char"/>
    <w:autoRedefine/>
    <w:uiPriority w:val="9"/>
    <w:unhideWhenUsed/>
    <w:qFormat/>
    <w:rsid w:val="00E6611D"/>
    <w:pPr>
      <w:outlineLvl w:val="2"/>
    </w:pPr>
    <w:rPr>
      <w:b w:val="0"/>
    </w:rPr>
  </w:style>
  <w:style w:type="paragraph" w:styleId="Heading4">
    <w:name w:val="heading 4"/>
    <w:basedOn w:val="Normal"/>
    <w:next w:val="Normal"/>
    <w:link w:val="Heading4Char"/>
    <w:uiPriority w:val="9"/>
    <w:semiHidden/>
    <w:unhideWhenUsed/>
    <w:qFormat/>
    <w:rsid w:val="00925CDB"/>
    <w:pPr>
      <w:spacing w:after="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rderteststyle">
    <w:name w:val="Border test style"/>
    <w:uiPriority w:val="99"/>
    <w:rsid w:val="00E724CA"/>
    <w:pPr>
      <w:numPr>
        <w:numId w:val="1"/>
      </w:numPr>
    </w:pPr>
  </w:style>
  <w:style w:type="character" w:customStyle="1" w:styleId="Heading1Char">
    <w:name w:val="Heading 1 Char"/>
    <w:basedOn w:val="DefaultParagraphFont"/>
    <w:link w:val="Heading1"/>
    <w:uiPriority w:val="9"/>
    <w:rsid w:val="00D6239B"/>
    <w:rPr>
      <w:rFonts w:asciiTheme="minorHAnsi" w:hAnsiTheme="minorHAnsi" w:cs="Arial"/>
      <w:color w:val="103060"/>
      <w:sz w:val="52"/>
      <w:szCs w:val="52"/>
    </w:rPr>
  </w:style>
  <w:style w:type="character" w:customStyle="1" w:styleId="Heading2Char">
    <w:name w:val="Heading 2 Char"/>
    <w:basedOn w:val="DefaultParagraphFont"/>
    <w:link w:val="Heading2"/>
    <w:uiPriority w:val="9"/>
    <w:rsid w:val="00E6611D"/>
    <w:rPr>
      <w:rFonts w:ascii="Arial" w:hAnsi="Arial" w:cs="Arial"/>
      <w:b/>
      <w:color w:val="103060"/>
      <w:szCs w:val="24"/>
    </w:rPr>
  </w:style>
  <w:style w:type="paragraph" w:customStyle="1" w:styleId="Bullet">
    <w:name w:val="Bullet"/>
    <w:basedOn w:val="Normal"/>
    <w:qFormat/>
    <w:rsid w:val="00DC205F"/>
    <w:pPr>
      <w:numPr>
        <w:numId w:val="2"/>
      </w:numPr>
      <w:spacing w:before="0" w:after="0"/>
      <w:ind w:left="714" w:hanging="357"/>
    </w:pPr>
  </w:style>
  <w:style w:type="paragraph" w:styleId="IntenseQuote">
    <w:name w:val="Intense Quote"/>
    <w:basedOn w:val="Normal"/>
    <w:next w:val="Normal"/>
    <w:link w:val="IntenseQuoteChar"/>
    <w:uiPriority w:val="30"/>
    <w:qFormat/>
    <w:rsid w:val="00DC205F"/>
    <w:pPr>
      <w:pBdr>
        <w:top w:val="single" w:sz="24" w:space="1" w:color="153F7A"/>
        <w:bottom w:val="single" w:sz="24" w:space="4" w:color="153F7A"/>
      </w:pBdr>
      <w:spacing w:after="280"/>
      <w:ind w:left="567" w:right="567"/>
    </w:pPr>
    <w:rPr>
      <w:b/>
      <w:bCs/>
      <w:i/>
      <w:iCs/>
      <w:color w:val="153F7A"/>
      <w:sz w:val="28"/>
    </w:rPr>
  </w:style>
  <w:style w:type="character" w:customStyle="1" w:styleId="IntenseQuoteChar">
    <w:name w:val="Intense Quote Char"/>
    <w:basedOn w:val="DefaultParagraphFont"/>
    <w:link w:val="IntenseQuote"/>
    <w:uiPriority w:val="30"/>
    <w:rsid w:val="00DC205F"/>
    <w:rPr>
      <w:rFonts w:asciiTheme="minorHAnsi" w:hAnsiTheme="minorHAnsi"/>
      <w:b/>
      <w:bCs/>
      <w:i/>
      <w:iCs/>
      <w:color w:val="153F7A"/>
      <w:sz w:val="28"/>
    </w:rPr>
  </w:style>
  <w:style w:type="character" w:styleId="Strong">
    <w:name w:val="Strong"/>
    <w:basedOn w:val="DefaultParagraphFont"/>
    <w:uiPriority w:val="22"/>
    <w:qFormat/>
    <w:rsid w:val="008378CB"/>
    <w:rPr>
      <w:rFonts w:asciiTheme="minorHAnsi" w:hAnsiTheme="minorHAnsi"/>
      <w:b/>
      <w:bCs/>
      <w:sz w:val="22"/>
    </w:rPr>
  </w:style>
  <w:style w:type="character" w:customStyle="1" w:styleId="Heading3Char">
    <w:name w:val="Heading 3 Char"/>
    <w:basedOn w:val="DefaultParagraphFont"/>
    <w:link w:val="Heading3"/>
    <w:uiPriority w:val="9"/>
    <w:rsid w:val="00E6611D"/>
    <w:rPr>
      <w:rFonts w:ascii="Arial" w:hAnsi="Arial" w:cs="Arial"/>
      <w:color w:val="103060"/>
      <w:szCs w:val="24"/>
    </w:rPr>
  </w:style>
  <w:style w:type="table" w:styleId="TableGrid">
    <w:name w:val="Table Grid"/>
    <w:basedOn w:val="TableNormal"/>
    <w:rsid w:val="00AB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31A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1AB"/>
    <w:rPr>
      <w:rFonts w:ascii="Tahoma" w:hAnsi="Tahoma" w:cs="Tahoma"/>
      <w:sz w:val="16"/>
      <w:szCs w:val="16"/>
    </w:rPr>
  </w:style>
  <w:style w:type="paragraph" w:styleId="NoSpacing">
    <w:name w:val="No Spacing"/>
    <w:uiPriority w:val="1"/>
    <w:qFormat/>
    <w:rsid w:val="0043792F"/>
    <w:pPr>
      <w:spacing w:after="0" w:line="240" w:lineRule="auto"/>
    </w:pPr>
    <w:rPr>
      <w:rFonts w:asciiTheme="minorHAnsi" w:hAnsiTheme="minorHAnsi"/>
      <w:sz w:val="22"/>
    </w:rPr>
  </w:style>
  <w:style w:type="paragraph" w:styleId="Header">
    <w:name w:val="header"/>
    <w:basedOn w:val="Normal"/>
    <w:link w:val="HeaderChar"/>
    <w:uiPriority w:val="99"/>
    <w:unhideWhenUsed/>
    <w:rsid w:val="00AC42A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C42AE"/>
    <w:rPr>
      <w:rFonts w:asciiTheme="minorHAnsi" w:hAnsiTheme="minorHAnsi"/>
      <w:sz w:val="22"/>
    </w:rPr>
  </w:style>
  <w:style w:type="paragraph" w:styleId="Footer">
    <w:name w:val="footer"/>
    <w:basedOn w:val="Normal"/>
    <w:link w:val="FooterChar"/>
    <w:uiPriority w:val="99"/>
    <w:unhideWhenUsed/>
    <w:rsid w:val="00AC42A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C42AE"/>
    <w:rPr>
      <w:rFonts w:asciiTheme="minorHAnsi" w:hAnsiTheme="minorHAnsi"/>
      <w:sz w:val="22"/>
    </w:rPr>
  </w:style>
  <w:style w:type="paragraph" w:styleId="Title">
    <w:name w:val="Title"/>
    <w:basedOn w:val="Normal"/>
    <w:next w:val="Normal"/>
    <w:link w:val="TitleChar"/>
    <w:autoRedefine/>
    <w:uiPriority w:val="10"/>
    <w:qFormat/>
    <w:rsid w:val="00C55A70"/>
    <w:pPr>
      <w:numPr>
        <w:ilvl w:val="1"/>
      </w:numPr>
      <w:spacing w:before="1080" w:line="240" w:lineRule="auto"/>
      <w:ind w:left="2835"/>
    </w:pPr>
    <w:rPr>
      <w:rFonts w:ascii="Arial" w:eastAsia="Times New Roman" w:hAnsi="Arial" w:cs="Times New Roman"/>
      <w:b/>
      <w:iCs/>
      <w:spacing w:val="15"/>
      <w:sz w:val="36"/>
      <w:szCs w:val="36"/>
    </w:rPr>
  </w:style>
  <w:style w:type="character" w:customStyle="1" w:styleId="TitleChar">
    <w:name w:val="Title Char"/>
    <w:basedOn w:val="DefaultParagraphFont"/>
    <w:link w:val="Title"/>
    <w:uiPriority w:val="10"/>
    <w:rsid w:val="00C55A70"/>
    <w:rPr>
      <w:rFonts w:ascii="Arial" w:eastAsia="Times New Roman" w:hAnsi="Arial" w:cs="Times New Roman"/>
      <w:b/>
      <w:iCs/>
      <w:spacing w:val="15"/>
      <w:sz w:val="36"/>
      <w:szCs w:val="36"/>
    </w:rPr>
  </w:style>
  <w:style w:type="paragraph" w:styleId="Subtitle">
    <w:name w:val="Subtitle"/>
    <w:basedOn w:val="Normal"/>
    <w:next w:val="Normal"/>
    <w:link w:val="SubtitleChar"/>
    <w:uiPriority w:val="11"/>
    <w:qFormat/>
    <w:rsid w:val="00DA41AB"/>
    <w:pPr>
      <w:numPr>
        <w:ilvl w:val="1"/>
      </w:numPr>
      <w:jc w:val="right"/>
    </w:pPr>
    <w:rPr>
      <w:rFonts w:ascii="Arial" w:eastAsiaTheme="majorEastAsia" w:hAnsi="Arial" w:cstheme="majorBidi"/>
      <w:b/>
      <w:iCs/>
      <w:color w:val="153F7A"/>
      <w:spacing w:val="15"/>
      <w:sz w:val="56"/>
      <w:szCs w:val="24"/>
    </w:rPr>
  </w:style>
  <w:style w:type="character" w:customStyle="1" w:styleId="SubtitleChar">
    <w:name w:val="Subtitle Char"/>
    <w:basedOn w:val="DefaultParagraphFont"/>
    <w:link w:val="Subtitle"/>
    <w:uiPriority w:val="11"/>
    <w:rsid w:val="00DA41AB"/>
    <w:rPr>
      <w:rFonts w:ascii="Arial" w:eastAsiaTheme="majorEastAsia" w:hAnsi="Arial" w:cstheme="majorBidi"/>
      <w:b/>
      <w:iCs/>
      <w:color w:val="153F7A"/>
      <w:spacing w:val="15"/>
      <w:sz w:val="56"/>
      <w:szCs w:val="24"/>
    </w:rPr>
  </w:style>
  <w:style w:type="character" w:customStyle="1" w:styleId="Heading4Char">
    <w:name w:val="Heading 4 Char"/>
    <w:basedOn w:val="DefaultParagraphFont"/>
    <w:link w:val="Heading4"/>
    <w:uiPriority w:val="9"/>
    <w:semiHidden/>
    <w:rsid w:val="0084021A"/>
    <w:rPr>
      <w:rFonts w:asciiTheme="minorHAnsi" w:hAnsiTheme="minorHAnsi"/>
      <w:b/>
      <w:bCs/>
      <w:i/>
      <w:iCs/>
      <w:sz w:val="22"/>
    </w:rPr>
  </w:style>
  <w:style w:type="character" w:styleId="IntenseEmphasis">
    <w:name w:val="Intense Emphasis"/>
    <w:basedOn w:val="DefaultParagraphFont"/>
    <w:uiPriority w:val="21"/>
    <w:qFormat/>
    <w:rsid w:val="00DA41AB"/>
    <w:rPr>
      <w:rFonts w:asciiTheme="minorHAnsi" w:hAnsiTheme="minorHAnsi"/>
      <w:b/>
      <w:bCs/>
      <w:i/>
      <w:iCs/>
      <w:color w:val="153F7A"/>
      <w:sz w:val="24"/>
    </w:rPr>
  </w:style>
  <w:style w:type="paragraph" w:styleId="Quote">
    <w:name w:val="Quote"/>
    <w:basedOn w:val="Normal"/>
    <w:next w:val="Normal"/>
    <w:link w:val="QuoteChar"/>
    <w:uiPriority w:val="29"/>
    <w:qFormat/>
    <w:rsid w:val="00146623"/>
    <w:pPr>
      <w:spacing w:before="0"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146623"/>
    <w:rPr>
      <w:rFonts w:eastAsia="Times New Roman" w:cs="Times New Roman"/>
      <w:i/>
      <w:iCs/>
      <w:color w:val="000000" w:themeColor="text1"/>
      <w:szCs w:val="24"/>
    </w:rPr>
  </w:style>
  <w:style w:type="paragraph" w:styleId="ListParagraph">
    <w:name w:val="List Paragraph"/>
    <w:basedOn w:val="NormalWeb"/>
    <w:uiPriority w:val="34"/>
    <w:qFormat/>
    <w:rsid w:val="00980A0F"/>
    <w:pPr>
      <w:numPr>
        <w:numId w:val="30"/>
      </w:numPr>
      <w:spacing w:before="60" w:beforeAutospacing="0" w:after="0" w:afterAutospacing="0"/>
      <w:ind w:left="567" w:hanging="284"/>
    </w:pPr>
    <w:rPr>
      <w:rFonts w:asciiTheme="minorHAnsi" w:hAnsiTheme="minorHAnsi" w:cstheme="minorBidi"/>
      <w:kern w:val="24"/>
      <w:sz w:val="22"/>
      <w:szCs w:val="22"/>
    </w:rPr>
  </w:style>
  <w:style w:type="paragraph" w:customStyle="1" w:styleId="Default">
    <w:name w:val="Default"/>
    <w:rsid w:val="00146623"/>
    <w:pPr>
      <w:autoSpaceDE w:val="0"/>
      <w:autoSpaceDN w:val="0"/>
      <w:adjustRightInd w:val="0"/>
      <w:spacing w:after="0" w:line="240" w:lineRule="auto"/>
    </w:pPr>
    <w:rPr>
      <w:rFonts w:ascii="Adobe Garamond Pro" w:eastAsia="Times New Roman" w:hAnsi="Adobe Garamond Pro" w:cs="Adobe Garamond Pro"/>
      <w:color w:val="000000"/>
      <w:szCs w:val="24"/>
      <w:lang w:eastAsia="en-AU"/>
    </w:rPr>
  </w:style>
  <w:style w:type="paragraph" w:styleId="NormalWeb">
    <w:name w:val="Normal (Web)"/>
    <w:basedOn w:val="Normal"/>
    <w:uiPriority w:val="99"/>
    <w:unhideWhenUsed/>
    <w:rsid w:val="00D8537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4">
    <w:name w:val="A4"/>
    <w:uiPriority w:val="99"/>
    <w:rsid w:val="00E006B5"/>
    <w:rPr>
      <w:rFonts w:cs="Helvetica 45 Light"/>
      <w:color w:val="AC892E"/>
      <w:sz w:val="35"/>
      <w:szCs w:val="35"/>
    </w:rPr>
  </w:style>
  <w:style w:type="table" w:styleId="LightList-Accent1">
    <w:name w:val="Light List Accent 1"/>
    <w:basedOn w:val="TableNormal"/>
    <w:uiPriority w:val="61"/>
    <w:rsid w:val="00CC1597"/>
    <w:pPr>
      <w:spacing w:after="0" w:line="240" w:lineRule="auto"/>
    </w:pPr>
    <w:rPr>
      <w:rFonts w:eastAsia="Times New Roman"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rsid w:val="00127DDA"/>
    <w:pPr>
      <w:spacing w:before="0"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27DDA"/>
    <w:rPr>
      <w:rFonts w:eastAsia="Times New Roman" w:cs="Times New Roman"/>
      <w:sz w:val="20"/>
      <w:szCs w:val="20"/>
    </w:rPr>
  </w:style>
  <w:style w:type="character" w:styleId="FootnoteReference">
    <w:name w:val="footnote reference"/>
    <w:basedOn w:val="DefaultParagraphFont"/>
    <w:rsid w:val="00127DDA"/>
    <w:rPr>
      <w:vertAlign w:val="superscript"/>
    </w:rPr>
  </w:style>
  <w:style w:type="character" w:styleId="CommentReference">
    <w:name w:val="annotation reference"/>
    <w:basedOn w:val="DefaultParagraphFont"/>
    <w:uiPriority w:val="99"/>
    <w:semiHidden/>
    <w:unhideWhenUsed/>
    <w:rsid w:val="004B0FB6"/>
    <w:rPr>
      <w:sz w:val="16"/>
      <w:szCs w:val="16"/>
    </w:rPr>
  </w:style>
  <w:style w:type="paragraph" w:styleId="CommentText">
    <w:name w:val="annotation text"/>
    <w:basedOn w:val="Normal"/>
    <w:link w:val="CommentTextChar"/>
    <w:uiPriority w:val="99"/>
    <w:semiHidden/>
    <w:unhideWhenUsed/>
    <w:rsid w:val="004B0FB6"/>
    <w:pPr>
      <w:spacing w:line="240" w:lineRule="auto"/>
    </w:pPr>
    <w:rPr>
      <w:sz w:val="20"/>
      <w:szCs w:val="20"/>
    </w:rPr>
  </w:style>
  <w:style w:type="character" w:customStyle="1" w:styleId="CommentTextChar">
    <w:name w:val="Comment Text Char"/>
    <w:basedOn w:val="DefaultParagraphFont"/>
    <w:link w:val="CommentText"/>
    <w:uiPriority w:val="99"/>
    <w:semiHidden/>
    <w:rsid w:val="004B0FB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B0FB6"/>
    <w:rPr>
      <w:b/>
      <w:bCs/>
    </w:rPr>
  </w:style>
  <w:style w:type="character" w:customStyle="1" w:styleId="CommentSubjectChar">
    <w:name w:val="Comment Subject Char"/>
    <w:basedOn w:val="CommentTextChar"/>
    <w:link w:val="CommentSubject"/>
    <w:uiPriority w:val="99"/>
    <w:semiHidden/>
    <w:rsid w:val="004B0FB6"/>
    <w:rPr>
      <w:rFonts w:asciiTheme="minorHAnsi" w:hAnsiTheme="minorHAnsi"/>
      <w:b/>
      <w:bCs/>
      <w:sz w:val="20"/>
      <w:szCs w:val="20"/>
    </w:rPr>
  </w:style>
  <w:style w:type="paragraph" w:styleId="TOCHeading">
    <w:name w:val="TOC Heading"/>
    <w:basedOn w:val="Heading1"/>
    <w:next w:val="Normal"/>
    <w:uiPriority w:val="39"/>
    <w:semiHidden/>
    <w:unhideWhenUsed/>
    <w:qFormat/>
    <w:rsid w:val="00B134CA"/>
    <w:pPr>
      <w:pBdr>
        <w:bottom w:val="none" w:sz="0" w:space="0" w:color="auto"/>
      </w:pBd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134CA"/>
    <w:pPr>
      <w:spacing w:after="100"/>
    </w:pPr>
  </w:style>
  <w:style w:type="paragraph" w:styleId="TOC2">
    <w:name w:val="toc 2"/>
    <w:basedOn w:val="Normal"/>
    <w:next w:val="Normal"/>
    <w:autoRedefine/>
    <w:uiPriority w:val="39"/>
    <w:unhideWhenUsed/>
    <w:rsid w:val="00B134CA"/>
    <w:pPr>
      <w:tabs>
        <w:tab w:val="left" w:pos="1418"/>
        <w:tab w:val="right" w:leader="dot" w:pos="9016"/>
      </w:tabs>
      <w:spacing w:after="100"/>
      <w:ind w:left="1418" w:hanging="1198"/>
    </w:pPr>
  </w:style>
  <w:style w:type="character" w:styleId="Hyperlink">
    <w:name w:val="Hyperlink"/>
    <w:basedOn w:val="DefaultParagraphFont"/>
    <w:uiPriority w:val="99"/>
    <w:unhideWhenUsed/>
    <w:rsid w:val="00B134CA"/>
    <w:rPr>
      <w:color w:val="0000FF" w:themeColor="hyperlink"/>
      <w:u w:val="single"/>
    </w:rPr>
  </w:style>
  <w:style w:type="paragraph" w:styleId="Caption">
    <w:name w:val="caption"/>
    <w:basedOn w:val="Normal"/>
    <w:next w:val="Normal"/>
    <w:unhideWhenUsed/>
    <w:qFormat/>
    <w:rsid w:val="00F4019C"/>
    <w:pPr>
      <w:spacing w:before="0" w:line="240" w:lineRule="auto"/>
    </w:pPr>
    <w:rPr>
      <w:rFonts w:ascii="Times New Roman" w:eastAsia="Times New Roman" w:hAnsi="Times New Roman" w:cs="Times New Roman"/>
      <w:b/>
      <w:bCs/>
      <w:color w:val="4F81BD" w:themeColor="accent1"/>
      <w:sz w:val="18"/>
      <w:szCs w:val="18"/>
    </w:rPr>
  </w:style>
  <w:style w:type="character" w:styleId="IntenseReference">
    <w:name w:val="Intense Reference"/>
    <w:basedOn w:val="DefaultParagraphFont"/>
    <w:uiPriority w:val="32"/>
    <w:qFormat/>
    <w:rsid w:val="00C24BF5"/>
    <w:rPr>
      <w:b/>
      <w:bCs/>
      <w:i/>
      <w:smallCaps/>
      <w:color w:val="C0504D" w:themeColor="accent2"/>
      <w:spacing w:val="5"/>
      <w:u w:val="none"/>
    </w:rPr>
  </w:style>
  <w:style w:type="paragraph" w:styleId="TOC3">
    <w:name w:val="toc 3"/>
    <w:basedOn w:val="Normal"/>
    <w:next w:val="Normal"/>
    <w:autoRedefine/>
    <w:uiPriority w:val="39"/>
    <w:unhideWhenUsed/>
    <w:rsid w:val="00232521"/>
    <w:pPr>
      <w:spacing w:after="100"/>
      <w:ind w:left="440"/>
    </w:pPr>
  </w:style>
  <w:style w:type="paragraph" w:customStyle="1" w:styleId="Logotitle">
    <w:name w:val="Logo title"/>
    <w:basedOn w:val="Normal"/>
    <w:qFormat/>
    <w:rsid w:val="00061B02"/>
    <w:pPr>
      <w:pBdr>
        <w:top w:val="single" w:sz="4" w:space="1" w:color="auto"/>
      </w:pBdr>
      <w:spacing w:before="360"/>
      <w:ind w:left="2835"/>
    </w:pPr>
    <w:rPr>
      <w:rFonts w:ascii="Arial" w:hAnsi="Arial" w:cs="Arial"/>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B4"/>
    <w:pPr>
      <w:spacing w:before="200"/>
    </w:pPr>
    <w:rPr>
      <w:rFonts w:asciiTheme="minorHAnsi" w:hAnsiTheme="minorHAnsi"/>
      <w:sz w:val="22"/>
    </w:rPr>
  </w:style>
  <w:style w:type="paragraph" w:styleId="Heading1">
    <w:name w:val="heading 1"/>
    <w:basedOn w:val="Heading2"/>
    <w:next w:val="Normal"/>
    <w:link w:val="Heading1Char"/>
    <w:autoRedefine/>
    <w:uiPriority w:val="9"/>
    <w:qFormat/>
    <w:rsid w:val="00D6239B"/>
    <w:pPr>
      <w:pageBreakBefore/>
      <w:pBdr>
        <w:bottom w:val="single" w:sz="18" w:space="1" w:color="153F7A"/>
      </w:pBdr>
      <w:outlineLvl w:val="0"/>
    </w:pPr>
    <w:rPr>
      <w:rFonts w:asciiTheme="minorHAnsi" w:hAnsiTheme="minorHAnsi"/>
      <w:b w:val="0"/>
      <w:sz w:val="52"/>
      <w:szCs w:val="52"/>
    </w:rPr>
  </w:style>
  <w:style w:type="paragraph" w:styleId="Heading2">
    <w:name w:val="heading 2"/>
    <w:basedOn w:val="Normal"/>
    <w:next w:val="Normal"/>
    <w:link w:val="Heading2Char"/>
    <w:uiPriority w:val="9"/>
    <w:unhideWhenUsed/>
    <w:qFormat/>
    <w:rsid w:val="00E6611D"/>
    <w:pPr>
      <w:spacing w:after="120"/>
      <w:ind w:left="1418" w:hanging="1418"/>
      <w:outlineLvl w:val="1"/>
    </w:pPr>
    <w:rPr>
      <w:rFonts w:ascii="Arial" w:hAnsi="Arial" w:cs="Arial"/>
      <w:b/>
      <w:color w:val="103060"/>
      <w:sz w:val="24"/>
      <w:szCs w:val="24"/>
    </w:rPr>
  </w:style>
  <w:style w:type="paragraph" w:styleId="Heading3">
    <w:name w:val="heading 3"/>
    <w:basedOn w:val="Heading2"/>
    <w:next w:val="Normal"/>
    <w:link w:val="Heading3Char"/>
    <w:autoRedefine/>
    <w:uiPriority w:val="9"/>
    <w:unhideWhenUsed/>
    <w:qFormat/>
    <w:rsid w:val="00E6611D"/>
    <w:pPr>
      <w:outlineLvl w:val="2"/>
    </w:pPr>
    <w:rPr>
      <w:b w:val="0"/>
    </w:rPr>
  </w:style>
  <w:style w:type="paragraph" w:styleId="Heading4">
    <w:name w:val="heading 4"/>
    <w:basedOn w:val="Normal"/>
    <w:next w:val="Normal"/>
    <w:link w:val="Heading4Char"/>
    <w:uiPriority w:val="9"/>
    <w:semiHidden/>
    <w:unhideWhenUsed/>
    <w:qFormat/>
    <w:rsid w:val="00925CDB"/>
    <w:pPr>
      <w:spacing w:after="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rderteststyle">
    <w:name w:val="Border test style"/>
    <w:uiPriority w:val="99"/>
    <w:rsid w:val="00E724CA"/>
    <w:pPr>
      <w:numPr>
        <w:numId w:val="1"/>
      </w:numPr>
    </w:pPr>
  </w:style>
  <w:style w:type="character" w:customStyle="1" w:styleId="Heading1Char">
    <w:name w:val="Heading 1 Char"/>
    <w:basedOn w:val="DefaultParagraphFont"/>
    <w:link w:val="Heading1"/>
    <w:uiPriority w:val="9"/>
    <w:rsid w:val="00D6239B"/>
    <w:rPr>
      <w:rFonts w:asciiTheme="minorHAnsi" w:hAnsiTheme="minorHAnsi" w:cs="Arial"/>
      <w:color w:val="103060"/>
      <w:sz w:val="52"/>
      <w:szCs w:val="52"/>
    </w:rPr>
  </w:style>
  <w:style w:type="character" w:customStyle="1" w:styleId="Heading2Char">
    <w:name w:val="Heading 2 Char"/>
    <w:basedOn w:val="DefaultParagraphFont"/>
    <w:link w:val="Heading2"/>
    <w:uiPriority w:val="9"/>
    <w:rsid w:val="00E6611D"/>
    <w:rPr>
      <w:rFonts w:ascii="Arial" w:hAnsi="Arial" w:cs="Arial"/>
      <w:b/>
      <w:color w:val="103060"/>
      <w:szCs w:val="24"/>
    </w:rPr>
  </w:style>
  <w:style w:type="paragraph" w:customStyle="1" w:styleId="Bullet">
    <w:name w:val="Bullet"/>
    <w:basedOn w:val="Normal"/>
    <w:qFormat/>
    <w:rsid w:val="00DC205F"/>
    <w:pPr>
      <w:numPr>
        <w:numId w:val="2"/>
      </w:numPr>
      <w:spacing w:before="0" w:after="0"/>
      <w:ind w:left="714" w:hanging="357"/>
    </w:pPr>
  </w:style>
  <w:style w:type="paragraph" w:styleId="IntenseQuote">
    <w:name w:val="Intense Quote"/>
    <w:basedOn w:val="Normal"/>
    <w:next w:val="Normal"/>
    <w:link w:val="IntenseQuoteChar"/>
    <w:uiPriority w:val="30"/>
    <w:qFormat/>
    <w:rsid w:val="00DC205F"/>
    <w:pPr>
      <w:pBdr>
        <w:top w:val="single" w:sz="24" w:space="1" w:color="153F7A"/>
        <w:bottom w:val="single" w:sz="24" w:space="4" w:color="153F7A"/>
      </w:pBdr>
      <w:spacing w:after="280"/>
      <w:ind w:left="567" w:right="567"/>
    </w:pPr>
    <w:rPr>
      <w:b/>
      <w:bCs/>
      <w:i/>
      <w:iCs/>
      <w:color w:val="153F7A"/>
      <w:sz w:val="28"/>
    </w:rPr>
  </w:style>
  <w:style w:type="character" w:customStyle="1" w:styleId="IntenseQuoteChar">
    <w:name w:val="Intense Quote Char"/>
    <w:basedOn w:val="DefaultParagraphFont"/>
    <w:link w:val="IntenseQuote"/>
    <w:uiPriority w:val="30"/>
    <w:rsid w:val="00DC205F"/>
    <w:rPr>
      <w:rFonts w:asciiTheme="minorHAnsi" w:hAnsiTheme="minorHAnsi"/>
      <w:b/>
      <w:bCs/>
      <w:i/>
      <w:iCs/>
      <w:color w:val="153F7A"/>
      <w:sz w:val="28"/>
    </w:rPr>
  </w:style>
  <w:style w:type="character" w:styleId="Strong">
    <w:name w:val="Strong"/>
    <w:basedOn w:val="DefaultParagraphFont"/>
    <w:uiPriority w:val="22"/>
    <w:qFormat/>
    <w:rsid w:val="008378CB"/>
    <w:rPr>
      <w:rFonts w:asciiTheme="minorHAnsi" w:hAnsiTheme="minorHAnsi"/>
      <w:b/>
      <w:bCs/>
      <w:sz w:val="22"/>
    </w:rPr>
  </w:style>
  <w:style w:type="character" w:customStyle="1" w:styleId="Heading3Char">
    <w:name w:val="Heading 3 Char"/>
    <w:basedOn w:val="DefaultParagraphFont"/>
    <w:link w:val="Heading3"/>
    <w:uiPriority w:val="9"/>
    <w:rsid w:val="00E6611D"/>
    <w:rPr>
      <w:rFonts w:ascii="Arial" w:hAnsi="Arial" w:cs="Arial"/>
      <w:color w:val="103060"/>
      <w:szCs w:val="24"/>
    </w:rPr>
  </w:style>
  <w:style w:type="table" w:styleId="TableGrid">
    <w:name w:val="Table Grid"/>
    <w:basedOn w:val="TableNormal"/>
    <w:rsid w:val="00AB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31A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1AB"/>
    <w:rPr>
      <w:rFonts w:ascii="Tahoma" w:hAnsi="Tahoma" w:cs="Tahoma"/>
      <w:sz w:val="16"/>
      <w:szCs w:val="16"/>
    </w:rPr>
  </w:style>
  <w:style w:type="paragraph" w:styleId="NoSpacing">
    <w:name w:val="No Spacing"/>
    <w:uiPriority w:val="1"/>
    <w:qFormat/>
    <w:rsid w:val="0043792F"/>
    <w:pPr>
      <w:spacing w:after="0" w:line="240" w:lineRule="auto"/>
    </w:pPr>
    <w:rPr>
      <w:rFonts w:asciiTheme="minorHAnsi" w:hAnsiTheme="minorHAnsi"/>
      <w:sz w:val="22"/>
    </w:rPr>
  </w:style>
  <w:style w:type="paragraph" w:styleId="Header">
    <w:name w:val="header"/>
    <w:basedOn w:val="Normal"/>
    <w:link w:val="HeaderChar"/>
    <w:uiPriority w:val="99"/>
    <w:unhideWhenUsed/>
    <w:rsid w:val="00AC42A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C42AE"/>
    <w:rPr>
      <w:rFonts w:asciiTheme="minorHAnsi" w:hAnsiTheme="minorHAnsi"/>
      <w:sz w:val="22"/>
    </w:rPr>
  </w:style>
  <w:style w:type="paragraph" w:styleId="Footer">
    <w:name w:val="footer"/>
    <w:basedOn w:val="Normal"/>
    <w:link w:val="FooterChar"/>
    <w:uiPriority w:val="99"/>
    <w:unhideWhenUsed/>
    <w:rsid w:val="00AC42A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C42AE"/>
    <w:rPr>
      <w:rFonts w:asciiTheme="minorHAnsi" w:hAnsiTheme="minorHAnsi"/>
      <w:sz w:val="22"/>
    </w:rPr>
  </w:style>
  <w:style w:type="paragraph" w:styleId="Title">
    <w:name w:val="Title"/>
    <w:basedOn w:val="Normal"/>
    <w:next w:val="Normal"/>
    <w:link w:val="TitleChar"/>
    <w:autoRedefine/>
    <w:uiPriority w:val="10"/>
    <w:qFormat/>
    <w:rsid w:val="00C55A70"/>
    <w:pPr>
      <w:numPr>
        <w:ilvl w:val="1"/>
      </w:numPr>
      <w:spacing w:before="1080" w:line="240" w:lineRule="auto"/>
      <w:ind w:left="2835"/>
    </w:pPr>
    <w:rPr>
      <w:rFonts w:ascii="Arial" w:eastAsia="Times New Roman" w:hAnsi="Arial" w:cs="Times New Roman"/>
      <w:b/>
      <w:iCs/>
      <w:spacing w:val="15"/>
      <w:sz w:val="36"/>
      <w:szCs w:val="36"/>
    </w:rPr>
  </w:style>
  <w:style w:type="character" w:customStyle="1" w:styleId="TitleChar">
    <w:name w:val="Title Char"/>
    <w:basedOn w:val="DefaultParagraphFont"/>
    <w:link w:val="Title"/>
    <w:uiPriority w:val="10"/>
    <w:rsid w:val="00C55A70"/>
    <w:rPr>
      <w:rFonts w:ascii="Arial" w:eastAsia="Times New Roman" w:hAnsi="Arial" w:cs="Times New Roman"/>
      <w:b/>
      <w:iCs/>
      <w:spacing w:val="15"/>
      <w:sz w:val="36"/>
      <w:szCs w:val="36"/>
    </w:rPr>
  </w:style>
  <w:style w:type="paragraph" w:styleId="Subtitle">
    <w:name w:val="Subtitle"/>
    <w:basedOn w:val="Normal"/>
    <w:next w:val="Normal"/>
    <w:link w:val="SubtitleChar"/>
    <w:uiPriority w:val="11"/>
    <w:qFormat/>
    <w:rsid w:val="00DA41AB"/>
    <w:pPr>
      <w:numPr>
        <w:ilvl w:val="1"/>
      </w:numPr>
      <w:jc w:val="right"/>
    </w:pPr>
    <w:rPr>
      <w:rFonts w:ascii="Arial" w:eastAsiaTheme="majorEastAsia" w:hAnsi="Arial" w:cstheme="majorBidi"/>
      <w:b/>
      <w:iCs/>
      <w:color w:val="153F7A"/>
      <w:spacing w:val="15"/>
      <w:sz w:val="56"/>
      <w:szCs w:val="24"/>
    </w:rPr>
  </w:style>
  <w:style w:type="character" w:customStyle="1" w:styleId="SubtitleChar">
    <w:name w:val="Subtitle Char"/>
    <w:basedOn w:val="DefaultParagraphFont"/>
    <w:link w:val="Subtitle"/>
    <w:uiPriority w:val="11"/>
    <w:rsid w:val="00DA41AB"/>
    <w:rPr>
      <w:rFonts w:ascii="Arial" w:eastAsiaTheme="majorEastAsia" w:hAnsi="Arial" w:cstheme="majorBidi"/>
      <w:b/>
      <w:iCs/>
      <w:color w:val="153F7A"/>
      <w:spacing w:val="15"/>
      <w:sz w:val="56"/>
      <w:szCs w:val="24"/>
    </w:rPr>
  </w:style>
  <w:style w:type="character" w:customStyle="1" w:styleId="Heading4Char">
    <w:name w:val="Heading 4 Char"/>
    <w:basedOn w:val="DefaultParagraphFont"/>
    <w:link w:val="Heading4"/>
    <w:uiPriority w:val="9"/>
    <w:semiHidden/>
    <w:rsid w:val="0084021A"/>
    <w:rPr>
      <w:rFonts w:asciiTheme="minorHAnsi" w:hAnsiTheme="minorHAnsi"/>
      <w:b/>
      <w:bCs/>
      <w:i/>
      <w:iCs/>
      <w:sz w:val="22"/>
    </w:rPr>
  </w:style>
  <w:style w:type="character" w:styleId="IntenseEmphasis">
    <w:name w:val="Intense Emphasis"/>
    <w:basedOn w:val="DefaultParagraphFont"/>
    <w:uiPriority w:val="21"/>
    <w:qFormat/>
    <w:rsid w:val="00DA41AB"/>
    <w:rPr>
      <w:rFonts w:asciiTheme="minorHAnsi" w:hAnsiTheme="minorHAnsi"/>
      <w:b/>
      <w:bCs/>
      <w:i/>
      <w:iCs/>
      <w:color w:val="153F7A"/>
      <w:sz w:val="24"/>
    </w:rPr>
  </w:style>
  <w:style w:type="paragraph" w:styleId="Quote">
    <w:name w:val="Quote"/>
    <w:basedOn w:val="Normal"/>
    <w:next w:val="Normal"/>
    <w:link w:val="QuoteChar"/>
    <w:uiPriority w:val="29"/>
    <w:qFormat/>
    <w:rsid w:val="00146623"/>
    <w:pPr>
      <w:spacing w:before="0"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146623"/>
    <w:rPr>
      <w:rFonts w:eastAsia="Times New Roman" w:cs="Times New Roman"/>
      <w:i/>
      <w:iCs/>
      <w:color w:val="000000" w:themeColor="text1"/>
      <w:szCs w:val="24"/>
    </w:rPr>
  </w:style>
  <w:style w:type="paragraph" w:styleId="ListParagraph">
    <w:name w:val="List Paragraph"/>
    <w:basedOn w:val="NormalWeb"/>
    <w:uiPriority w:val="34"/>
    <w:qFormat/>
    <w:rsid w:val="00980A0F"/>
    <w:pPr>
      <w:numPr>
        <w:numId w:val="30"/>
      </w:numPr>
      <w:spacing w:before="60" w:beforeAutospacing="0" w:after="0" w:afterAutospacing="0"/>
      <w:ind w:left="567" w:hanging="284"/>
    </w:pPr>
    <w:rPr>
      <w:rFonts w:asciiTheme="minorHAnsi" w:hAnsiTheme="minorHAnsi" w:cstheme="minorBidi"/>
      <w:kern w:val="24"/>
      <w:sz w:val="22"/>
      <w:szCs w:val="22"/>
    </w:rPr>
  </w:style>
  <w:style w:type="paragraph" w:customStyle="1" w:styleId="Default">
    <w:name w:val="Default"/>
    <w:rsid w:val="00146623"/>
    <w:pPr>
      <w:autoSpaceDE w:val="0"/>
      <w:autoSpaceDN w:val="0"/>
      <w:adjustRightInd w:val="0"/>
      <w:spacing w:after="0" w:line="240" w:lineRule="auto"/>
    </w:pPr>
    <w:rPr>
      <w:rFonts w:ascii="Adobe Garamond Pro" w:eastAsia="Times New Roman" w:hAnsi="Adobe Garamond Pro" w:cs="Adobe Garamond Pro"/>
      <w:color w:val="000000"/>
      <w:szCs w:val="24"/>
      <w:lang w:eastAsia="en-AU"/>
    </w:rPr>
  </w:style>
  <w:style w:type="paragraph" w:styleId="NormalWeb">
    <w:name w:val="Normal (Web)"/>
    <w:basedOn w:val="Normal"/>
    <w:uiPriority w:val="99"/>
    <w:unhideWhenUsed/>
    <w:rsid w:val="00D8537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4">
    <w:name w:val="A4"/>
    <w:uiPriority w:val="99"/>
    <w:rsid w:val="00E006B5"/>
    <w:rPr>
      <w:rFonts w:cs="Helvetica 45 Light"/>
      <w:color w:val="AC892E"/>
      <w:sz w:val="35"/>
      <w:szCs w:val="35"/>
    </w:rPr>
  </w:style>
  <w:style w:type="table" w:styleId="LightList-Accent1">
    <w:name w:val="Light List Accent 1"/>
    <w:basedOn w:val="TableNormal"/>
    <w:uiPriority w:val="61"/>
    <w:rsid w:val="00CC1597"/>
    <w:pPr>
      <w:spacing w:after="0" w:line="240" w:lineRule="auto"/>
    </w:pPr>
    <w:rPr>
      <w:rFonts w:eastAsia="Times New Roman"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rsid w:val="00127DDA"/>
    <w:pPr>
      <w:spacing w:before="0"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27DDA"/>
    <w:rPr>
      <w:rFonts w:eastAsia="Times New Roman" w:cs="Times New Roman"/>
      <w:sz w:val="20"/>
      <w:szCs w:val="20"/>
    </w:rPr>
  </w:style>
  <w:style w:type="character" w:styleId="FootnoteReference">
    <w:name w:val="footnote reference"/>
    <w:basedOn w:val="DefaultParagraphFont"/>
    <w:rsid w:val="00127DDA"/>
    <w:rPr>
      <w:vertAlign w:val="superscript"/>
    </w:rPr>
  </w:style>
  <w:style w:type="character" w:styleId="CommentReference">
    <w:name w:val="annotation reference"/>
    <w:basedOn w:val="DefaultParagraphFont"/>
    <w:uiPriority w:val="99"/>
    <w:semiHidden/>
    <w:unhideWhenUsed/>
    <w:rsid w:val="004B0FB6"/>
    <w:rPr>
      <w:sz w:val="16"/>
      <w:szCs w:val="16"/>
    </w:rPr>
  </w:style>
  <w:style w:type="paragraph" w:styleId="CommentText">
    <w:name w:val="annotation text"/>
    <w:basedOn w:val="Normal"/>
    <w:link w:val="CommentTextChar"/>
    <w:uiPriority w:val="99"/>
    <w:semiHidden/>
    <w:unhideWhenUsed/>
    <w:rsid w:val="004B0FB6"/>
    <w:pPr>
      <w:spacing w:line="240" w:lineRule="auto"/>
    </w:pPr>
    <w:rPr>
      <w:sz w:val="20"/>
      <w:szCs w:val="20"/>
    </w:rPr>
  </w:style>
  <w:style w:type="character" w:customStyle="1" w:styleId="CommentTextChar">
    <w:name w:val="Comment Text Char"/>
    <w:basedOn w:val="DefaultParagraphFont"/>
    <w:link w:val="CommentText"/>
    <w:uiPriority w:val="99"/>
    <w:semiHidden/>
    <w:rsid w:val="004B0FB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B0FB6"/>
    <w:rPr>
      <w:b/>
      <w:bCs/>
    </w:rPr>
  </w:style>
  <w:style w:type="character" w:customStyle="1" w:styleId="CommentSubjectChar">
    <w:name w:val="Comment Subject Char"/>
    <w:basedOn w:val="CommentTextChar"/>
    <w:link w:val="CommentSubject"/>
    <w:uiPriority w:val="99"/>
    <w:semiHidden/>
    <w:rsid w:val="004B0FB6"/>
    <w:rPr>
      <w:rFonts w:asciiTheme="minorHAnsi" w:hAnsiTheme="minorHAnsi"/>
      <w:b/>
      <w:bCs/>
      <w:sz w:val="20"/>
      <w:szCs w:val="20"/>
    </w:rPr>
  </w:style>
  <w:style w:type="paragraph" w:styleId="TOCHeading">
    <w:name w:val="TOC Heading"/>
    <w:basedOn w:val="Heading1"/>
    <w:next w:val="Normal"/>
    <w:uiPriority w:val="39"/>
    <w:semiHidden/>
    <w:unhideWhenUsed/>
    <w:qFormat/>
    <w:rsid w:val="00B134CA"/>
    <w:pPr>
      <w:pBdr>
        <w:bottom w:val="none" w:sz="0" w:space="0" w:color="auto"/>
      </w:pBd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134CA"/>
    <w:pPr>
      <w:spacing w:after="100"/>
    </w:pPr>
  </w:style>
  <w:style w:type="paragraph" w:styleId="TOC2">
    <w:name w:val="toc 2"/>
    <w:basedOn w:val="Normal"/>
    <w:next w:val="Normal"/>
    <w:autoRedefine/>
    <w:uiPriority w:val="39"/>
    <w:unhideWhenUsed/>
    <w:rsid w:val="00B134CA"/>
    <w:pPr>
      <w:tabs>
        <w:tab w:val="left" w:pos="1418"/>
        <w:tab w:val="right" w:leader="dot" w:pos="9016"/>
      </w:tabs>
      <w:spacing w:after="100"/>
      <w:ind w:left="1418" w:hanging="1198"/>
    </w:pPr>
  </w:style>
  <w:style w:type="character" w:styleId="Hyperlink">
    <w:name w:val="Hyperlink"/>
    <w:basedOn w:val="DefaultParagraphFont"/>
    <w:uiPriority w:val="99"/>
    <w:unhideWhenUsed/>
    <w:rsid w:val="00B134CA"/>
    <w:rPr>
      <w:color w:val="0000FF" w:themeColor="hyperlink"/>
      <w:u w:val="single"/>
    </w:rPr>
  </w:style>
  <w:style w:type="paragraph" w:styleId="Caption">
    <w:name w:val="caption"/>
    <w:basedOn w:val="Normal"/>
    <w:next w:val="Normal"/>
    <w:unhideWhenUsed/>
    <w:qFormat/>
    <w:rsid w:val="00F4019C"/>
    <w:pPr>
      <w:spacing w:before="0" w:line="240" w:lineRule="auto"/>
    </w:pPr>
    <w:rPr>
      <w:rFonts w:ascii="Times New Roman" w:eastAsia="Times New Roman" w:hAnsi="Times New Roman" w:cs="Times New Roman"/>
      <w:b/>
      <w:bCs/>
      <w:color w:val="4F81BD" w:themeColor="accent1"/>
      <w:sz w:val="18"/>
      <w:szCs w:val="18"/>
    </w:rPr>
  </w:style>
  <w:style w:type="character" w:styleId="IntenseReference">
    <w:name w:val="Intense Reference"/>
    <w:basedOn w:val="DefaultParagraphFont"/>
    <w:uiPriority w:val="32"/>
    <w:qFormat/>
    <w:rsid w:val="00C24BF5"/>
    <w:rPr>
      <w:b/>
      <w:bCs/>
      <w:i/>
      <w:smallCaps/>
      <w:color w:val="C0504D" w:themeColor="accent2"/>
      <w:spacing w:val="5"/>
      <w:u w:val="none"/>
    </w:rPr>
  </w:style>
  <w:style w:type="paragraph" w:styleId="TOC3">
    <w:name w:val="toc 3"/>
    <w:basedOn w:val="Normal"/>
    <w:next w:val="Normal"/>
    <w:autoRedefine/>
    <w:uiPriority w:val="39"/>
    <w:unhideWhenUsed/>
    <w:rsid w:val="00232521"/>
    <w:pPr>
      <w:spacing w:after="100"/>
      <w:ind w:left="440"/>
    </w:pPr>
  </w:style>
  <w:style w:type="paragraph" w:customStyle="1" w:styleId="Logotitle">
    <w:name w:val="Logo title"/>
    <w:basedOn w:val="Normal"/>
    <w:qFormat/>
    <w:rsid w:val="00061B02"/>
    <w:pPr>
      <w:pBdr>
        <w:top w:val="single" w:sz="4" w:space="1" w:color="auto"/>
      </w:pBdr>
      <w:spacing w:before="360"/>
      <w:ind w:left="2835"/>
    </w:pPr>
    <w:rPr>
      <w:rFonts w:ascii="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09977">
      <w:bodyDiv w:val="1"/>
      <w:marLeft w:val="0"/>
      <w:marRight w:val="0"/>
      <w:marTop w:val="0"/>
      <w:marBottom w:val="0"/>
      <w:divBdr>
        <w:top w:val="none" w:sz="0" w:space="0" w:color="auto"/>
        <w:left w:val="none" w:sz="0" w:space="0" w:color="auto"/>
        <w:bottom w:val="none" w:sz="0" w:space="0" w:color="auto"/>
        <w:right w:val="none" w:sz="0" w:space="0" w:color="auto"/>
      </w:divBdr>
      <w:divsChild>
        <w:div w:id="1810124259">
          <w:marLeft w:val="0"/>
          <w:marRight w:val="0"/>
          <w:marTop w:val="0"/>
          <w:marBottom w:val="0"/>
          <w:divBdr>
            <w:top w:val="none" w:sz="0" w:space="0" w:color="auto"/>
            <w:left w:val="none" w:sz="0" w:space="0" w:color="auto"/>
            <w:bottom w:val="none" w:sz="0" w:space="0" w:color="auto"/>
            <w:right w:val="none" w:sz="0" w:space="0" w:color="auto"/>
          </w:divBdr>
          <w:divsChild>
            <w:div w:id="1620606317">
              <w:marLeft w:val="0"/>
              <w:marRight w:val="0"/>
              <w:marTop w:val="0"/>
              <w:marBottom w:val="0"/>
              <w:divBdr>
                <w:top w:val="none" w:sz="0" w:space="0" w:color="auto"/>
                <w:left w:val="none" w:sz="0" w:space="0" w:color="auto"/>
                <w:bottom w:val="none" w:sz="0" w:space="0" w:color="auto"/>
                <w:right w:val="none" w:sz="0" w:space="0" w:color="auto"/>
              </w:divBdr>
              <w:divsChild>
                <w:div w:id="168371639">
                  <w:marLeft w:val="0"/>
                  <w:marRight w:val="0"/>
                  <w:marTop w:val="0"/>
                  <w:marBottom w:val="0"/>
                  <w:divBdr>
                    <w:top w:val="none" w:sz="0" w:space="0" w:color="auto"/>
                    <w:left w:val="none" w:sz="0" w:space="0" w:color="auto"/>
                    <w:bottom w:val="none" w:sz="0" w:space="0" w:color="auto"/>
                    <w:right w:val="none" w:sz="0" w:space="0" w:color="auto"/>
                  </w:divBdr>
                  <w:divsChild>
                    <w:div w:id="280919576">
                      <w:marLeft w:val="0"/>
                      <w:marRight w:val="0"/>
                      <w:marTop w:val="0"/>
                      <w:marBottom w:val="0"/>
                      <w:divBdr>
                        <w:top w:val="none" w:sz="0" w:space="0" w:color="auto"/>
                        <w:left w:val="none" w:sz="0" w:space="0" w:color="auto"/>
                        <w:bottom w:val="none" w:sz="0" w:space="0" w:color="auto"/>
                        <w:right w:val="none" w:sz="0" w:space="0" w:color="auto"/>
                      </w:divBdr>
                      <w:divsChild>
                        <w:div w:id="2110924916">
                          <w:marLeft w:val="0"/>
                          <w:marRight w:val="0"/>
                          <w:marTop w:val="0"/>
                          <w:marBottom w:val="0"/>
                          <w:divBdr>
                            <w:top w:val="none" w:sz="0" w:space="0" w:color="auto"/>
                            <w:left w:val="none" w:sz="0" w:space="0" w:color="auto"/>
                            <w:bottom w:val="none" w:sz="0" w:space="0" w:color="auto"/>
                            <w:right w:val="none" w:sz="0" w:space="0" w:color="auto"/>
                          </w:divBdr>
                          <w:divsChild>
                            <w:div w:id="1212575772">
                              <w:marLeft w:val="0"/>
                              <w:marRight w:val="0"/>
                              <w:marTop w:val="0"/>
                              <w:marBottom w:val="0"/>
                              <w:divBdr>
                                <w:top w:val="none" w:sz="0" w:space="0" w:color="auto"/>
                                <w:left w:val="none" w:sz="0" w:space="0" w:color="auto"/>
                                <w:bottom w:val="none" w:sz="0" w:space="0" w:color="auto"/>
                                <w:right w:val="none" w:sz="0" w:space="0" w:color="auto"/>
                              </w:divBdr>
                              <w:divsChild>
                                <w:div w:id="1017732858">
                                  <w:marLeft w:val="0"/>
                                  <w:marRight w:val="0"/>
                                  <w:marTop w:val="0"/>
                                  <w:marBottom w:val="0"/>
                                  <w:divBdr>
                                    <w:top w:val="none" w:sz="0" w:space="0" w:color="auto"/>
                                    <w:left w:val="none" w:sz="0" w:space="0" w:color="auto"/>
                                    <w:bottom w:val="none" w:sz="0" w:space="0" w:color="auto"/>
                                    <w:right w:val="none" w:sz="0" w:space="0" w:color="auto"/>
                                  </w:divBdr>
                                  <w:divsChild>
                                    <w:div w:id="830483988">
                                      <w:marLeft w:val="0"/>
                                      <w:marRight w:val="0"/>
                                      <w:marTop w:val="0"/>
                                      <w:marBottom w:val="0"/>
                                      <w:divBdr>
                                        <w:top w:val="none" w:sz="0" w:space="0" w:color="auto"/>
                                        <w:left w:val="none" w:sz="0" w:space="0" w:color="auto"/>
                                        <w:bottom w:val="none" w:sz="0" w:space="0" w:color="auto"/>
                                        <w:right w:val="none" w:sz="0" w:space="0" w:color="auto"/>
                                      </w:divBdr>
                                      <w:divsChild>
                                        <w:div w:id="1850295599">
                                          <w:marLeft w:val="0"/>
                                          <w:marRight w:val="0"/>
                                          <w:marTop w:val="0"/>
                                          <w:marBottom w:val="0"/>
                                          <w:divBdr>
                                            <w:top w:val="none" w:sz="0" w:space="0" w:color="auto"/>
                                            <w:left w:val="none" w:sz="0" w:space="0" w:color="auto"/>
                                            <w:bottom w:val="none" w:sz="0" w:space="0" w:color="auto"/>
                                            <w:right w:val="none" w:sz="0" w:space="0" w:color="auto"/>
                                          </w:divBdr>
                                          <w:divsChild>
                                            <w:div w:id="434519741">
                                              <w:marLeft w:val="0"/>
                                              <w:marRight w:val="0"/>
                                              <w:marTop w:val="0"/>
                                              <w:marBottom w:val="0"/>
                                              <w:divBdr>
                                                <w:top w:val="none" w:sz="0" w:space="0" w:color="auto"/>
                                                <w:left w:val="none" w:sz="0" w:space="0" w:color="auto"/>
                                                <w:bottom w:val="none" w:sz="0" w:space="0" w:color="auto"/>
                                                <w:right w:val="none" w:sz="0" w:space="0" w:color="auto"/>
                                              </w:divBdr>
                                              <w:divsChild>
                                                <w:div w:id="21099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162499">
      <w:bodyDiv w:val="1"/>
      <w:marLeft w:val="0"/>
      <w:marRight w:val="0"/>
      <w:marTop w:val="0"/>
      <w:marBottom w:val="0"/>
      <w:divBdr>
        <w:top w:val="none" w:sz="0" w:space="0" w:color="auto"/>
        <w:left w:val="none" w:sz="0" w:space="0" w:color="auto"/>
        <w:bottom w:val="none" w:sz="0" w:space="0" w:color="auto"/>
        <w:right w:val="none" w:sz="0" w:space="0" w:color="auto"/>
      </w:divBdr>
      <w:divsChild>
        <w:div w:id="1554272369">
          <w:marLeft w:val="0"/>
          <w:marRight w:val="0"/>
          <w:marTop w:val="0"/>
          <w:marBottom w:val="0"/>
          <w:divBdr>
            <w:top w:val="none" w:sz="0" w:space="0" w:color="auto"/>
            <w:left w:val="none" w:sz="0" w:space="0" w:color="auto"/>
            <w:bottom w:val="none" w:sz="0" w:space="0" w:color="auto"/>
            <w:right w:val="none" w:sz="0" w:space="0" w:color="auto"/>
          </w:divBdr>
          <w:divsChild>
            <w:div w:id="773940493">
              <w:marLeft w:val="0"/>
              <w:marRight w:val="0"/>
              <w:marTop w:val="0"/>
              <w:marBottom w:val="0"/>
              <w:divBdr>
                <w:top w:val="none" w:sz="0" w:space="0" w:color="auto"/>
                <w:left w:val="none" w:sz="0" w:space="0" w:color="auto"/>
                <w:bottom w:val="none" w:sz="0" w:space="0" w:color="auto"/>
                <w:right w:val="none" w:sz="0" w:space="0" w:color="auto"/>
              </w:divBdr>
              <w:divsChild>
                <w:div w:id="1991716685">
                  <w:marLeft w:val="0"/>
                  <w:marRight w:val="0"/>
                  <w:marTop w:val="0"/>
                  <w:marBottom w:val="0"/>
                  <w:divBdr>
                    <w:top w:val="none" w:sz="0" w:space="0" w:color="auto"/>
                    <w:left w:val="none" w:sz="0" w:space="0" w:color="auto"/>
                    <w:bottom w:val="none" w:sz="0" w:space="0" w:color="auto"/>
                    <w:right w:val="none" w:sz="0" w:space="0" w:color="auto"/>
                  </w:divBdr>
                  <w:divsChild>
                    <w:div w:id="1744445585">
                      <w:marLeft w:val="0"/>
                      <w:marRight w:val="0"/>
                      <w:marTop w:val="0"/>
                      <w:marBottom w:val="0"/>
                      <w:divBdr>
                        <w:top w:val="none" w:sz="0" w:space="0" w:color="auto"/>
                        <w:left w:val="none" w:sz="0" w:space="0" w:color="auto"/>
                        <w:bottom w:val="none" w:sz="0" w:space="0" w:color="auto"/>
                        <w:right w:val="none" w:sz="0" w:space="0" w:color="auto"/>
                      </w:divBdr>
                      <w:divsChild>
                        <w:div w:id="1618173214">
                          <w:marLeft w:val="0"/>
                          <w:marRight w:val="0"/>
                          <w:marTop w:val="0"/>
                          <w:marBottom w:val="0"/>
                          <w:divBdr>
                            <w:top w:val="none" w:sz="0" w:space="0" w:color="auto"/>
                            <w:left w:val="none" w:sz="0" w:space="0" w:color="auto"/>
                            <w:bottom w:val="none" w:sz="0" w:space="0" w:color="auto"/>
                            <w:right w:val="none" w:sz="0" w:space="0" w:color="auto"/>
                          </w:divBdr>
                          <w:divsChild>
                            <w:div w:id="147943931">
                              <w:marLeft w:val="0"/>
                              <w:marRight w:val="0"/>
                              <w:marTop w:val="0"/>
                              <w:marBottom w:val="0"/>
                              <w:divBdr>
                                <w:top w:val="none" w:sz="0" w:space="0" w:color="auto"/>
                                <w:left w:val="none" w:sz="0" w:space="0" w:color="auto"/>
                                <w:bottom w:val="none" w:sz="0" w:space="0" w:color="auto"/>
                                <w:right w:val="none" w:sz="0" w:space="0" w:color="auto"/>
                              </w:divBdr>
                              <w:divsChild>
                                <w:div w:id="2028210390">
                                  <w:marLeft w:val="0"/>
                                  <w:marRight w:val="0"/>
                                  <w:marTop w:val="0"/>
                                  <w:marBottom w:val="0"/>
                                  <w:divBdr>
                                    <w:top w:val="none" w:sz="0" w:space="0" w:color="auto"/>
                                    <w:left w:val="none" w:sz="0" w:space="0" w:color="auto"/>
                                    <w:bottom w:val="none" w:sz="0" w:space="0" w:color="auto"/>
                                    <w:right w:val="none" w:sz="0" w:space="0" w:color="auto"/>
                                  </w:divBdr>
                                  <w:divsChild>
                                    <w:div w:id="544101648">
                                      <w:marLeft w:val="0"/>
                                      <w:marRight w:val="0"/>
                                      <w:marTop w:val="0"/>
                                      <w:marBottom w:val="0"/>
                                      <w:divBdr>
                                        <w:top w:val="none" w:sz="0" w:space="0" w:color="auto"/>
                                        <w:left w:val="none" w:sz="0" w:space="0" w:color="auto"/>
                                        <w:bottom w:val="none" w:sz="0" w:space="0" w:color="auto"/>
                                        <w:right w:val="none" w:sz="0" w:space="0" w:color="auto"/>
                                      </w:divBdr>
                                      <w:divsChild>
                                        <w:div w:id="1478840099">
                                          <w:marLeft w:val="0"/>
                                          <w:marRight w:val="0"/>
                                          <w:marTop w:val="0"/>
                                          <w:marBottom w:val="0"/>
                                          <w:divBdr>
                                            <w:top w:val="none" w:sz="0" w:space="0" w:color="auto"/>
                                            <w:left w:val="none" w:sz="0" w:space="0" w:color="auto"/>
                                            <w:bottom w:val="none" w:sz="0" w:space="0" w:color="auto"/>
                                            <w:right w:val="none" w:sz="0" w:space="0" w:color="auto"/>
                                          </w:divBdr>
                                          <w:divsChild>
                                            <w:div w:id="2015379893">
                                              <w:marLeft w:val="0"/>
                                              <w:marRight w:val="0"/>
                                              <w:marTop w:val="0"/>
                                              <w:marBottom w:val="0"/>
                                              <w:divBdr>
                                                <w:top w:val="none" w:sz="0" w:space="0" w:color="auto"/>
                                                <w:left w:val="none" w:sz="0" w:space="0" w:color="auto"/>
                                                <w:bottom w:val="none" w:sz="0" w:space="0" w:color="auto"/>
                                                <w:right w:val="none" w:sz="0" w:space="0" w:color="auto"/>
                                              </w:divBdr>
                                              <w:divsChild>
                                                <w:div w:id="6054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207713">
      <w:bodyDiv w:val="1"/>
      <w:marLeft w:val="0"/>
      <w:marRight w:val="0"/>
      <w:marTop w:val="0"/>
      <w:marBottom w:val="0"/>
      <w:divBdr>
        <w:top w:val="none" w:sz="0" w:space="0" w:color="auto"/>
        <w:left w:val="none" w:sz="0" w:space="0" w:color="auto"/>
        <w:bottom w:val="none" w:sz="0" w:space="0" w:color="auto"/>
        <w:right w:val="none" w:sz="0" w:space="0" w:color="auto"/>
      </w:divBdr>
    </w:div>
    <w:div w:id="841748778">
      <w:bodyDiv w:val="1"/>
      <w:marLeft w:val="0"/>
      <w:marRight w:val="0"/>
      <w:marTop w:val="0"/>
      <w:marBottom w:val="0"/>
      <w:divBdr>
        <w:top w:val="none" w:sz="0" w:space="0" w:color="auto"/>
        <w:left w:val="none" w:sz="0" w:space="0" w:color="auto"/>
        <w:bottom w:val="none" w:sz="0" w:space="0" w:color="auto"/>
        <w:right w:val="none" w:sz="0" w:space="0" w:color="auto"/>
      </w:divBdr>
      <w:divsChild>
        <w:div w:id="408894022">
          <w:marLeft w:val="547"/>
          <w:marRight w:val="0"/>
          <w:marTop w:val="0"/>
          <w:marBottom w:val="0"/>
          <w:divBdr>
            <w:top w:val="none" w:sz="0" w:space="0" w:color="auto"/>
            <w:left w:val="none" w:sz="0" w:space="0" w:color="auto"/>
            <w:bottom w:val="none" w:sz="0" w:space="0" w:color="auto"/>
            <w:right w:val="none" w:sz="0" w:space="0" w:color="auto"/>
          </w:divBdr>
        </w:div>
      </w:divsChild>
    </w:div>
    <w:div w:id="1162240501">
      <w:bodyDiv w:val="1"/>
      <w:marLeft w:val="0"/>
      <w:marRight w:val="0"/>
      <w:marTop w:val="0"/>
      <w:marBottom w:val="0"/>
      <w:divBdr>
        <w:top w:val="none" w:sz="0" w:space="0" w:color="auto"/>
        <w:left w:val="none" w:sz="0" w:space="0" w:color="auto"/>
        <w:bottom w:val="none" w:sz="0" w:space="0" w:color="auto"/>
        <w:right w:val="none" w:sz="0" w:space="0" w:color="auto"/>
      </w:divBdr>
    </w:div>
    <w:div w:id="1368332315">
      <w:bodyDiv w:val="1"/>
      <w:marLeft w:val="0"/>
      <w:marRight w:val="0"/>
      <w:marTop w:val="0"/>
      <w:marBottom w:val="0"/>
      <w:divBdr>
        <w:top w:val="none" w:sz="0" w:space="0" w:color="auto"/>
        <w:left w:val="none" w:sz="0" w:space="0" w:color="auto"/>
        <w:bottom w:val="none" w:sz="0" w:space="0" w:color="auto"/>
        <w:right w:val="none" w:sz="0" w:space="0" w:color="auto"/>
      </w:divBdr>
    </w:div>
    <w:div w:id="1380129236">
      <w:bodyDiv w:val="1"/>
      <w:marLeft w:val="0"/>
      <w:marRight w:val="0"/>
      <w:marTop w:val="0"/>
      <w:marBottom w:val="0"/>
      <w:divBdr>
        <w:top w:val="none" w:sz="0" w:space="0" w:color="auto"/>
        <w:left w:val="none" w:sz="0" w:space="0" w:color="auto"/>
        <w:bottom w:val="none" w:sz="0" w:space="0" w:color="auto"/>
        <w:right w:val="none" w:sz="0" w:space="0" w:color="auto"/>
      </w:divBdr>
    </w:div>
    <w:div w:id="1481846765">
      <w:bodyDiv w:val="1"/>
      <w:marLeft w:val="0"/>
      <w:marRight w:val="0"/>
      <w:marTop w:val="0"/>
      <w:marBottom w:val="0"/>
      <w:divBdr>
        <w:top w:val="none" w:sz="0" w:space="0" w:color="auto"/>
        <w:left w:val="none" w:sz="0" w:space="0" w:color="auto"/>
        <w:bottom w:val="none" w:sz="0" w:space="0" w:color="auto"/>
        <w:right w:val="none" w:sz="0" w:space="0" w:color="auto"/>
      </w:divBdr>
    </w:div>
    <w:div w:id="1571430027">
      <w:bodyDiv w:val="1"/>
      <w:marLeft w:val="0"/>
      <w:marRight w:val="0"/>
      <w:marTop w:val="0"/>
      <w:marBottom w:val="0"/>
      <w:divBdr>
        <w:top w:val="none" w:sz="0" w:space="0" w:color="auto"/>
        <w:left w:val="none" w:sz="0" w:space="0" w:color="auto"/>
        <w:bottom w:val="none" w:sz="0" w:space="0" w:color="auto"/>
        <w:right w:val="none" w:sz="0" w:space="0" w:color="auto"/>
      </w:divBdr>
      <w:divsChild>
        <w:div w:id="585963487">
          <w:marLeft w:val="360"/>
          <w:marRight w:val="0"/>
          <w:marTop w:val="60"/>
          <w:marBottom w:val="0"/>
          <w:divBdr>
            <w:top w:val="none" w:sz="0" w:space="0" w:color="auto"/>
            <w:left w:val="none" w:sz="0" w:space="0" w:color="auto"/>
            <w:bottom w:val="none" w:sz="0" w:space="0" w:color="auto"/>
            <w:right w:val="none" w:sz="0" w:space="0" w:color="auto"/>
          </w:divBdr>
        </w:div>
        <w:div w:id="1072002881">
          <w:marLeft w:val="360"/>
          <w:marRight w:val="0"/>
          <w:marTop w:val="60"/>
          <w:marBottom w:val="0"/>
          <w:divBdr>
            <w:top w:val="none" w:sz="0" w:space="0" w:color="auto"/>
            <w:left w:val="none" w:sz="0" w:space="0" w:color="auto"/>
            <w:bottom w:val="none" w:sz="0" w:space="0" w:color="auto"/>
            <w:right w:val="none" w:sz="0" w:space="0" w:color="auto"/>
          </w:divBdr>
        </w:div>
        <w:div w:id="2068335913">
          <w:marLeft w:val="360"/>
          <w:marRight w:val="0"/>
          <w:marTop w:val="60"/>
          <w:marBottom w:val="0"/>
          <w:divBdr>
            <w:top w:val="none" w:sz="0" w:space="0" w:color="auto"/>
            <w:left w:val="none" w:sz="0" w:space="0" w:color="auto"/>
            <w:bottom w:val="none" w:sz="0" w:space="0" w:color="auto"/>
            <w:right w:val="none" w:sz="0" w:space="0" w:color="auto"/>
          </w:divBdr>
        </w:div>
      </w:divsChild>
    </w:div>
    <w:div w:id="19569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373F5-96C1-45E5-8D13-3ACD1AE3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Stakeholder engagement framework</vt:lpstr>
    </vt:vector>
  </TitlesOfParts>
  <LinksUpToDate>false</LinksUpToDate>
  <CharactersWithSpaces>17948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framework</dc:title>
  <dc:subject/>
  <dc:creator/>
  <cp:keywords>Stakeholder Engagement Framework</cp:keywords>
  <cp:lastModifiedBy/>
  <cp:revision>1</cp:revision>
  <dcterms:created xsi:type="dcterms:W3CDTF">2018-09-06T00:28:00Z</dcterms:created>
  <dcterms:modified xsi:type="dcterms:W3CDTF">2018-09-06T00:31:00Z</dcterms:modified>
</cp:coreProperties>
</file>