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9DF" w:rsidRPr="009C19DF" w:rsidRDefault="009C19DF" w:rsidP="009C19DF">
      <w:pPr>
        <w:spacing w:before="360" w:after="0"/>
        <w:jc w:val="center"/>
        <w:rPr>
          <w:rFonts w:eastAsia="Times New Roman" w:cs="Times New Roman"/>
          <w:szCs w:val="24"/>
        </w:rPr>
      </w:pPr>
      <w:r>
        <w:rPr>
          <w:rFonts w:eastAsia="Times New Roman" w:cs="Times New Roman"/>
          <w:caps/>
          <w:noProof/>
          <w:szCs w:val="24"/>
          <w:lang w:eastAsia="en-AU"/>
        </w:rPr>
        <w:drawing>
          <wp:inline distT="0" distB="0" distL="0" distR="0">
            <wp:extent cx="2466975" cy="1371600"/>
            <wp:effectExtent l="0" t="0" r="9525"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rsidR="009C19DF" w:rsidRPr="00E87A89" w:rsidRDefault="009C19DF" w:rsidP="00BB0549">
      <w:pPr>
        <w:pStyle w:val="Title"/>
      </w:pPr>
      <w:r w:rsidRPr="00E87A89">
        <w:t>Austra</w:t>
      </w:r>
      <w:r w:rsidR="00E87A89" w:rsidRPr="00E87A89">
        <w:t>lian Government response to the</w:t>
      </w:r>
      <w:r w:rsidR="004E5378">
        <w:t xml:space="preserve"> </w:t>
      </w:r>
      <w:r w:rsidRPr="00E87A89">
        <w:t>House of Representatives Stand</w:t>
      </w:r>
      <w:r w:rsidR="00BB0549">
        <w:t>ing Committee on Health Report:</w:t>
      </w:r>
    </w:p>
    <w:p w:rsidR="009C19DF" w:rsidRPr="00E87A89" w:rsidRDefault="009C19DF" w:rsidP="00BB0549">
      <w:pPr>
        <w:pStyle w:val="Title"/>
      </w:pPr>
      <w:r w:rsidRPr="00E87A89">
        <w:t>Skin Cancer in Australia: Our National Cancer</w:t>
      </w:r>
    </w:p>
    <w:p w:rsidR="00D553FC" w:rsidRPr="00727A6B" w:rsidRDefault="00727A6B" w:rsidP="00727A6B">
      <w:pPr>
        <w:pStyle w:val="Titlepagetext"/>
      </w:pPr>
      <w:bookmarkStart w:id="0" w:name="_GoBack"/>
      <w:bookmarkEnd w:id="0"/>
      <w:r>
        <w:t>May</w:t>
      </w:r>
      <w:r w:rsidR="001A5E97" w:rsidRPr="00727A6B">
        <w:t xml:space="preserve"> </w:t>
      </w:r>
      <w:r w:rsidR="00E020D8" w:rsidRPr="00727A6B">
        <w:t>2017</w:t>
      </w:r>
    </w:p>
    <w:p w:rsidR="00D553FC" w:rsidRPr="00D553FC" w:rsidRDefault="00D553FC" w:rsidP="00727A6B">
      <w:pPr>
        <w:pageBreakBefore/>
        <w:jc w:val="both"/>
        <w:rPr>
          <w:rFonts w:ascii="Arial" w:eastAsia="Times New Roman" w:hAnsi="Arial" w:cs="Arial"/>
          <w:sz w:val="20"/>
          <w:szCs w:val="20"/>
          <w:lang w:eastAsia="en-AU"/>
        </w:rPr>
      </w:pPr>
      <w:r w:rsidRPr="00D553FC">
        <w:rPr>
          <w:rFonts w:ascii="Arial" w:eastAsia="Times New Roman" w:hAnsi="Arial" w:cs="Arial"/>
          <w:sz w:val="20"/>
          <w:szCs w:val="20"/>
          <w:lang w:eastAsia="en-AU"/>
        </w:rPr>
        <w:t>© Commonwealth of Australia as represented by the Department of Health 2017</w:t>
      </w:r>
    </w:p>
    <w:p w:rsidR="00D553FC" w:rsidRPr="00D553FC" w:rsidRDefault="00D553FC" w:rsidP="00D553FC">
      <w:pPr>
        <w:pBdr>
          <w:top w:val="single" w:sz="4" w:space="1" w:color="auto"/>
          <w:bottom w:val="single" w:sz="4" w:space="1" w:color="auto"/>
        </w:pBdr>
        <w:spacing w:after="60"/>
        <w:jc w:val="both"/>
        <w:rPr>
          <w:rFonts w:ascii="Arial" w:eastAsia="Times New Roman" w:hAnsi="Arial" w:cs="Arial"/>
          <w:sz w:val="20"/>
          <w:szCs w:val="20"/>
          <w:lang w:eastAsia="en-AU"/>
        </w:rPr>
      </w:pPr>
      <w:r w:rsidRPr="00D553FC">
        <w:rPr>
          <w:rFonts w:ascii="Arial" w:eastAsia="Times New Roman" w:hAnsi="Arial" w:cs="Arial"/>
          <w:sz w:val="20"/>
          <w:szCs w:val="20"/>
          <w:lang w:eastAsia="en-AU"/>
        </w:rPr>
        <w:t>Title: Australian Government response to the House of Representatives Standing Committee on Health Report:</w:t>
      </w:r>
    </w:p>
    <w:p w:rsidR="00D553FC" w:rsidRPr="00D553FC" w:rsidRDefault="00D553FC" w:rsidP="00D553FC">
      <w:pPr>
        <w:pBdr>
          <w:top w:val="single" w:sz="4" w:space="1" w:color="auto"/>
          <w:bottom w:val="single" w:sz="4" w:space="1" w:color="auto"/>
        </w:pBdr>
        <w:spacing w:after="60"/>
        <w:jc w:val="both"/>
        <w:rPr>
          <w:rFonts w:ascii="Arial" w:eastAsia="Times New Roman" w:hAnsi="Arial" w:cs="Arial"/>
          <w:sz w:val="20"/>
          <w:szCs w:val="20"/>
          <w:lang w:eastAsia="en-AU"/>
        </w:rPr>
      </w:pPr>
      <w:r w:rsidRPr="00D553FC">
        <w:rPr>
          <w:rFonts w:ascii="Arial" w:eastAsia="Times New Roman" w:hAnsi="Arial" w:cs="Arial"/>
          <w:sz w:val="20"/>
          <w:szCs w:val="20"/>
          <w:lang w:eastAsia="en-AU"/>
        </w:rPr>
        <w:t xml:space="preserve">Skin Cancer in Australia: Our National Cancer </w:t>
      </w:r>
    </w:p>
    <w:p w:rsidR="00D553FC" w:rsidRPr="00D553FC" w:rsidRDefault="00D553FC" w:rsidP="00D553FC">
      <w:pPr>
        <w:pBdr>
          <w:top w:val="single" w:sz="4" w:space="1" w:color="auto"/>
          <w:bottom w:val="single" w:sz="4" w:space="1" w:color="auto"/>
        </w:pBdr>
        <w:spacing w:after="60"/>
        <w:jc w:val="both"/>
        <w:rPr>
          <w:rFonts w:ascii="Arial" w:eastAsia="Times New Roman" w:hAnsi="Arial" w:cs="Arial"/>
          <w:sz w:val="20"/>
          <w:szCs w:val="20"/>
          <w:lang w:eastAsia="en-AU"/>
        </w:rPr>
      </w:pPr>
      <w:r w:rsidRPr="00D553FC">
        <w:rPr>
          <w:rFonts w:ascii="Arial" w:eastAsia="Times New Roman" w:hAnsi="Arial" w:cs="Arial"/>
          <w:sz w:val="20"/>
          <w:szCs w:val="20"/>
          <w:lang w:eastAsia="en-AU"/>
        </w:rPr>
        <w:t>ISBN: 978-1-76007-321-3</w:t>
      </w:r>
    </w:p>
    <w:p w:rsidR="00D553FC" w:rsidRPr="00D553FC" w:rsidRDefault="00D553FC" w:rsidP="00D553FC">
      <w:pPr>
        <w:pBdr>
          <w:top w:val="single" w:sz="4" w:space="1" w:color="auto"/>
          <w:bottom w:val="single" w:sz="4" w:space="1" w:color="auto"/>
        </w:pBdr>
        <w:spacing w:after="60"/>
        <w:jc w:val="both"/>
        <w:rPr>
          <w:rFonts w:ascii="Arial" w:eastAsia="Times New Roman" w:hAnsi="Arial" w:cs="Arial"/>
          <w:sz w:val="20"/>
          <w:szCs w:val="20"/>
          <w:lang w:eastAsia="en-AU"/>
        </w:rPr>
      </w:pPr>
      <w:r w:rsidRPr="00D553FC">
        <w:rPr>
          <w:rFonts w:ascii="Arial" w:eastAsia="Times New Roman" w:hAnsi="Arial" w:cs="Arial"/>
          <w:sz w:val="20"/>
          <w:szCs w:val="20"/>
          <w:lang w:eastAsia="en-AU"/>
        </w:rPr>
        <w:t>Online ISBN: 978-1-76007-322-0</w:t>
      </w:r>
    </w:p>
    <w:p w:rsidR="00D553FC" w:rsidRPr="00D553FC" w:rsidRDefault="00D553FC" w:rsidP="00D553FC">
      <w:pPr>
        <w:pBdr>
          <w:top w:val="single" w:sz="4" w:space="1" w:color="auto"/>
          <w:bottom w:val="single" w:sz="4" w:space="1" w:color="auto"/>
        </w:pBdr>
        <w:spacing w:after="60"/>
        <w:jc w:val="both"/>
        <w:rPr>
          <w:rFonts w:ascii="Arial" w:eastAsia="Times New Roman" w:hAnsi="Arial" w:cs="Arial"/>
          <w:sz w:val="20"/>
          <w:szCs w:val="20"/>
          <w:lang w:eastAsia="en-AU"/>
        </w:rPr>
      </w:pPr>
      <w:r w:rsidRPr="00D553FC">
        <w:rPr>
          <w:rFonts w:ascii="Arial" w:eastAsia="Times New Roman" w:hAnsi="Arial" w:cs="Arial"/>
          <w:sz w:val="20"/>
          <w:szCs w:val="20"/>
          <w:lang w:eastAsia="en-AU"/>
        </w:rPr>
        <w:t>Publications Number: 11886</w:t>
      </w:r>
    </w:p>
    <w:p w:rsidR="00D553FC" w:rsidRPr="00D553FC" w:rsidRDefault="00D553FC" w:rsidP="00D553FC">
      <w:pPr>
        <w:jc w:val="both"/>
        <w:rPr>
          <w:rFonts w:ascii="Arial" w:eastAsia="Times New Roman" w:hAnsi="Arial" w:cs="Arial"/>
          <w:b/>
          <w:sz w:val="20"/>
          <w:szCs w:val="20"/>
        </w:rPr>
      </w:pPr>
      <w:r w:rsidRPr="00D553FC">
        <w:rPr>
          <w:rFonts w:ascii="Arial" w:eastAsia="Times New Roman" w:hAnsi="Arial" w:cs="Arial"/>
          <w:b/>
          <w:sz w:val="20"/>
          <w:szCs w:val="20"/>
          <w:lang w:eastAsia="en-AU"/>
        </w:rPr>
        <w:t>Creative Commons Licence</w:t>
      </w:r>
    </w:p>
    <w:p w:rsidR="00D553FC" w:rsidRPr="00D553FC" w:rsidRDefault="00D553FC" w:rsidP="00D553FC">
      <w:pPr>
        <w:spacing w:after="60"/>
        <w:jc w:val="both"/>
        <w:rPr>
          <w:rFonts w:ascii="Arial" w:eastAsia="Times New Roman" w:hAnsi="Arial" w:cs="Arial"/>
          <w:sz w:val="22"/>
          <w:lang w:eastAsia="en-AU"/>
        </w:rPr>
      </w:pPr>
      <w:r w:rsidRPr="00D553FC">
        <w:rPr>
          <w:rFonts w:ascii="Arial" w:eastAsia="Times New Roman" w:hAnsi="Arial" w:cs="Arial"/>
          <w:noProof/>
          <w:sz w:val="22"/>
          <w:lang w:eastAsia="en-AU"/>
        </w:rPr>
        <w:drawing>
          <wp:inline distT="0" distB="0" distL="0" distR="0" wp14:anchorId="0EBEDA52" wp14:editId="4ACA24ED">
            <wp:extent cx="1026160" cy="356870"/>
            <wp:effectExtent l="0" t="0" r="2540" b="5080"/>
            <wp:docPr id="4" name="Picture 4" descr="cid:image001.png@01D10CD1.33FE7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CD1.33FE7F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26160" cy="356870"/>
                    </a:xfrm>
                    <a:prstGeom prst="rect">
                      <a:avLst/>
                    </a:prstGeom>
                    <a:noFill/>
                    <a:ln>
                      <a:noFill/>
                    </a:ln>
                  </pic:spPr>
                </pic:pic>
              </a:graphicData>
            </a:graphic>
          </wp:inline>
        </w:drawing>
      </w:r>
    </w:p>
    <w:p w:rsidR="00D553FC" w:rsidRPr="00D553FC" w:rsidRDefault="00D553FC" w:rsidP="00D553FC">
      <w:pPr>
        <w:autoSpaceDE w:val="0"/>
        <w:autoSpaceDN w:val="0"/>
        <w:spacing w:before="240" w:line="181" w:lineRule="atLeast"/>
        <w:jc w:val="both"/>
        <w:rPr>
          <w:rFonts w:ascii="Arial" w:eastAsia="Times New Roman" w:hAnsi="Arial" w:cs="Arial"/>
          <w:sz w:val="20"/>
          <w:szCs w:val="20"/>
          <w:lang w:eastAsia="en-AU"/>
        </w:rPr>
      </w:pPr>
      <w:r w:rsidRPr="00D553FC">
        <w:rPr>
          <w:rFonts w:ascii="Arial" w:eastAsia="Times New Roman" w:hAnsi="Arial" w:cs="Arial"/>
          <w:sz w:val="20"/>
          <w:szCs w:val="20"/>
          <w:lang w:eastAsia="en-AU"/>
        </w:rPr>
        <w:t xml:space="preserve">This publication is licensed under the Creative Commons Attribution 4.0 International Public License available from </w:t>
      </w:r>
      <w:hyperlink r:id="rId11" w:history="1">
        <w:r w:rsidRPr="00D553FC">
          <w:rPr>
            <w:rFonts w:ascii="Arial" w:eastAsia="Times New Roman" w:hAnsi="Arial" w:cs="Arial"/>
            <w:color w:val="0000FF" w:themeColor="hyperlink"/>
            <w:sz w:val="20"/>
            <w:szCs w:val="20"/>
            <w:u w:val="single"/>
            <w:lang w:eastAsia="en-AU"/>
          </w:rPr>
          <w:t>https://creativecommons.org/licenses/by/4.0/legalcode</w:t>
        </w:r>
      </w:hyperlink>
      <w:r w:rsidRPr="00D553FC">
        <w:rPr>
          <w:rFonts w:ascii="Arial" w:eastAsia="Times New Roman" w:hAnsi="Arial" w:cs="Arial"/>
          <w:color w:val="0000FF" w:themeColor="hyperlink"/>
          <w:sz w:val="20"/>
          <w:szCs w:val="20"/>
          <w:u w:val="single"/>
          <w:lang w:eastAsia="en-AU"/>
        </w:rPr>
        <w:t xml:space="preserve"> </w:t>
      </w:r>
      <w:r w:rsidRPr="00D553FC">
        <w:rPr>
          <w:rFonts w:ascii="Arial" w:eastAsia="Times New Roman" w:hAnsi="Arial" w:cs="Arial"/>
          <w:sz w:val="20"/>
          <w:szCs w:val="20"/>
          <w:lang w:eastAsia="en-AU"/>
        </w:rPr>
        <w:t xml:space="preserve">(“Licence”). You must read and understand the Licence before using any material from this publication. </w:t>
      </w:r>
    </w:p>
    <w:p w:rsidR="00D553FC" w:rsidRPr="00D553FC" w:rsidRDefault="00D553FC" w:rsidP="00D553FC">
      <w:pPr>
        <w:autoSpaceDE w:val="0"/>
        <w:autoSpaceDN w:val="0"/>
        <w:spacing w:before="100" w:line="181" w:lineRule="atLeast"/>
        <w:jc w:val="both"/>
        <w:rPr>
          <w:rFonts w:ascii="Arial" w:eastAsia="Times New Roman" w:hAnsi="Arial" w:cs="Arial"/>
          <w:sz w:val="20"/>
          <w:szCs w:val="20"/>
          <w:lang w:eastAsia="en-AU"/>
        </w:rPr>
      </w:pPr>
      <w:r w:rsidRPr="00D553FC">
        <w:rPr>
          <w:rFonts w:ascii="Arial" w:eastAsia="Times New Roman" w:hAnsi="Arial" w:cs="Arial"/>
          <w:sz w:val="20"/>
          <w:szCs w:val="20"/>
          <w:lang w:eastAsia="en-AU"/>
        </w:rPr>
        <w:t>Restrictions</w:t>
      </w:r>
    </w:p>
    <w:p w:rsidR="00D553FC" w:rsidRPr="00D553FC" w:rsidRDefault="00D553FC" w:rsidP="00D553FC">
      <w:pPr>
        <w:autoSpaceDE w:val="0"/>
        <w:autoSpaceDN w:val="0"/>
        <w:spacing w:before="100" w:line="181" w:lineRule="atLeast"/>
        <w:jc w:val="both"/>
        <w:rPr>
          <w:rFonts w:ascii="Arial" w:eastAsia="Times New Roman" w:hAnsi="Arial" w:cs="Arial"/>
          <w:sz w:val="20"/>
          <w:szCs w:val="20"/>
          <w:lang w:eastAsia="en-AU"/>
        </w:rPr>
      </w:pPr>
      <w:r w:rsidRPr="00D553FC">
        <w:rPr>
          <w:rFonts w:ascii="Arial" w:eastAsia="Times New Roman" w:hAnsi="Arial" w:cs="Arial"/>
          <w:sz w:val="20"/>
          <w:szCs w:val="20"/>
          <w:lang w:eastAsia="en-AU"/>
        </w:rPr>
        <w:t>The Licence may not give you all the permissions necessary for your intended use. For example, other rights (such as publicity, privacy and moral rights) may limit how you use the mater</w:t>
      </w:r>
      <w:r w:rsidR="00727A6B">
        <w:rPr>
          <w:rFonts w:ascii="Arial" w:eastAsia="Times New Roman" w:hAnsi="Arial" w:cs="Arial"/>
          <w:sz w:val="20"/>
          <w:szCs w:val="20"/>
          <w:lang w:eastAsia="en-AU"/>
        </w:rPr>
        <w:t>ial found in this publication.</w:t>
      </w:r>
    </w:p>
    <w:p w:rsidR="00D553FC" w:rsidRPr="00D553FC" w:rsidRDefault="00D553FC" w:rsidP="00D553FC">
      <w:pPr>
        <w:autoSpaceDE w:val="0"/>
        <w:autoSpaceDN w:val="0"/>
        <w:spacing w:before="100" w:after="60" w:line="181" w:lineRule="atLeast"/>
        <w:jc w:val="both"/>
        <w:rPr>
          <w:rFonts w:ascii="Arial" w:eastAsia="Times New Roman" w:hAnsi="Arial" w:cs="Arial"/>
          <w:sz w:val="20"/>
          <w:szCs w:val="20"/>
          <w:lang w:eastAsia="en-AU"/>
        </w:rPr>
      </w:pPr>
      <w:r w:rsidRPr="00D553FC">
        <w:rPr>
          <w:rFonts w:ascii="Arial" w:eastAsia="Times New Roman" w:hAnsi="Arial" w:cs="Arial"/>
          <w:sz w:val="20"/>
          <w:szCs w:val="20"/>
          <w:lang w:eastAsia="en-AU"/>
        </w:rPr>
        <w:t>The Licence does not cover, and there is no permission given for, use of any of the following material found in this public</w:t>
      </w:r>
      <w:r w:rsidR="00727A6B">
        <w:rPr>
          <w:rFonts w:ascii="Arial" w:eastAsia="Times New Roman" w:hAnsi="Arial" w:cs="Arial"/>
          <w:sz w:val="20"/>
          <w:szCs w:val="20"/>
          <w:lang w:eastAsia="en-AU"/>
        </w:rPr>
        <w:t>ation:</w:t>
      </w:r>
    </w:p>
    <w:p w:rsidR="00D553FC" w:rsidRPr="00D553FC" w:rsidRDefault="00D553FC" w:rsidP="00D553FC">
      <w:pPr>
        <w:numPr>
          <w:ilvl w:val="0"/>
          <w:numId w:val="19"/>
        </w:numPr>
        <w:spacing w:after="0"/>
        <w:contextualSpacing/>
        <w:jc w:val="both"/>
        <w:rPr>
          <w:rFonts w:ascii="Arial" w:eastAsia="Times New Roman" w:hAnsi="Arial" w:cs="Arial"/>
          <w:sz w:val="20"/>
          <w:szCs w:val="20"/>
        </w:rPr>
      </w:pPr>
      <w:proofErr w:type="gramStart"/>
      <w:r w:rsidRPr="00D553FC">
        <w:rPr>
          <w:rFonts w:ascii="Arial" w:eastAsia="Times New Roman" w:hAnsi="Arial" w:cs="Arial"/>
          <w:sz w:val="20"/>
          <w:szCs w:val="20"/>
        </w:rPr>
        <w:t>the</w:t>
      </w:r>
      <w:proofErr w:type="gramEnd"/>
      <w:r w:rsidRPr="00D553FC">
        <w:rPr>
          <w:rFonts w:ascii="Arial" w:eastAsia="Times New Roman" w:hAnsi="Arial" w:cs="Arial"/>
          <w:sz w:val="20"/>
          <w:szCs w:val="20"/>
        </w:rPr>
        <w:t xml:space="preserve"> Commonwealth Coat of Arms. (by way of information, the terms under which the Coat of Arms may be used can be found on the Department of Prime Minister and Cabinet website </w:t>
      </w:r>
      <w:r w:rsidRPr="00D553FC">
        <w:rPr>
          <w:rFonts w:ascii="Arial" w:eastAsia="Times New Roman" w:hAnsi="Arial" w:cs="Arial"/>
          <w:color w:val="0000FF" w:themeColor="hyperlink"/>
          <w:sz w:val="20"/>
          <w:szCs w:val="20"/>
          <w:u w:val="single"/>
          <w:lang w:eastAsia="en-AU"/>
        </w:rPr>
        <w:t>http://www.dpmc.gov.au/government/commonwealth-coat-arms</w:t>
      </w:r>
      <w:r w:rsidRPr="00D553FC">
        <w:rPr>
          <w:rFonts w:ascii="Arial" w:eastAsia="Times New Roman" w:hAnsi="Arial" w:cs="Arial"/>
          <w:sz w:val="20"/>
          <w:szCs w:val="20"/>
        </w:rPr>
        <w:t>);</w:t>
      </w:r>
    </w:p>
    <w:p w:rsidR="00D553FC" w:rsidRPr="00D553FC" w:rsidRDefault="00D553FC" w:rsidP="00D553FC">
      <w:pPr>
        <w:numPr>
          <w:ilvl w:val="0"/>
          <w:numId w:val="19"/>
        </w:numPr>
        <w:spacing w:after="0"/>
        <w:contextualSpacing/>
        <w:jc w:val="both"/>
        <w:rPr>
          <w:rFonts w:ascii="Arial" w:eastAsia="Times New Roman" w:hAnsi="Arial" w:cs="Arial"/>
          <w:sz w:val="20"/>
          <w:szCs w:val="20"/>
        </w:rPr>
      </w:pPr>
      <w:r w:rsidRPr="00D553FC">
        <w:rPr>
          <w:rFonts w:ascii="Arial" w:eastAsia="Times New Roman" w:hAnsi="Arial" w:cs="Arial"/>
          <w:sz w:val="20"/>
          <w:szCs w:val="20"/>
        </w:rPr>
        <w:t>any logos and trademarks;</w:t>
      </w:r>
    </w:p>
    <w:p w:rsidR="00D553FC" w:rsidRPr="00D553FC" w:rsidRDefault="00D553FC" w:rsidP="00D553FC">
      <w:pPr>
        <w:numPr>
          <w:ilvl w:val="0"/>
          <w:numId w:val="19"/>
        </w:numPr>
        <w:spacing w:after="0"/>
        <w:contextualSpacing/>
        <w:jc w:val="both"/>
        <w:rPr>
          <w:rFonts w:ascii="Arial" w:eastAsia="Times New Roman" w:hAnsi="Arial" w:cs="Arial"/>
          <w:sz w:val="20"/>
          <w:szCs w:val="20"/>
        </w:rPr>
      </w:pPr>
      <w:r w:rsidRPr="00D553FC">
        <w:rPr>
          <w:rFonts w:ascii="Arial" w:eastAsia="Times New Roman" w:hAnsi="Arial" w:cs="Arial"/>
          <w:sz w:val="20"/>
          <w:szCs w:val="20"/>
        </w:rPr>
        <w:t xml:space="preserve">any photographs and images; </w:t>
      </w:r>
    </w:p>
    <w:p w:rsidR="00D553FC" w:rsidRPr="00D553FC" w:rsidRDefault="00D553FC" w:rsidP="00D553FC">
      <w:pPr>
        <w:numPr>
          <w:ilvl w:val="0"/>
          <w:numId w:val="19"/>
        </w:numPr>
        <w:spacing w:after="0"/>
        <w:contextualSpacing/>
        <w:jc w:val="both"/>
        <w:rPr>
          <w:rFonts w:ascii="Arial" w:eastAsia="Times New Roman" w:hAnsi="Arial" w:cs="Arial"/>
          <w:sz w:val="20"/>
          <w:szCs w:val="20"/>
        </w:rPr>
      </w:pPr>
      <w:r w:rsidRPr="00D553FC">
        <w:rPr>
          <w:rFonts w:ascii="Arial" w:eastAsia="Times New Roman" w:hAnsi="Arial" w:cs="Arial"/>
          <w:sz w:val="20"/>
          <w:szCs w:val="20"/>
        </w:rPr>
        <w:t>any signatures; and</w:t>
      </w:r>
    </w:p>
    <w:p w:rsidR="00850D88" w:rsidRPr="00850D88" w:rsidRDefault="00D553FC" w:rsidP="00D553FC">
      <w:pPr>
        <w:numPr>
          <w:ilvl w:val="0"/>
          <w:numId w:val="19"/>
        </w:numPr>
        <w:autoSpaceDE w:val="0"/>
        <w:autoSpaceDN w:val="0"/>
        <w:spacing w:before="240" w:after="60" w:line="181" w:lineRule="atLeast"/>
        <w:ind w:right="-766"/>
        <w:contextualSpacing/>
        <w:jc w:val="both"/>
        <w:rPr>
          <w:rFonts w:ascii="Arial" w:eastAsia="Times New Roman" w:hAnsi="Arial" w:cs="Arial"/>
          <w:sz w:val="20"/>
          <w:szCs w:val="20"/>
          <w:lang w:eastAsia="en-AU"/>
        </w:rPr>
      </w:pPr>
      <w:proofErr w:type="gramStart"/>
      <w:r w:rsidRPr="00850D88">
        <w:rPr>
          <w:rFonts w:ascii="Arial" w:eastAsia="Times New Roman" w:hAnsi="Arial" w:cs="Arial"/>
          <w:sz w:val="20"/>
          <w:szCs w:val="20"/>
        </w:rPr>
        <w:t>any</w:t>
      </w:r>
      <w:proofErr w:type="gramEnd"/>
      <w:r w:rsidRPr="00850D88">
        <w:rPr>
          <w:rFonts w:ascii="Arial" w:eastAsia="Times New Roman" w:hAnsi="Arial" w:cs="Arial"/>
          <w:sz w:val="20"/>
          <w:szCs w:val="20"/>
        </w:rPr>
        <w:t xml:space="preserve"> material belonging to third parties.  </w:t>
      </w:r>
    </w:p>
    <w:p w:rsidR="00D553FC" w:rsidRPr="00D553FC" w:rsidRDefault="00D553FC" w:rsidP="00D553FC">
      <w:pPr>
        <w:autoSpaceDE w:val="0"/>
        <w:autoSpaceDN w:val="0"/>
        <w:spacing w:before="240" w:after="60" w:line="181" w:lineRule="atLeast"/>
        <w:ind w:right="-766"/>
        <w:jc w:val="both"/>
        <w:rPr>
          <w:rFonts w:ascii="Arial" w:eastAsia="Times New Roman" w:hAnsi="Arial" w:cs="Arial"/>
          <w:sz w:val="20"/>
          <w:szCs w:val="20"/>
          <w:lang w:eastAsia="en-AU"/>
        </w:rPr>
      </w:pPr>
      <w:r w:rsidRPr="00D553FC">
        <w:rPr>
          <w:rFonts w:ascii="Arial" w:eastAsia="Times New Roman" w:hAnsi="Arial" w:cs="Arial"/>
          <w:sz w:val="20"/>
          <w:szCs w:val="20"/>
          <w:lang w:eastAsia="en-AU"/>
        </w:rPr>
        <w:t>Attribution</w:t>
      </w:r>
    </w:p>
    <w:p w:rsidR="00D553FC" w:rsidRPr="00D553FC" w:rsidRDefault="00D553FC" w:rsidP="00D553FC">
      <w:pPr>
        <w:autoSpaceDE w:val="0"/>
        <w:autoSpaceDN w:val="0"/>
        <w:spacing w:before="240" w:after="60" w:line="181" w:lineRule="atLeast"/>
        <w:jc w:val="both"/>
        <w:rPr>
          <w:rFonts w:ascii="Arial" w:eastAsia="Times New Roman" w:hAnsi="Arial" w:cs="Arial"/>
          <w:sz w:val="20"/>
          <w:szCs w:val="20"/>
          <w:lang w:eastAsia="en-AU"/>
        </w:rPr>
      </w:pPr>
      <w:r w:rsidRPr="00D553FC">
        <w:rPr>
          <w:rFonts w:ascii="Arial" w:eastAsia="Times New Roman" w:hAnsi="Arial" w:cs="Arial"/>
          <w:sz w:val="20"/>
          <w:szCs w:val="20"/>
          <w:lang w:eastAsia="en-AU"/>
        </w:rPr>
        <w:t>Without limiting your obligations under the Licence, the Department of Health requests that you attribute this publication in your work. Any reasonable form of words may be used provided that you:</w:t>
      </w:r>
    </w:p>
    <w:p w:rsidR="00D553FC" w:rsidRPr="00D553FC" w:rsidRDefault="00D553FC" w:rsidP="00D553FC">
      <w:pPr>
        <w:numPr>
          <w:ilvl w:val="0"/>
          <w:numId w:val="20"/>
        </w:numPr>
        <w:autoSpaceDE w:val="0"/>
        <w:autoSpaceDN w:val="0"/>
        <w:spacing w:after="0" w:line="181" w:lineRule="atLeast"/>
        <w:contextualSpacing/>
        <w:jc w:val="both"/>
        <w:rPr>
          <w:rFonts w:ascii="Arial" w:eastAsia="Times New Roman" w:hAnsi="Arial" w:cs="Arial"/>
          <w:sz w:val="20"/>
          <w:szCs w:val="20"/>
        </w:rPr>
      </w:pPr>
      <w:r w:rsidRPr="00D553FC">
        <w:rPr>
          <w:rFonts w:ascii="Arial" w:eastAsia="Times New Roman" w:hAnsi="Arial" w:cs="Arial"/>
          <w:sz w:val="20"/>
          <w:szCs w:val="20"/>
        </w:rPr>
        <w:t xml:space="preserve">include a reference to this publication and where, practicable, the relevant page numbers; </w:t>
      </w:r>
    </w:p>
    <w:p w:rsidR="00D553FC" w:rsidRPr="00D553FC" w:rsidRDefault="00D553FC" w:rsidP="00D553FC">
      <w:pPr>
        <w:numPr>
          <w:ilvl w:val="0"/>
          <w:numId w:val="20"/>
        </w:numPr>
        <w:autoSpaceDE w:val="0"/>
        <w:autoSpaceDN w:val="0"/>
        <w:spacing w:after="0" w:line="181" w:lineRule="atLeast"/>
        <w:contextualSpacing/>
        <w:jc w:val="both"/>
        <w:rPr>
          <w:rFonts w:ascii="Arial" w:eastAsia="Times New Roman" w:hAnsi="Arial" w:cs="Arial"/>
          <w:sz w:val="20"/>
          <w:szCs w:val="20"/>
        </w:rPr>
      </w:pPr>
      <w:r w:rsidRPr="00D553FC">
        <w:rPr>
          <w:rFonts w:ascii="Arial" w:eastAsia="Times New Roman" w:hAnsi="Arial" w:cs="Arial"/>
          <w:sz w:val="20"/>
          <w:szCs w:val="20"/>
        </w:rPr>
        <w:t>make it clear that you have permission to use the material under the Creative Commons Attribution 4.0 International Public License;</w:t>
      </w:r>
    </w:p>
    <w:p w:rsidR="00D553FC" w:rsidRPr="00D553FC" w:rsidRDefault="00D553FC" w:rsidP="00D553FC">
      <w:pPr>
        <w:numPr>
          <w:ilvl w:val="0"/>
          <w:numId w:val="20"/>
        </w:numPr>
        <w:autoSpaceDE w:val="0"/>
        <w:autoSpaceDN w:val="0"/>
        <w:spacing w:after="0" w:line="181" w:lineRule="atLeast"/>
        <w:contextualSpacing/>
        <w:jc w:val="both"/>
        <w:rPr>
          <w:rFonts w:ascii="Arial" w:eastAsia="Times New Roman" w:hAnsi="Arial" w:cs="Arial"/>
          <w:sz w:val="20"/>
          <w:szCs w:val="20"/>
        </w:rPr>
      </w:pPr>
      <w:r w:rsidRPr="00D553FC">
        <w:rPr>
          <w:rFonts w:ascii="Arial" w:eastAsia="Times New Roman" w:hAnsi="Arial" w:cs="Arial"/>
          <w:sz w:val="20"/>
          <w:szCs w:val="20"/>
        </w:rPr>
        <w:t xml:space="preserve">make it clear whether or not you have changed the material used from this publication; </w:t>
      </w:r>
    </w:p>
    <w:p w:rsidR="00D553FC" w:rsidRPr="00D553FC" w:rsidRDefault="00D553FC" w:rsidP="00D553FC">
      <w:pPr>
        <w:numPr>
          <w:ilvl w:val="0"/>
          <w:numId w:val="20"/>
        </w:numPr>
        <w:autoSpaceDE w:val="0"/>
        <w:autoSpaceDN w:val="0"/>
        <w:spacing w:after="0" w:line="181" w:lineRule="atLeast"/>
        <w:contextualSpacing/>
        <w:jc w:val="both"/>
        <w:rPr>
          <w:rFonts w:ascii="Arial" w:eastAsia="Times New Roman" w:hAnsi="Arial" w:cs="Arial"/>
          <w:sz w:val="20"/>
          <w:szCs w:val="20"/>
        </w:rPr>
      </w:pPr>
      <w:proofErr w:type="gramStart"/>
      <w:r w:rsidRPr="00D553FC">
        <w:rPr>
          <w:rFonts w:ascii="Arial" w:eastAsia="Times New Roman" w:hAnsi="Arial" w:cs="Arial"/>
          <w:sz w:val="20"/>
          <w:szCs w:val="20"/>
        </w:rPr>
        <w:t>include</w:t>
      </w:r>
      <w:proofErr w:type="gramEnd"/>
      <w:r w:rsidRPr="00D553FC">
        <w:rPr>
          <w:rFonts w:ascii="Arial" w:eastAsia="Times New Roman" w:hAnsi="Arial" w:cs="Arial"/>
          <w:sz w:val="20"/>
          <w:szCs w:val="20"/>
        </w:rPr>
        <w:t xml:space="preserve"> a copyright notice in relation to the material used. In the case of no change to the material, the words “© Commonwealth of Australia (Department of Health) 2017” may be used. In the case where the material has been changed or adapted, the words: “Based on Commonwealth of Australia (Department of Health) material” may be used; and</w:t>
      </w:r>
    </w:p>
    <w:p w:rsidR="00D553FC" w:rsidRPr="00727A6B" w:rsidRDefault="00D553FC" w:rsidP="00727A6B">
      <w:pPr>
        <w:numPr>
          <w:ilvl w:val="0"/>
          <w:numId w:val="20"/>
        </w:numPr>
        <w:autoSpaceDE w:val="0"/>
        <w:autoSpaceDN w:val="0"/>
        <w:spacing w:after="0" w:line="181" w:lineRule="atLeast"/>
        <w:contextualSpacing/>
        <w:jc w:val="both"/>
        <w:rPr>
          <w:rFonts w:ascii="Arial" w:eastAsia="Times New Roman" w:hAnsi="Arial" w:cs="Arial"/>
          <w:sz w:val="20"/>
          <w:szCs w:val="20"/>
        </w:rPr>
      </w:pPr>
      <w:proofErr w:type="gramStart"/>
      <w:r w:rsidRPr="00D553FC">
        <w:rPr>
          <w:rFonts w:ascii="Arial" w:eastAsia="Times New Roman" w:hAnsi="Arial" w:cs="Arial"/>
          <w:sz w:val="20"/>
          <w:szCs w:val="20"/>
        </w:rPr>
        <w:t>do</w:t>
      </w:r>
      <w:proofErr w:type="gramEnd"/>
      <w:r w:rsidRPr="00D553FC">
        <w:rPr>
          <w:rFonts w:ascii="Arial" w:eastAsia="Times New Roman" w:hAnsi="Arial" w:cs="Arial"/>
          <w:sz w:val="20"/>
          <w:szCs w:val="20"/>
        </w:rPr>
        <w:t xml:space="preserve"> not suggest that the Department of Health endorses you or your use of the material.</w:t>
      </w:r>
    </w:p>
    <w:p w:rsidR="00D553FC" w:rsidRPr="00D553FC" w:rsidRDefault="00D553FC" w:rsidP="00D553FC">
      <w:pPr>
        <w:autoSpaceDE w:val="0"/>
        <w:autoSpaceDN w:val="0"/>
        <w:jc w:val="both"/>
        <w:rPr>
          <w:rFonts w:ascii="Arial" w:eastAsia="Times New Roman" w:hAnsi="Arial" w:cs="Arial"/>
          <w:sz w:val="20"/>
          <w:szCs w:val="20"/>
          <w:lang w:eastAsia="en-AU"/>
        </w:rPr>
      </w:pPr>
      <w:r w:rsidRPr="00D553FC">
        <w:rPr>
          <w:rFonts w:ascii="Arial" w:eastAsia="Times New Roman" w:hAnsi="Arial" w:cs="Arial"/>
          <w:sz w:val="20"/>
          <w:szCs w:val="20"/>
          <w:lang w:eastAsia="en-AU"/>
        </w:rPr>
        <w:t>Enquiries</w:t>
      </w:r>
    </w:p>
    <w:p w:rsidR="00D553FC" w:rsidRPr="00727A6B" w:rsidRDefault="00D553FC" w:rsidP="00727A6B">
      <w:pPr>
        <w:spacing w:after="60"/>
        <w:jc w:val="both"/>
        <w:rPr>
          <w:rFonts w:ascii="Arial" w:eastAsia="Times New Roman" w:hAnsi="Arial" w:cs="Arial"/>
          <w:color w:val="0000FF" w:themeColor="hyperlink"/>
          <w:sz w:val="20"/>
          <w:szCs w:val="20"/>
          <w:u w:val="single"/>
          <w:lang w:eastAsia="en-AU"/>
        </w:rPr>
      </w:pPr>
      <w:r w:rsidRPr="00D553FC">
        <w:rPr>
          <w:rFonts w:ascii="Arial" w:eastAsia="Times New Roman" w:hAnsi="Arial" w:cs="Arial"/>
          <w:sz w:val="20"/>
          <w:szCs w:val="20"/>
          <w:lang w:eastAsia="en-AU"/>
        </w:rPr>
        <w:t xml:space="preserve">Enquiries regarding any other use of this publication should be addressed to the Branch Manager, Communication Branch, Department of Health, GPO Box 9848, Canberra ACT 2601, or via e-mail to </w:t>
      </w:r>
      <w:hyperlink r:id="rId12" w:history="1">
        <w:r w:rsidRPr="00D553FC">
          <w:rPr>
            <w:rFonts w:ascii="Arial" w:eastAsia="Times New Roman" w:hAnsi="Arial" w:cs="Arial"/>
            <w:color w:val="0000FF" w:themeColor="hyperlink"/>
            <w:sz w:val="20"/>
            <w:szCs w:val="20"/>
            <w:u w:val="single"/>
            <w:lang w:eastAsia="en-AU"/>
          </w:rPr>
          <w:t>corporatecomms@health.gov.au</w:t>
        </w:r>
      </w:hyperlink>
    </w:p>
    <w:p w:rsidR="009C19DF" w:rsidRPr="009C19DF" w:rsidRDefault="00433F9F" w:rsidP="00EE3BD5">
      <w:pPr>
        <w:pStyle w:val="Heading1"/>
        <w:pageBreakBefore/>
      </w:pPr>
      <w:r w:rsidRPr="00EE3BD5">
        <w:t>Introduction</w:t>
      </w:r>
    </w:p>
    <w:p w:rsidR="009C19DF" w:rsidRPr="002E54FB" w:rsidRDefault="009C19DF" w:rsidP="00EE3BD5">
      <w:r w:rsidRPr="002E54FB">
        <w:t xml:space="preserve">The </w:t>
      </w:r>
      <w:r>
        <w:t xml:space="preserve">Commonwealth </w:t>
      </w:r>
      <w:r w:rsidRPr="002E54FB">
        <w:t>Government</w:t>
      </w:r>
      <w:r>
        <w:t xml:space="preserve"> (the Government)</w:t>
      </w:r>
      <w:r w:rsidRPr="002E54FB">
        <w:t xml:space="preserve"> </w:t>
      </w:r>
      <w:r>
        <w:t>welcomes</w:t>
      </w:r>
      <w:r w:rsidRPr="002E54FB">
        <w:t xml:space="preserve"> the work the House of Representatives Standing Committee on </w:t>
      </w:r>
      <w:r>
        <w:t>Health</w:t>
      </w:r>
      <w:r w:rsidRPr="002E54FB">
        <w:t xml:space="preserve"> (the Committee) undertook to </w:t>
      </w:r>
      <w:r w:rsidR="00EA681D" w:rsidRPr="00EA681D">
        <w:t xml:space="preserve">inquire into melanoma and non-melanoma skin cancers </w:t>
      </w:r>
      <w:r w:rsidRPr="002E54FB">
        <w:t xml:space="preserve">and </w:t>
      </w:r>
      <w:r>
        <w:t xml:space="preserve">thanks </w:t>
      </w:r>
      <w:r w:rsidRPr="002E54FB">
        <w:t>all those who contributed to the Committee’s Inquiry.</w:t>
      </w:r>
    </w:p>
    <w:p w:rsidR="00EA681D" w:rsidRDefault="009C19DF" w:rsidP="00535940">
      <w:r w:rsidRPr="002E54FB">
        <w:t>The Committee’s report</w:t>
      </w:r>
      <w:r w:rsidR="001B0F16">
        <w:t>,</w:t>
      </w:r>
      <w:r w:rsidRPr="002E54FB">
        <w:t xml:space="preserve"> </w:t>
      </w:r>
      <w:r w:rsidR="00EA681D" w:rsidRPr="001B0F16">
        <w:rPr>
          <w:i/>
        </w:rPr>
        <w:t>Skin Cancer in Australia: Our National Cancer</w:t>
      </w:r>
      <w:r w:rsidR="00EA681D">
        <w:t xml:space="preserve"> </w:t>
      </w:r>
      <w:r w:rsidRPr="002E54FB">
        <w:t xml:space="preserve">(the report) was </w:t>
      </w:r>
      <w:r>
        <w:t xml:space="preserve">tabled in Parliament on </w:t>
      </w:r>
      <w:r w:rsidR="00EA681D">
        <w:t>24 March</w:t>
      </w:r>
      <w:r>
        <w:t xml:space="preserve"> </w:t>
      </w:r>
      <w:r w:rsidRPr="002E54FB">
        <w:t>2015 and</w:t>
      </w:r>
      <w:r w:rsidR="00EA681D">
        <w:t xml:space="preserve"> acknowledges the great advances that have already been made in the area of preventing and treating skin </w:t>
      </w:r>
      <w:r w:rsidR="00A03790">
        <w:t>cancer</w:t>
      </w:r>
      <w:r w:rsidR="00EA681D">
        <w:t xml:space="preserve"> in Australia.  The </w:t>
      </w:r>
      <w:proofErr w:type="gramStart"/>
      <w:r w:rsidR="00EA681D">
        <w:t xml:space="preserve">report </w:t>
      </w:r>
      <w:r w:rsidRPr="002E54FB">
        <w:t xml:space="preserve"> makes</w:t>
      </w:r>
      <w:proofErr w:type="gramEnd"/>
      <w:r w:rsidRPr="002E54FB">
        <w:t xml:space="preserve"> </w:t>
      </w:r>
      <w:r w:rsidR="00EA681D">
        <w:t>12</w:t>
      </w:r>
      <w:r w:rsidRPr="002E54FB">
        <w:t xml:space="preserve"> recommendations to</w:t>
      </w:r>
      <w:r w:rsidR="00A03790">
        <w:t xml:space="preserve"> </w:t>
      </w:r>
      <w:r w:rsidR="00C10342">
        <w:t>improve</w:t>
      </w:r>
      <w:r w:rsidR="00A03790">
        <w:t xml:space="preserve"> the </w:t>
      </w:r>
      <w:r w:rsidRPr="002E54FB">
        <w:t xml:space="preserve"> </w:t>
      </w:r>
      <w:r w:rsidR="00EA681D" w:rsidRPr="00EA681D">
        <w:t>prevent</w:t>
      </w:r>
      <w:r w:rsidR="00A03790">
        <w:t>ion</w:t>
      </w:r>
      <w:r w:rsidR="00EA681D" w:rsidRPr="00EA681D">
        <w:t xml:space="preserve"> and treat</w:t>
      </w:r>
      <w:r w:rsidR="00A03790">
        <w:t xml:space="preserve">ment of </w:t>
      </w:r>
      <w:r w:rsidR="00EA681D">
        <w:t xml:space="preserve"> skin cancers</w:t>
      </w:r>
      <w:r w:rsidR="00A03790">
        <w:t xml:space="preserve"> in Australia</w:t>
      </w:r>
      <w:r w:rsidR="00433F9F">
        <w:t>.</w:t>
      </w:r>
    </w:p>
    <w:p w:rsidR="00A03790" w:rsidRDefault="00A03790" w:rsidP="00535940">
      <w:r>
        <w:t xml:space="preserve">Australia has amongst the highest incidence of skin cancer in the world. However, Australia performs well in </w:t>
      </w:r>
      <w:r w:rsidR="00C10342">
        <w:t>controlling this cancer</w:t>
      </w:r>
      <w:r>
        <w:t>, which is demonstrated by our very high relative 5 year survival rate for melanoma which was at 9</w:t>
      </w:r>
      <w:r w:rsidR="00FF408D">
        <w:t>0</w:t>
      </w:r>
      <w:r>
        <w:t xml:space="preserve"> per cent </w:t>
      </w:r>
      <w:r w:rsidR="00081B05">
        <w:t xml:space="preserve">in the period </w:t>
      </w:r>
      <w:r>
        <w:t>20</w:t>
      </w:r>
      <w:r w:rsidR="00081B05">
        <w:t>0</w:t>
      </w:r>
      <w:r w:rsidR="00E020D8">
        <w:t>9</w:t>
      </w:r>
      <w:r>
        <w:t>-201</w:t>
      </w:r>
      <w:r w:rsidR="00E020D8">
        <w:t>3</w:t>
      </w:r>
      <w:r w:rsidR="00FF408D">
        <w:rPr>
          <w:rStyle w:val="FootnoteReference"/>
          <w:rFonts w:cs="Times New Roman"/>
          <w:szCs w:val="24"/>
        </w:rPr>
        <w:footnoteReference w:id="1"/>
      </w:r>
      <w:r>
        <w:t xml:space="preserve">. </w:t>
      </w:r>
      <w:r w:rsidR="0090739D" w:rsidRPr="0090739D">
        <w:t xml:space="preserve">Although our rapidly ageing population will mean an overall increase in many cancers in the foreseeable future, there is now emerging evidence that the last 30 years of public health preventive measures are beginning to reduce the incidence of melanoma (the more serious and </w:t>
      </w:r>
      <w:r w:rsidR="00081B05">
        <w:t xml:space="preserve">potentially </w:t>
      </w:r>
      <w:r w:rsidR="0090739D" w:rsidRPr="0090739D">
        <w:t>fatal type of skin cancer)</w:t>
      </w:r>
      <w:r w:rsidR="00D564D4">
        <w:t>.  F</w:t>
      </w:r>
      <w:r w:rsidR="00D564D4" w:rsidRPr="00D564D4">
        <w:t>or people aged less than 40 the incidence rate has dropped from a peak of 13 cases per 100,000 in 2002 to an estimated 9.4 per 100,000 in 2016</w:t>
      </w:r>
      <w:r w:rsidR="00D564D4">
        <w:rPr>
          <w:rStyle w:val="FootnoteReference"/>
          <w:rFonts w:cs="Times New Roman"/>
          <w:szCs w:val="24"/>
        </w:rPr>
        <w:footnoteReference w:id="2"/>
      </w:r>
      <w:r w:rsidR="00D564D4" w:rsidRPr="00D564D4">
        <w:t>.</w:t>
      </w:r>
    </w:p>
    <w:p w:rsidR="009C19DF" w:rsidRPr="00240852" w:rsidRDefault="00C10342" w:rsidP="00240852">
      <w:pPr>
        <w:autoSpaceDE w:val="0"/>
        <w:autoSpaceDN w:val="0"/>
        <w:adjustRightInd w:val="0"/>
        <w:ind w:left="-42"/>
        <w:rPr>
          <w:rFonts w:cs="Times New Roman"/>
          <w:color w:val="000000"/>
          <w:szCs w:val="24"/>
        </w:rPr>
      </w:pPr>
      <w:r>
        <w:rPr>
          <w:rFonts w:cs="Times New Roman"/>
          <w:szCs w:val="24"/>
        </w:rPr>
        <w:t xml:space="preserve">It is within this context that the Government’s </w:t>
      </w:r>
      <w:r w:rsidR="00E020D8">
        <w:rPr>
          <w:rFonts w:cs="Times New Roman"/>
          <w:szCs w:val="24"/>
        </w:rPr>
        <w:t>response to the recommendations has</w:t>
      </w:r>
      <w:r>
        <w:rPr>
          <w:rFonts w:cs="Times New Roman"/>
          <w:szCs w:val="24"/>
        </w:rPr>
        <w:t xml:space="preserve"> been developed. </w:t>
      </w:r>
      <w:r w:rsidR="009C19DF" w:rsidRPr="002E54FB">
        <w:rPr>
          <w:rFonts w:cs="Times New Roman"/>
          <w:szCs w:val="24"/>
        </w:rPr>
        <w:t>The Government’s response to the report’s recommendations is set out below.</w:t>
      </w:r>
    </w:p>
    <w:p w:rsidR="007171E5" w:rsidRPr="009C19DF" w:rsidRDefault="007171E5" w:rsidP="00EE3BD5">
      <w:pPr>
        <w:pStyle w:val="Heading1"/>
      </w:pPr>
      <w:r w:rsidRPr="007171E5">
        <w:t>Prevention</w:t>
      </w:r>
    </w:p>
    <w:p w:rsidR="006A1AA4" w:rsidRPr="00EE3BD5" w:rsidRDefault="006A1AA4" w:rsidP="00EE3BD5">
      <w:pPr>
        <w:pStyle w:val="Heading2"/>
      </w:pPr>
      <w:r w:rsidRPr="00EA681D">
        <w:t>Recommendation 1</w:t>
      </w:r>
    </w:p>
    <w:p w:rsidR="006A1AA4" w:rsidRPr="00692B6E" w:rsidRDefault="006A1AA4" w:rsidP="00875AFF">
      <w:pPr>
        <w:rPr>
          <w:rFonts w:cs="Times New Roman"/>
          <w:szCs w:val="24"/>
        </w:rPr>
      </w:pPr>
      <w:r w:rsidRPr="00692B6E">
        <w:rPr>
          <w:rFonts w:cs="Times New Roman"/>
          <w:szCs w:val="24"/>
        </w:rPr>
        <w:t>The Committee recommends that national sporting bodies and associations which engage in outdoor activities adopt sun smart policies modelled on a similar template to that of Cricket Australia and Surf Life Saving Australia incorporating aspects relevant to their sport.</w:t>
      </w:r>
    </w:p>
    <w:p w:rsidR="00E44390" w:rsidRPr="00EE3BD5" w:rsidRDefault="006A1AA4" w:rsidP="00EE3BD5">
      <w:pPr>
        <w:pStyle w:val="Heading3"/>
      </w:pPr>
      <w:r w:rsidRPr="00EE3BD5">
        <w:t>Response</w:t>
      </w:r>
    </w:p>
    <w:p w:rsidR="00535940" w:rsidRDefault="001A5E97" w:rsidP="001A5E97">
      <w:pPr>
        <w:rPr>
          <w:rFonts w:cs="Times New Roman"/>
          <w:szCs w:val="24"/>
        </w:rPr>
      </w:pPr>
      <w:r w:rsidRPr="001A5E97">
        <w:rPr>
          <w:rFonts w:cs="Times New Roman"/>
          <w:szCs w:val="24"/>
        </w:rPr>
        <w:t>The Australian Government supports this recommendation and acknowledges that many sporting bodies actively implement sun smart policies.  There are also a number of resources available to sporting bodies including Sports Medicine Australia’s Ultraviolet (UV) Exposure and Heat Illness Guide.</w:t>
      </w:r>
    </w:p>
    <w:p w:rsidR="001A5E97" w:rsidRPr="001A5E97" w:rsidRDefault="001A5E97" w:rsidP="001A5E97">
      <w:pPr>
        <w:rPr>
          <w:rFonts w:cs="Times New Roman"/>
          <w:szCs w:val="24"/>
        </w:rPr>
      </w:pPr>
      <w:r w:rsidRPr="001A5E97">
        <w:rPr>
          <w:rFonts w:cs="Times New Roman"/>
          <w:szCs w:val="24"/>
        </w:rPr>
        <w:t xml:space="preserve">The Australian Government, through the Australian Sports Commission (ASC), will create a register of sun smart policies adopted by Nation Sporting Organisations (NSOs) and where </w:t>
      </w:r>
      <w:r w:rsidRPr="001A5E97">
        <w:rPr>
          <w:rFonts w:cs="Times New Roman"/>
          <w:szCs w:val="24"/>
        </w:rPr>
        <w:lastRenderedPageBreak/>
        <w:t>sun smart policies are not already in place offer assistance to NSOs to develop and implement a policy.</w:t>
      </w:r>
    </w:p>
    <w:p w:rsidR="001A5E97" w:rsidRDefault="0049163C" w:rsidP="001A5E97">
      <w:pPr>
        <w:rPr>
          <w:rFonts w:cs="Times New Roman"/>
          <w:szCs w:val="24"/>
        </w:rPr>
      </w:pPr>
      <w:r>
        <w:rPr>
          <w:rFonts w:cs="Times New Roman"/>
          <w:szCs w:val="24"/>
        </w:rPr>
        <w:t>F</w:t>
      </w:r>
      <w:r w:rsidR="001A5E97" w:rsidRPr="001A5E97">
        <w:rPr>
          <w:rFonts w:cs="Times New Roman"/>
          <w:szCs w:val="24"/>
        </w:rPr>
        <w:t>or the ASC’s Sporting Schools program</w:t>
      </w:r>
      <w:r w:rsidR="00010655">
        <w:rPr>
          <w:rFonts w:cs="Times New Roman"/>
          <w:szCs w:val="24"/>
        </w:rPr>
        <w:t>,</w:t>
      </w:r>
      <w:r w:rsidR="001A5E97" w:rsidRPr="001A5E97">
        <w:rPr>
          <w:rFonts w:cs="Times New Roman"/>
          <w:szCs w:val="24"/>
        </w:rPr>
        <w:t xml:space="preserve"> relevant sun smart messaging will be included on the web site, </w:t>
      </w:r>
      <w:r w:rsidR="00970595">
        <w:rPr>
          <w:rFonts w:cs="Times New Roman"/>
          <w:szCs w:val="24"/>
        </w:rPr>
        <w:t xml:space="preserve">with </w:t>
      </w:r>
      <w:r w:rsidR="001A5E97" w:rsidRPr="001A5E97">
        <w:rPr>
          <w:rFonts w:cs="Times New Roman"/>
          <w:szCs w:val="24"/>
        </w:rPr>
        <w:t xml:space="preserve">corresponding templates and promotional materials </w:t>
      </w:r>
      <w:r w:rsidR="00010655">
        <w:rPr>
          <w:rFonts w:cs="Times New Roman"/>
          <w:szCs w:val="24"/>
        </w:rPr>
        <w:t xml:space="preserve">provided </w:t>
      </w:r>
      <w:r w:rsidR="001A5E97" w:rsidRPr="001A5E97">
        <w:rPr>
          <w:rFonts w:cs="Times New Roman"/>
          <w:szCs w:val="24"/>
        </w:rPr>
        <w:t>to the extent possible.</w:t>
      </w:r>
    </w:p>
    <w:p w:rsidR="006A1AA4" w:rsidRPr="00692B6E" w:rsidRDefault="005D1E2D" w:rsidP="00EA6D4B">
      <w:pPr>
        <w:pStyle w:val="Heading2"/>
      </w:pPr>
      <w:r w:rsidRPr="00433F9F">
        <w:t>Recommendation</w:t>
      </w:r>
      <w:r w:rsidRPr="00692B6E">
        <w:t xml:space="preserve"> 2</w:t>
      </w:r>
    </w:p>
    <w:p w:rsidR="005D1E2D" w:rsidRPr="00692B6E" w:rsidRDefault="005D1E2D" w:rsidP="00875AFF">
      <w:pPr>
        <w:pStyle w:val="Default"/>
        <w:spacing w:line="276" w:lineRule="auto"/>
        <w:rPr>
          <w:rFonts w:ascii="Times New Roman" w:hAnsi="Times New Roman" w:cs="Times New Roman"/>
          <w:color w:val="auto"/>
        </w:rPr>
      </w:pPr>
      <w:r w:rsidRPr="00692B6E">
        <w:rPr>
          <w:rFonts w:ascii="Times New Roman" w:hAnsi="Times New Roman" w:cs="Times New Roman"/>
          <w:color w:val="auto"/>
        </w:rPr>
        <w:t xml:space="preserve">The Committee recommends that the Department of Education work </w:t>
      </w:r>
      <w:r w:rsidR="00A847C6">
        <w:rPr>
          <w:rFonts w:ascii="Times New Roman" w:hAnsi="Times New Roman" w:cs="Times New Roman"/>
          <w:color w:val="auto"/>
        </w:rPr>
        <w:t>with s</w:t>
      </w:r>
      <w:r w:rsidRPr="00692B6E">
        <w:rPr>
          <w:rFonts w:ascii="Times New Roman" w:hAnsi="Times New Roman" w:cs="Times New Roman"/>
          <w:color w:val="auto"/>
        </w:rPr>
        <w:t>tates and</w:t>
      </w:r>
      <w:r w:rsidRPr="009C19DF">
        <w:rPr>
          <w:rFonts w:ascii="Times New Roman" w:hAnsi="Times New Roman" w:cs="Times New Roman"/>
          <w:b/>
          <w:color w:val="auto"/>
        </w:rPr>
        <w:t xml:space="preserve"> </w:t>
      </w:r>
      <w:r w:rsidR="00A847C6" w:rsidRPr="00A54ADE">
        <w:rPr>
          <w:rFonts w:ascii="Times New Roman" w:hAnsi="Times New Roman" w:cs="Times New Roman"/>
          <w:color w:val="auto"/>
        </w:rPr>
        <w:t>t</w:t>
      </w:r>
      <w:r w:rsidRPr="00692B6E">
        <w:rPr>
          <w:rFonts w:ascii="Times New Roman" w:hAnsi="Times New Roman" w:cs="Times New Roman"/>
          <w:color w:val="auto"/>
        </w:rPr>
        <w:t xml:space="preserve">erritories to encourage the adoption of sun smart policies in Australia’s secondary schools which would include: </w:t>
      </w:r>
    </w:p>
    <w:p w:rsidR="005D1E2D" w:rsidRPr="00692B6E" w:rsidRDefault="005D1E2D" w:rsidP="00EE3BD5">
      <w:pPr>
        <w:pStyle w:val="Bulletpoint1"/>
        <w:numPr>
          <w:ilvl w:val="0"/>
          <w:numId w:val="21"/>
        </w:numPr>
      </w:pPr>
      <w:r w:rsidRPr="00692B6E">
        <w:t>Expanding high school curricula to cover healthy sun-aware behaviours; and</w:t>
      </w:r>
    </w:p>
    <w:p w:rsidR="005D1E2D" w:rsidRPr="00692B6E" w:rsidRDefault="005D1E2D" w:rsidP="00EE3BD5">
      <w:pPr>
        <w:pStyle w:val="Bulletpoint1"/>
        <w:numPr>
          <w:ilvl w:val="0"/>
          <w:numId w:val="21"/>
        </w:numPr>
      </w:pPr>
      <w:r w:rsidRPr="00692B6E">
        <w:t>Providing more covered outdoor learning areas.</w:t>
      </w:r>
    </w:p>
    <w:p w:rsidR="005D1E2D" w:rsidRPr="00692B6E" w:rsidRDefault="005D1E2D" w:rsidP="00EE3BD5">
      <w:pPr>
        <w:pStyle w:val="Heading3"/>
      </w:pPr>
      <w:r w:rsidRPr="00692B6E">
        <w:t>Response</w:t>
      </w:r>
    </w:p>
    <w:p w:rsidR="00D02B17" w:rsidRPr="00D02B17" w:rsidRDefault="00D02B17" w:rsidP="00875AFF">
      <w:pPr>
        <w:rPr>
          <w:rFonts w:cs="Times New Roman"/>
          <w:szCs w:val="24"/>
        </w:rPr>
      </w:pPr>
      <w:r w:rsidRPr="00D02B17">
        <w:rPr>
          <w:rFonts w:cs="Times New Roman"/>
          <w:szCs w:val="24"/>
        </w:rPr>
        <w:t>The Australian Government supports this recommendation</w:t>
      </w:r>
      <w:r w:rsidR="00E020D8">
        <w:rPr>
          <w:rFonts w:cs="Times New Roman"/>
          <w:szCs w:val="24"/>
        </w:rPr>
        <w:t xml:space="preserve">, noting that constitutionally the delivery of school </w:t>
      </w:r>
      <w:r w:rsidR="00B603D7">
        <w:rPr>
          <w:rFonts w:cs="Times New Roman"/>
          <w:szCs w:val="24"/>
        </w:rPr>
        <w:t>education</w:t>
      </w:r>
      <w:r w:rsidR="00E020D8">
        <w:rPr>
          <w:rFonts w:cs="Times New Roman"/>
          <w:szCs w:val="24"/>
        </w:rPr>
        <w:t xml:space="preserve"> is the responsibility of state and territory education authorities. </w:t>
      </w:r>
      <w:r w:rsidRPr="00D02B17">
        <w:rPr>
          <w:rFonts w:cs="Times New Roman"/>
          <w:szCs w:val="24"/>
        </w:rPr>
        <w:t>The Department of Education and Training will bring this recommendation to the attention of state and territory government and non-government education authorities through the appropriate forums.</w:t>
      </w:r>
    </w:p>
    <w:p w:rsidR="00E020D8" w:rsidRPr="00D02B17" w:rsidRDefault="00E020D8" w:rsidP="00E020D8">
      <w:pPr>
        <w:rPr>
          <w:rFonts w:cs="Times New Roman"/>
          <w:szCs w:val="24"/>
        </w:rPr>
      </w:pPr>
      <w:r w:rsidRPr="00D02B17">
        <w:rPr>
          <w:rFonts w:cs="Times New Roman"/>
          <w:szCs w:val="24"/>
        </w:rPr>
        <w:t>The Government is providing funding to all schools across Australia totalling $73.6 billion over the forward estimates (2016–17 to 2019–20). Education authorities have the flexibility to apply this funding to their schools as they determin</w:t>
      </w:r>
      <w:r>
        <w:rPr>
          <w:rFonts w:cs="Times New Roman"/>
          <w:szCs w:val="24"/>
        </w:rPr>
        <w:t>e, including for capital projects such as covered outdoor learning areas.</w:t>
      </w:r>
    </w:p>
    <w:p w:rsidR="001A5E97" w:rsidRDefault="00D02B17">
      <w:pPr>
        <w:rPr>
          <w:rFonts w:cs="Times New Roman"/>
          <w:szCs w:val="24"/>
        </w:rPr>
      </w:pPr>
      <w:r w:rsidRPr="00D02B17">
        <w:rPr>
          <w:rFonts w:cs="Times New Roman"/>
          <w:szCs w:val="24"/>
        </w:rPr>
        <w:t>In September 2015 all education ministers endorsed the Australian Curriculum from Foundation to Year 10 in eight learning areas following an independent Review of the Australian Curriculum in 2</w:t>
      </w:r>
      <w:r w:rsidR="00E020D8">
        <w:rPr>
          <w:rFonts w:cs="Times New Roman"/>
          <w:szCs w:val="24"/>
        </w:rPr>
        <w:t xml:space="preserve">014. The Australian Curriculum: </w:t>
      </w:r>
      <w:r w:rsidRPr="00D02B17">
        <w:rPr>
          <w:rFonts w:cs="Times New Roman"/>
          <w:szCs w:val="24"/>
        </w:rPr>
        <w:t>Health and Physical Educati</w:t>
      </w:r>
      <w:r w:rsidR="00E020D8">
        <w:rPr>
          <w:rFonts w:cs="Times New Roman"/>
          <w:szCs w:val="24"/>
        </w:rPr>
        <w:t>on</w:t>
      </w:r>
      <w:r w:rsidRPr="00D02B17">
        <w:rPr>
          <w:rFonts w:cs="Times New Roman"/>
          <w:szCs w:val="24"/>
        </w:rPr>
        <w:t xml:space="preserve"> addresses health and safety in a variety of contexts that allow state and territory </w:t>
      </w:r>
      <w:r w:rsidR="00E020D8">
        <w:rPr>
          <w:rFonts w:cs="Times New Roman"/>
          <w:szCs w:val="24"/>
        </w:rPr>
        <w:t xml:space="preserve">government and non-government education authorities </w:t>
      </w:r>
      <w:r w:rsidRPr="00D02B17">
        <w:rPr>
          <w:rFonts w:cs="Times New Roman"/>
          <w:szCs w:val="24"/>
        </w:rPr>
        <w:t>to continue to deliver healthy sun-aware infor</w:t>
      </w:r>
      <w:r w:rsidR="00535940">
        <w:rPr>
          <w:rFonts w:cs="Times New Roman"/>
          <w:szCs w:val="24"/>
        </w:rPr>
        <w:t>mation to high school students.</w:t>
      </w:r>
    </w:p>
    <w:p w:rsidR="005D1E2D" w:rsidRPr="00692B6E" w:rsidRDefault="005D1E2D" w:rsidP="00EA6D4B">
      <w:pPr>
        <w:pStyle w:val="Heading2"/>
      </w:pPr>
      <w:r w:rsidRPr="00692B6E">
        <w:t>Recommendation 3</w:t>
      </w:r>
    </w:p>
    <w:p w:rsidR="005D1E2D" w:rsidRPr="00692B6E" w:rsidRDefault="005D1E2D" w:rsidP="005D1E2D">
      <w:pPr>
        <w:rPr>
          <w:rFonts w:cs="Times New Roman"/>
          <w:szCs w:val="24"/>
        </w:rPr>
      </w:pPr>
      <w:r w:rsidRPr="00692B6E">
        <w:rPr>
          <w:rFonts w:cs="Times New Roman"/>
          <w:szCs w:val="24"/>
        </w:rPr>
        <w:t>The Committee recommends that local governments give consideration to providing extended covered (shade) areas over swimming pools.</w:t>
      </w:r>
    </w:p>
    <w:p w:rsidR="005D1E2D" w:rsidRPr="00692B6E" w:rsidRDefault="005D1E2D" w:rsidP="00EE3BD5">
      <w:pPr>
        <w:pStyle w:val="Heading3"/>
      </w:pPr>
      <w:r w:rsidRPr="00692B6E">
        <w:t>Response</w:t>
      </w:r>
    </w:p>
    <w:p w:rsidR="00081B05" w:rsidRDefault="00081B05" w:rsidP="00535940">
      <w:r>
        <w:t xml:space="preserve">The Australian Government </w:t>
      </w:r>
      <w:r w:rsidR="00321541">
        <w:t>notes</w:t>
      </w:r>
      <w:r>
        <w:t xml:space="preserve"> this recommendation.</w:t>
      </w:r>
    </w:p>
    <w:p w:rsidR="0004229A" w:rsidRPr="009C19DF" w:rsidRDefault="0004229A" w:rsidP="00535940">
      <w:pPr>
        <w:rPr>
          <w:szCs w:val="24"/>
        </w:rPr>
      </w:pPr>
      <w:r w:rsidRPr="009C19DF">
        <w:rPr>
          <w:szCs w:val="24"/>
        </w:rPr>
        <w:t>Local government is constitutionally the responsibility of s</w:t>
      </w:r>
      <w:r w:rsidR="00EE3BD5">
        <w:rPr>
          <w:szCs w:val="24"/>
        </w:rPr>
        <w:t>tate and territory government.</w:t>
      </w:r>
    </w:p>
    <w:p w:rsidR="0004229A" w:rsidRPr="009C19DF" w:rsidRDefault="0004229A" w:rsidP="00535940">
      <w:pPr>
        <w:rPr>
          <w:szCs w:val="24"/>
        </w:rPr>
      </w:pPr>
      <w:r w:rsidRPr="009C19DF">
        <w:rPr>
          <w:szCs w:val="24"/>
        </w:rPr>
        <w:t>The Australian Government continues to support local government through untied funding provided under the Fina</w:t>
      </w:r>
      <w:r w:rsidR="00F446FE">
        <w:rPr>
          <w:szCs w:val="24"/>
        </w:rPr>
        <w:t xml:space="preserve">ncial Assistance </w:t>
      </w:r>
      <w:r w:rsidR="00C73B71">
        <w:rPr>
          <w:szCs w:val="24"/>
        </w:rPr>
        <w:t>Grant program</w:t>
      </w:r>
      <w:r w:rsidRPr="009C19DF">
        <w:rPr>
          <w:szCs w:val="24"/>
        </w:rPr>
        <w:t xml:space="preserve">. </w:t>
      </w:r>
    </w:p>
    <w:p w:rsidR="00A6505B" w:rsidRDefault="0004229A" w:rsidP="00535940">
      <w:pPr>
        <w:rPr>
          <w:szCs w:val="24"/>
        </w:rPr>
      </w:pPr>
      <w:r w:rsidRPr="009C19DF">
        <w:rPr>
          <w:szCs w:val="24"/>
        </w:rPr>
        <w:lastRenderedPageBreak/>
        <w:t xml:space="preserve">In </w:t>
      </w:r>
      <w:r w:rsidR="005B78A5" w:rsidRPr="005B78A5">
        <w:rPr>
          <w:szCs w:val="24"/>
        </w:rPr>
        <w:t>2016-17, $2.3</w:t>
      </w:r>
      <w:r w:rsidR="005B78A5">
        <w:rPr>
          <w:rFonts w:ascii="Calibri" w:hAnsi="Calibri"/>
        </w:rPr>
        <w:t xml:space="preserve"> </w:t>
      </w:r>
      <w:r w:rsidR="005B78A5" w:rsidRPr="005B78A5">
        <w:rPr>
          <w:szCs w:val="24"/>
        </w:rPr>
        <w:t>billion</w:t>
      </w:r>
      <w:r w:rsidR="005B78A5">
        <w:rPr>
          <w:rFonts w:ascii="Calibri" w:hAnsi="Calibri"/>
        </w:rPr>
        <w:t xml:space="preserve"> </w:t>
      </w:r>
      <w:r w:rsidRPr="009C19DF">
        <w:rPr>
          <w:szCs w:val="24"/>
        </w:rPr>
        <w:t>will be provided to local government in untied funding under the Fina</w:t>
      </w:r>
      <w:r w:rsidR="00C73B71">
        <w:rPr>
          <w:szCs w:val="24"/>
        </w:rPr>
        <w:t>ncial Assistance Grant program</w:t>
      </w:r>
      <w:r w:rsidRPr="009C19DF">
        <w:rPr>
          <w:szCs w:val="24"/>
        </w:rPr>
        <w:t xml:space="preserve"> which allows councils the flexibility to allocate funding to local priorities.</w:t>
      </w:r>
    </w:p>
    <w:p w:rsidR="00A6505B" w:rsidRPr="00240852" w:rsidRDefault="00E27452" w:rsidP="00535940">
      <w:pPr>
        <w:rPr>
          <w:color w:val="000000"/>
          <w:szCs w:val="24"/>
        </w:rPr>
      </w:pPr>
      <w:r>
        <w:rPr>
          <w:szCs w:val="24"/>
        </w:rPr>
        <w:t>T</w:t>
      </w:r>
      <w:r w:rsidR="00A6505B">
        <w:rPr>
          <w:szCs w:val="24"/>
        </w:rPr>
        <w:t xml:space="preserve">he Department of Health </w:t>
      </w:r>
      <w:r w:rsidR="00D02B17">
        <w:rPr>
          <w:szCs w:val="24"/>
        </w:rPr>
        <w:t>will br</w:t>
      </w:r>
      <w:r w:rsidR="00B921AD">
        <w:rPr>
          <w:szCs w:val="24"/>
        </w:rPr>
        <w:t>ing this recommendation to the a</w:t>
      </w:r>
      <w:r w:rsidR="00D02B17">
        <w:rPr>
          <w:szCs w:val="24"/>
        </w:rPr>
        <w:t xml:space="preserve">ttention of the </w:t>
      </w:r>
      <w:r w:rsidR="00A6505B">
        <w:rPr>
          <w:szCs w:val="24"/>
        </w:rPr>
        <w:t xml:space="preserve">Australian Local Government Association. </w:t>
      </w:r>
    </w:p>
    <w:p w:rsidR="005D1E2D" w:rsidRPr="009C19DF" w:rsidRDefault="005D1E2D" w:rsidP="00EE3BD5">
      <w:pPr>
        <w:pStyle w:val="Heading1"/>
      </w:pPr>
      <w:r w:rsidRPr="009C19DF">
        <w:t xml:space="preserve">Early Diagnosis and Training </w:t>
      </w:r>
    </w:p>
    <w:p w:rsidR="005D1E2D" w:rsidRPr="00692B6E" w:rsidRDefault="005D1E2D" w:rsidP="00EA6D4B">
      <w:pPr>
        <w:pStyle w:val="Heading2"/>
      </w:pPr>
      <w:r w:rsidRPr="00692B6E">
        <w:t>Recommendation 4</w:t>
      </w:r>
    </w:p>
    <w:p w:rsidR="005D1E2D" w:rsidRPr="00B04493" w:rsidRDefault="005D1E2D" w:rsidP="00875AFF">
      <w:pPr>
        <w:rPr>
          <w:rFonts w:cs="Times New Roman"/>
          <w:szCs w:val="24"/>
        </w:rPr>
      </w:pPr>
      <w:r w:rsidRPr="00B04493">
        <w:rPr>
          <w:rFonts w:cs="Times New Roman"/>
          <w:szCs w:val="24"/>
        </w:rPr>
        <w:t>The Committee recommends that the Department of Health include information reminding people to seek a skin cancer check when letters are sent out as part of the National Bowel Cancer Screening Program and that information be provided by general practitioners at health assessments</w:t>
      </w:r>
      <w:r w:rsidR="00875AFF">
        <w:rPr>
          <w:rFonts w:cs="Times New Roman"/>
          <w:szCs w:val="24"/>
        </w:rPr>
        <w:t xml:space="preserve"> </w:t>
      </w:r>
      <w:r w:rsidRPr="00875AFF">
        <w:rPr>
          <w:rFonts w:cs="Times New Roman"/>
          <w:szCs w:val="24"/>
        </w:rPr>
        <w:t>for</w:t>
      </w:r>
      <w:r w:rsidRPr="00B04493">
        <w:rPr>
          <w:rFonts w:cs="Times New Roman"/>
          <w:szCs w:val="24"/>
        </w:rPr>
        <w:t xml:space="preserve"> people aged 75 years and older.</w:t>
      </w:r>
    </w:p>
    <w:p w:rsidR="005D1E2D" w:rsidRDefault="005D1E2D" w:rsidP="00EE3BD5">
      <w:pPr>
        <w:pStyle w:val="Heading3"/>
      </w:pPr>
      <w:r w:rsidRPr="00B04493">
        <w:t>Response</w:t>
      </w:r>
    </w:p>
    <w:p w:rsidR="000E75C1" w:rsidRDefault="00763FD6" w:rsidP="000E75C1">
      <w:pPr>
        <w:rPr>
          <w:rFonts w:cs="Times New Roman"/>
          <w:szCs w:val="24"/>
        </w:rPr>
      </w:pPr>
      <w:r>
        <w:rPr>
          <w:rFonts w:cs="Times New Roman"/>
          <w:szCs w:val="24"/>
        </w:rPr>
        <w:t xml:space="preserve">The Australian Government does not support </w:t>
      </w:r>
      <w:r w:rsidR="008E5110">
        <w:rPr>
          <w:rFonts w:cs="Times New Roman"/>
          <w:szCs w:val="24"/>
        </w:rPr>
        <w:t xml:space="preserve">the inclusion of </w:t>
      </w:r>
      <w:r w:rsidR="000E75C1" w:rsidRPr="00B04493">
        <w:rPr>
          <w:rFonts w:cs="Times New Roman"/>
          <w:szCs w:val="24"/>
        </w:rPr>
        <w:t>information reminding people to seek a skin cancer check when letters are sent out as part of the National Bowel Cancer Screening Program</w:t>
      </w:r>
      <w:r w:rsidR="000E75C1">
        <w:rPr>
          <w:rFonts w:cs="Times New Roman"/>
          <w:szCs w:val="24"/>
        </w:rPr>
        <w:t xml:space="preserve">. The Government supports in principle </w:t>
      </w:r>
      <w:r w:rsidR="0099717D">
        <w:rPr>
          <w:rFonts w:cs="Times New Roman"/>
          <w:szCs w:val="24"/>
        </w:rPr>
        <w:t xml:space="preserve">the </w:t>
      </w:r>
      <w:r w:rsidR="000E75C1">
        <w:rPr>
          <w:rFonts w:cs="Times New Roman"/>
          <w:szCs w:val="24"/>
        </w:rPr>
        <w:t xml:space="preserve">recommendation that </w:t>
      </w:r>
      <w:r w:rsidR="000E75C1" w:rsidRPr="00B04493">
        <w:rPr>
          <w:rFonts w:cs="Times New Roman"/>
          <w:szCs w:val="24"/>
        </w:rPr>
        <w:t>information be provided by general practitioners at health assessments</w:t>
      </w:r>
      <w:r w:rsidR="000E75C1">
        <w:rPr>
          <w:rFonts w:cs="Times New Roman"/>
          <w:szCs w:val="24"/>
        </w:rPr>
        <w:t xml:space="preserve"> </w:t>
      </w:r>
      <w:r w:rsidR="000E75C1" w:rsidRPr="00875AFF">
        <w:rPr>
          <w:rFonts w:cs="Times New Roman"/>
          <w:szCs w:val="24"/>
        </w:rPr>
        <w:t>for</w:t>
      </w:r>
      <w:r w:rsidR="000E75C1" w:rsidRPr="00B04493">
        <w:rPr>
          <w:rFonts w:cs="Times New Roman"/>
          <w:szCs w:val="24"/>
        </w:rPr>
        <w:t xml:space="preserve"> people aged 75 years and older</w:t>
      </w:r>
      <w:r w:rsidR="0099717D">
        <w:rPr>
          <w:rFonts w:cs="Times New Roman"/>
          <w:szCs w:val="24"/>
        </w:rPr>
        <w:t xml:space="preserve"> to seek a skin cancer check</w:t>
      </w:r>
      <w:r w:rsidR="000E75C1">
        <w:rPr>
          <w:rFonts w:cs="Times New Roman"/>
          <w:szCs w:val="24"/>
        </w:rPr>
        <w:t>.</w:t>
      </w:r>
    </w:p>
    <w:p w:rsidR="007761BE" w:rsidRPr="009C19DF" w:rsidRDefault="000E75C1" w:rsidP="00535940">
      <w:pPr>
        <w:rPr>
          <w:rFonts w:cs="Times New Roman"/>
          <w:szCs w:val="24"/>
        </w:rPr>
      </w:pPr>
      <w:r>
        <w:rPr>
          <w:rFonts w:cs="Times New Roman"/>
          <w:szCs w:val="24"/>
        </w:rPr>
        <w:t>T</w:t>
      </w:r>
      <w:r w:rsidR="00F61201">
        <w:rPr>
          <w:rFonts w:cs="Times New Roman"/>
          <w:szCs w:val="24"/>
        </w:rPr>
        <w:t>he population targeted for bowel cancer screening has been identified based on evidence.</w:t>
      </w:r>
      <w:r w:rsidR="00153F96">
        <w:rPr>
          <w:rStyle w:val="FootnoteReference"/>
          <w:rFonts w:cs="Times New Roman"/>
          <w:szCs w:val="24"/>
        </w:rPr>
        <w:footnoteReference w:id="3"/>
      </w:r>
      <w:r w:rsidR="00F61201">
        <w:rPr>
          <w:rFonts w:cs="Times New Roman"/>
          <w:szCs w:val="24"/>
        </w:rPr>
        <w:t xml:space="preserve">  There is no correlating evidence to suggest that the same target population would benefit from r</w:t>
      </w:r>
      <w:r w:rsidR="00535940">
        <w:rPr>
          <w:rFonts w:cs="Times New Roman"/>
          <w:szCs w:val="24"/>
        </w:rPr>
        <w:t>eceiving skin check reminders.</w:t>
      </w:r>
    </w:p>
    <w:p w:rsidR="009D6A55" w:rsidRDefault="007761BE" w:rsidP="00930E1B">
      <w:r w:rsidRPr="009C19DF">
        <w:t>The Bowel Cancer Screening Program identifies eligible individuals for invitation to screen through the Medicare enrolment file.  The use of the Medicare enrolment for this purpose is enabled through a service arrangement between the Department of Health and the CEO of Medicare.  Medicare data provided for the Program cannot be used for another purpose and therefore the Program is unable to include other health advertising or invitations for other types of screening unrelated to Bowel Cancer screening within program invitations or materials.</w:t>
      </w:r>
    </w:p>
    <w:p w:rsidR="00F61201" w:rsidRPr="00F61201" w:rsidRDefault="009D6A55" w:rsidP="00930E1B">
      <w:r>
        <w:t xml:space="preserve">The Government notes that people over 75 years can be </w:t>
      </w:r>
      <w:r w:rsidR="000E75C1">
        <w:t xml:space="preserve">informed and </w:t>
      </w:r>
      <w:r>
        <w:t xml:space="preserve">assessed for skin cancer through health assessments or at any other GP visit. </w:t>
      </w:r>
      <w:r w:rsidR="00F61201" w:rsidRPr="00F61201">
        <w:t>The </w:t>
      </w:r>
      <w:r w:rsidR="00F61201" w:rsidRPr="00EE3BD5">
        <w:rPr>
          <w:rStyle w:val="Emphasis"/>
        </w:rPr>
        <w:t>Guidelines for preventive activities in general practice</w:t>
      </w:r>
      <w:r w:rsidR="00C86008">
        <w:rPr>
          <w:rStyle w:val="FootnoteReference"/>
          <w:i/>
          <w:iCs/>
        </w:rPr>
        <w:footnoteReference w:id="4"/>
      </w:r>
      <w:r w:rsidR="001206C1">
        <w:t xml:space="preserve"> (the ‘R</w:t>
      </w:r>
      <w:r w:rsidR="00F61201" w:rsidRPr="00F61201">
        <w:t xml:space="preserve">ed </w:t>
      </w:r>
      <w:r w:rsidR="001206C1">
        <w:t>B</w:t>
      </w:r>
      <w:r w:rsidR="00F61201" w:rsidRPr="00F61201">
        <w:t>ook</w:t>
      </w:r>
      <w:r w:rsidR="001206C1">
        <w:t>’</w:t>
      </w:r>
      <w:r w:rsidR="00F61201" w:rsidRPr="00F61201">
        <w:t>) is a synthesis of evidence-based guidelines from Australian and international sources and provides recommendations for everyday use in general practice. </w:t>
      </w:r>
      <w:r w:rsidR="0005078B">
        <w:t>In relation to skin cancer, t</w:t>
      </w:r>
      <w:r w:rsidR="00F61201">
        <w:t xml:space="preserve">he </w:t>
      </w:r>
      <w:r w:rsidR="0005078B">
        <w:t>r</w:t>
      </w:r>
      <w:r w:rsidR="00F61201">
        <w:t xml:space="preserve">ed </w:t>
      </w:r>
      <w:r w:rsidR="0005078B">
        <w:t>b</w:t>
      </w:r>
      <w:r w:rsidR="00F61201">
        <w:t xml:space="preserve">ook </w:t>
      </w:r>
      <w:r w:rsidR="008E5110">
        <w:t xml:space="preserve">advises that </w:t>
      </w:r>
      <w:r w:rsidR="00F61201" w:rsidRPr="00EE3BD5">
        <w:rPr>
          <w:rStyle w:val="Emphasis"/>
        </w:rPr>
        <w:t>‘</w:t>
      </w:r>
      <w:r w:rsidR="0099717D" w:rsidRPr="00EE3BD5">
        <w:rPr>
          <w:rStyle w:val="Emphasis"/>
        </w:rPr>
        <w:t>…</w:t>
      </w:r>
      <w:r w:rsidR="008E5110" w:rsidRPr="00EE3BD5">
        <w:rPr>
          <w:rStyle w:val="Emphasis"/>
        </w:rPr>
        <w:t xml:space="preserve">providing education that raises awareness of the early signs of skin cancer, particularly in people aged &gt;40 years </w:t>
      </w:r>
      <w:r w:rsidR="008E5110" w:rsidRPr="00EE3BD5">
        <w:rPr>
          <w:rStyle w:val="Emphasis"/>
        </w:rPr>
        <w:lastRenderedPageBreak/>
        <w:t>is recommended. Patients can be assessed opportunistically, or when concerned generally, or about a specific skin lesion.’</w:t>
      </w:r>
      <w:r w:rsidR="008E5110">
        <w:rPr>
          <w:rFonts w:ascii="HelveticaNeueETW01-55Rg" w:hAnsi="HelveticaNeueETW01-55Rg"/>
          <w:i/>
          <w:color w:val="333333"/>
          <w:sz w:val="20"/>
          <w:szCs w:val="20"/>
        </w:rPr>
        <w:t xml:space="preserve"> </w:t>
      </w:r>
      <w:r w:rsidR="008E5110" w:rsidRPr="008E5110">
        <w:t xml:space="preserve">The Red Book provides further advice regarding the identification of patients at risk and appropriate action depending on risk </w:t>
      </w:r>
      <w:r w:rsidR="008E5110">
        <w:t>levels</w:t>
      </w:r>
      <w:r w:rsidR="008E5110" w:rsidRPr="008E5110">
        <w:t xml:space="preserve"> including regular skins checks where appropriate. While age is acknowledged as a risk factor, other factors such as skin colour, family history and previous history of skin cancer also influence skin cancer risk.</w:t>
      </w:r>
    </w:p>
    <w:p w:rsidR="0005078B" w:rsidRPr="00240852" w:rsidRDefault="00F61201" w:rsidP="00930E1B">
      <w:pPr>
        <w:rPr>
          <w:color w:val="000000"/>
        </w:rPr>
      </w:pPr>
      <w:r>
        <w:t>In addition, the promotion of the importance of skin cancer checks during a GP or specialist consultation is supported through a range of Medicare Benefit</w:t>
      </w:r>
      <w:r w:rsidR="00875AFF">
        <w:t>s</w:t>
      </w:r>
      <w:r>
        <w:t xml:space="preserve"> Schedule items that allow for discussions with patients across a range of health issues. </w:t>
      </w:r>
      <w:r w:rsidR="00E52FB3" w:rsidRPr="00E52FB3">
        <w:t xml:space="preserve">Australia’s </w:t>
      </w:r>
      <w:r w:rsidR="00E52FB3">
        <w:t>high survival rate</w:t>
      </w:r>
      <w:r w:rsidR="00E52FB3" w:rsidRPr="00E52FB3">
        <w:t xml:space="preserve"> for skin cancers reflect</w:t>
      </w:r>
      <w:r w:rsidR="00875AFF">
        <w:t>s</w:t>
      </w:r>
      <w:r w:rsidR="00E52FB3" w:rsidRPr="00E52FB3">
        <w:t xml:space="preserve"> that access to effective primary care services for early detection and evidence based treatment for skin cancers is working well.</w:t>
      </w:r>
    </w:p>
    <w:p w:rsidR="007761BE" w:rsidRPr="00B04493" w:rsidRDefault="007761BE" w:rsidP="00EA6D4B">
      <w:pPr>
        <w:pStyle w:val="Heading2"/>
      </w:pPr>
      <w:r w:rsidRPr="00B04493">
        <w:t>Recommendation 5</w:t>
      </w:r>
    </w:p>
    <w:p w:rsidR="007761BE" w:rsidRPr="00B04493" w:rsidRDefault="007761BE" w:rsidP="00875AFF">
      <w:pPr>
        <w:rPr>
          <w:rFonts w:cs="Times New Roman"/>
          <w:szCs w:val="24"/>
        </w:rPr>
      </w:pPr>
      <w:r w:rsidRPr="00B04493">
        <w:rPr>
          <w:rFonts w:cs="Times New Roman"/>
          <w:szCs w:val="24"/>
        </w:rPr>
        <w:t>The Committee recommends that the Department of Health consider the effectiveness of public awareness campaigns to increase the awareness of the need for skin checks, especially strategies to target high risk groups.</w:t>
      </w:r>
    </w:p>
    <w:p w:rsidR="007761BE" w:rsidRPr="00B04493" w:rsidRDefault="007761BE" w:rsidP="00EE3BD5">
      <w:pPr>
        <w:pStyle w:val="Heading3"/>
      </w:pPr>
      <w:r w:rsidRPr="00B04493">
        <w:t>Response</w:t>
      </w:r>
    </w:p>
    <w:p w:rsidR="00AC44DB" w:rsidRDefault="007D0ECF" w:rsidP="00930E1B">
      <w:r>
        <w:t>The Australian Government s</w:t>
      </w:r>
      <w:r w:rsidR="00AC44DB">
        <w:t>upport</w:t>
      </w:r>
      <w:r>
        <w:t>s this recommendation</w:t>
      </w:r>
      <w:r w:rsidR="008F6B4F">
        <w:t xml:space="preserve">. </w:t>
      </w:r>
    </w:p>
    <w:p w:rsidR="0083208B" w:rsidRDefault="0036233A" w:rsidP="00930E1B">
      <w:r>
        <w:t>The Department of Health</w:t>
      </w:r>
      <w:r w:rsidR="007E1973">
        <w:t xml:space="preserve"> </w:t>
      </w:r>
      <w:r w:rsidR="0083208B">
        <w:t>has</w:t>
      </w:r>
      <w:r w:rsidR="007E1973">
        <w:t xml:space="preserve"> </w:t>
      </w:r>
      <w:r w:rsidR="000D7AD3">
        <w:t>undertaken a literature review of</w:t>
      </w:r>
      <w:r w:rsidR="007E1973">
        <w:t xml:space="preserve"> evidence on </w:t>
      </w:r>
      <w:r w:rsidR="009D6A55">
        <w:t xml:space="preserve">the effectiveness of public awareness campaigns to increase awareness of the need </w:t>
      </w:r>
      <w:r w:rsidR="0083208B">
        <w:t>for</w:t>
      </w:r>
      <w:r w:rsidR="009D6A55">
        <w:t xml:space="preserve"> skin</w:t>
      </w:r>
      <w:r w:rsidR="0083208B">
        <w:t xml:space="preserve"> checks, especially strategies to target high risk group</w:t>
      </w:r>
      <w:r w:rsidR="000D7AD3">
        <w:t>s</w:t>
      </w:r>
      <w:r w:rsidR="00930E1B">
        <w:t>.</w:t>
      </w:r>
    </w:p>
    <w:p w:rsidR="00EE59F5" w:rsidRDefault="000D7AD3" w:rsidP="00930E1B">
      <w:r>
        <w:t>L</w:t>
      </w:r>
      <w:r w:rsidR="0083208B">
        <w:t>imited evidence regarding the effectiveness of skin checking campaigns</w:t>
      </w:r>
      <w:r>
        <w:t xml:space="preserve"> and the ability of campaigns to effectively and sustainably change behaviours in regard to skin checking was found</w:t>
      </w:r>
      <w:r w:rsidR="0083208B">
        <w:t>.</w:t>
      </w:r>
      <w:r>
        <w:t xml:space="preserve">  </w:t>
      </w:r>
      <w:r w:rsidR="007A5C25">
        <w:t>Overwhelmingly evidence points to the effectiveness of sun aware preventive messages in changing behaviours and reducing the incidence of skin cancers.</w:t>
      </w:r>
      <w:r w:rsidR="00031D0B">
        <w:t xml:space="preserve"> Doran et al (2016)</w:t>
      </w:r>
      <w:r w:rsidR="005C2D59">
        <w:rPr>
          <w:rStyle w:val="FootnoteReference"/>
          <w:rFonts w:cs="Times New Roman"/>
          <w:color w:val="000000"/>
          <w:szCs w:val="24"/>
        </w:rPr>
        <w:footnoteReference w:id="5"/>
      </w:r>
      <w:r w:rsidR="00031D0B">
        <w:t xml:space="preserve"> measured the cost effectiveness of three skin cancer campaigns conducted by the Cancer Institute NSW a</w:t>
      </w:r>
      <w:r w:rsidR="00EE59F5">
        <w:t>nd found the benefit cost ratio</w:t>
      </w:r>
      <w:r w:rsidR="00031D0B">
        <w:t xml:space="preserve"> to be 3.85 due to </w:t>
      </w:r>
      <w:r w:rsidR="005C2D59">
        <w:t xml:space="preserve">over 13,000 </w:t>
      </w:r>
      <w:r w:rsidR="00031D0B">
        <w:t>fewer skin cancers and 112 fewer deaths. Professor Adele Green supports a focus on primary prevention due to the high proportion of skin cancers which are preventable</w:t>
      </w:r>
      <w:r w:rsidR="005C2D59">
        <w:t xml:space="preserve"> by avoiding exposure to solar UV radiation</w:t>
      </w:r>
      <w:r w:rsidR="005C2D59">
        <w:rPr>
          <w:rStyle w:val="FootnoteReference"/>
          <w:rFonts w:cs="Times New Roman"/>
          <w:color w:val="000000"/>
          <w:szCs w:val="24"/>
        </w:rPr>
        <w:footnoteReference w:id="6"/>
      </w:r>
      <w:r w:rsidR="00031D0B">
        <w:t xml:space="preserve">.  </w:t>
      </w:r>
      <w:r w:rsidR="005C2D59" w:rsidRPr="005C2D59">
        <w:t>Australian community-based intervention research</w:t>
      </w:r>
      <w:r w:rsidR="00EE59F5">
        <w:t xml:space="preserve"> show</w:t>
      </w:r>
      <w:r w:rsidR="005C2D59" w:rsidRPr="005C2D59">
        <w:t xml:space="preserve"> that evidence-based primary prevention of skin cancer and its antecedent conditions by regular sunscreen application is not only feasible and achievable but economically viable</w:t>
      </w:r>
      <w:r w:rsidR="005C2D59">
        <w:t>.</w:t>
      </w:r>
      <w:r w:rsidR="005C2D59">
        <w:rPr>
          <w:rStyle w:val="FootnoteReference"/>
          <w:rFonts w:cs="Times New Roman"/>
          <w:color w:val="000000"/>
          <w:szCs w:val="24"/>
        </w:rPr>
        <w:footnoteReference w:id="7"/>
      </w:r>
      <w:r w:rsidR="005C2D59" w:rsidRPr="005C2D59">
        <w:t xml:space="preserve"> </w:t>
      </w:r>
    </w:p>
    <w:p w:rsidR="00B603D7" w:rsidRDefault="001F4A66" w:rsidP="00930E1B">
      <w:pPr>
        <w:autoSpaceDE w:val="0"/>
        <w:autoSpaceDN w:val="0"/>
        <w:adjustRightInd w:val="0"/>
        <w:ind w:left="-42"/>
        <w:rPr>
          <w:rFonts w:cs="Times New Roman"/>
          <w:color w:val="000000"/>
          <w:szCs w:val="24"/>
        </w:rPr>
      </w:pPr>
      <w:r>
        <w:rPr>
          <w:rFonts w:cs="Times New Roman"/>
          <w:color w:val="000000"/>
          <w:szCs w:val="24"/>
        </w:rPr>
        <w:lastRenderedPageBreak/>
        <w:t xml:space="preserve">As noted in Recommendation 4 above, medical practitioners provide skin services under the </w:t>
      </w:r>
      <w:r w:rsidRPr="00875AFF">
        <w:rPr>
          <w:rFonts w:cs="Times New Roman"/>
          <w:color w:val="000000"/>
          <w:szCs w:val="24"/>
        </w:rPr>
        <w:t>Medica</w:t>
      </w:r>
      <w:r>
        <w:rPr>
          <w:rFonts w:cs="Times New Roman"/>
          <w:color w:val="000000"/>
          <w:szCs w:val="24"/>
        </w:rPr>
        <w:t>re</w:t>
      </w:r>
      <w:r w:rsidRPr="00875AFF">
        <w:rPr>
          <w:rFonts w:cs="Times New Roman"/>
          <w:color w:val="000000"/>
          <w:szCs w:val="24"/>
        </w:rPr>
        <w:t> Benefits Schedule</w:t>
      </w:r>
      <w:r>
        <w:rPr>
          <w:rFonts w:cs="Times New Roman"/>
          <w:color w:val="000000"/>
          <w:szCs w:val="24"/>
        </w:rPr>
        <w:t xml:space="preserve"> and guidelines</w:t>
      </w:r>
      <w:r w:rsidR="00930E1B">
        <w:rPr>
          <w:rFonts w:cs="Times New Roman"/>
          <w:color w:val="000000"/>
          <w:szCs w:val="24"/>
        </w:rPr>
        <w:t xml:space="preserve"> are provided in the red book.</w:t>
      </w:r>
    </w:p>
    <w:p w:rsidR="007761BE" w:rsidRPr="00AC44DB" w:rsidRDefault="007761BE" w:rsidP="00EA6D4B">
      <w:pPr>
        <w:pStyle w:val="Heading2"/>
      </w:pPr>
      <w:r w:rsidRPr="00AC44DB">
        <w:t>Recommendation 6</w:t>
      </w:r>
    </w:p>
    <w:p w:rsidR="007761BE" w:rsidRPr="009C19DF" w:rsidRDefault="007761BE" w:rsidP="00875AFF">
      <w:pPr>
        <w:rPr>
          <w:rFonts w:cs="Times New Roman"/>
          <w:b/>
          <w:szCs w:val="24"/>
        </w:rPr>
      </w:pPr>
      <w:r w:rsidRPr="00AC44DB">
        <w:rPr>
          <w:rFonts w:cs="Times New Roman"/>
          <w:szCs w:val="24"/>
        </w:rPr>
        <w:t>The Committee recommends that the Royal Australian College of General Practitioners conduct an assessment of ways to provide firm assurance to the public concerning skin</w:t>
      </w:r>
      <w:r w:rsidRPr="009C19DF">
        <w:rPr>
          <w:rFonts w:cs="Times New Roman"/>
          <w:b/>
          <w:szCs w:val="24"/>
        </w:rPr>
        <w:t xml:space="preserve"> </w:t>
      </w:r>
      <w:r w:rsidRPr="00AC44DB">
        <w:rPr>
          <w:rFonts w:cs="Times New Roman"/>
          <w:szCs w:val="24"/>
        </w:rPr>
        <w:t>cancer clinics. The assessment should consider potential accreditation options as well as a requirement for such clinics to be staffed by a minimum number of suitably qualified and experienced staff including dermatologists.</w:t>
      </w:r>
    </w:p>
    <w:p w:rsidR="007761BE" w:rsidRPr="00B65B20" w:rsidRDefault="007761BE" w:rsidP="00EE3BD5">
      <w:pPr>
        <w:pStyle w:val="Heading3"/>
      </w:pPr>
      <w:r w:rsidRPr="00B65B20">
        <w:t>Response</w:t>
      </w:r>
    </w:p>
    <w:p w:rsidR="009B74A3" w:rsidRPr="00B65B20" w:rsidRDefault="00C146EF" w:rsidP="00875AFF">
      <w:pPr>
        <w:rPr>
          <w:rFonts w:cs="Times New Roman"/>
          <w:bCs/>
          <w:szCs w:val="24"/>
        </w:rPr>
      </w:pPr>
      <w:r>
        <w:rPr>
          <w:rFonts w:cs="Times New Roman"/>
          <w:bCs/>
          <w:szCs w:val="24"/>
        </w:rPr>
        <w:t>The Australian Govern</w:t>
      </w:r>
      <w:r w:rsidR="00AD6A78">
        <w:rPr>
          <w:rFonts w:cs="Times New Roman"/>
          <w:bCs/>
          <w:szCs w:val="24"/>
        </w:rPr>
        <w:t>ment notes this recommendation.</w:t>
      </w:r>
    </w:p>
    <w:p w:rsidR="00AA251E" w:rsidRDefault="003E373E" w:rsidP="00875AFF">
      <w:pPr>
        <w:rPr>
          <w:rFonts w:cs="Times New Roman"/>
          <w:bCs/>
          <w:szCs w:val="24"/>
        </w:rPr>
      </w:pPr>
      <w:r w:rsidRPr="003E373E">
        <w:rPr>
          <w:rFonts w:cs="Times New Roman"/>
          <w:bCs/>
          <w:szCs w:val="24"/>
        </w:rPr>
        <w:t xml:space="preserve">The Australian Government </w:t>
      </w:r>
      <w:r w:rsidR="00C146EF">
        <w:rPr>
          <w:rFonts w:cs="Times New Roman"/>
          <w:bCs/>
          <w:szCs w:val="24"/>
        </w:rPr>
        <w:t xml:space="preserve">also </w:t>
      </w:r>
      <w:r w:rsidRPr="003E373E">
        <w:rPr>
          <w:rFonts w:cs="Times New Roman"/>
          <w:bCs/>
          <w:szCs w:val="24"/>
        </w:rPr>
        <w:t xml:space="preserve">notes that </w:t>
      </w:r>
      <w:r w:rsidR="00AA251E" w:rsidRPr="00AA251E">
        <w:rPr>
          <w:rFonts w:cs="Times New Roman"/>
          <w:bCs/>
          <w:szCs w:val="24"/>
        </w:rPr>
        <w:t xml:space="preserve">Australia’s good </w:t>
      </w:r>
      <w:r w:rsidR="00C146EF">
        <w:rPr>
          <w:rFonts w:cs="Times New Roman"/>
          <w:bCs/>
          <w:szCs w:val="24"/>
        </w:rPr>
        <w:t xml:space="preserve">treatment </w:t>
      </w:r>
      <w:r w:rsidR="00AA251E" w:rsidRPr="00AA251E">
        <w:rPr>
          <w:rFonts w:cs="Times New Roman"/>
          <w:bCs/>
          <w:szCs w:val="24"/>
        </w:rPr>
        <w:t>ou</w:t>
      </w:r>
      <w:r w:rsidR="00C146EF">
        <w:rPr>
          <w:rFonts w:cs="Times New Roman"/>
          <w:bCs/>
          <w:szCs w:val="24"/>
        </w:rPr>
        <w:t xml:space="preserve">tcomes for skin cancers reflects good </w:t>
      </w:r>
      <w:r w:rsidR="00AA251E" w:rsidRPr="00AA251E">
        <w:rPr>
          <w:rFonts w:cs="Times New Roman"/>
          <w:bCs/>
          <w:szCs w:val="24"/>
        </w:rPr>
        <w:t xml:space="preserve">access to effective primary care services for </w:t>
      </w:r>
      <w:r w:rsidR="00C146EF">
        <w:rPr>
          <w:rFonts w:cs="Times New Roman"/>
          <w:bCs/>
          <w:szCs w:val="24"/>
        </w:rPr>
        <w:t xml:space="preserve">both </w:t>
      </w:r>
      <w:r w:rsidR="00AA251E" w:rsidRPr="00AA251E">
        <w:rPr>
          <w:rFonts w:cs="Times New Roman"/>
          <w:bCs/>
          <w:szCs w:val="24"/>
        </w:rPr>
        <w:t>early detection and evidence based treatment for skin cancers</w:t>
      </w:r>
      <w:r w:rsidR="00AD6A78">
        <w:rPr>
          <w:rFonts w:cs="Times New Roman"/>
          <w:bCs/>
          <w:szCs w:val="24"/>
        </w:rPr>
        <w:t>.</w:t>
      </w:r>
    </w:p>
    <w:p w:rsidR="0029187F" w:rsidRPr="00240852" w:rsidRDefault="00B921AD" w:rsidP="00240852">
      <w:pPr>
        <w:autoSpaceDE w:val="0"/>
        <w:autoSpaceDN w:val="0"/>
        <w:adjustRightInd w:val="0"/>
        <w:ind w:left="-42"/>
        <w:rPr>
          <w:rFonts w:cs="Times New Roman"/>
          <w:color w:val="000000"/>
          <w:szCs w:val="24"/>
        </w:rPr>
      </w:pPr>
      <w:r>
        <w:rPr>
          <w:rFonts w:cs="Times New Roman"/>
          <w:bCs/>
          <w:szCs w:val="24"/>
        </w:rPr>
        <w:t xml:space="preserve">The </w:t>
      </w:r>
      <w:r>
        <w:rPr>
          <w:rFonts w:cs="Times New Roman"/>
          <w:szCs w:val="24"/>
        </w:rPr>
        <w:t xml:space="preserve">Department of Health will bring this recommendation to the attention of the Royal </w:t>
      </w:r>
      <w:r w:rsidR="00875AFF">
        <w:rPr>
          <w:rFonts w:cs="Times New Roman"/>
          <w:szCs w:val="24"/>
        </w:rPr>
        <w:t xml:space="preserve">Australian </w:t>
      </w:r>
      <w:r>
        <w:rPr>
          <w:rFonts w:cs="Times New Roman"/>
          <w:szCs w:val="24"/>
        </w:rPr>
        <w:t>College of General Practitioners</w:t>
      </w:r>
      <w:r w:rsidR="0029187F">
        <w:t>,</w:t>
      </w:r>
      <w:r w:rsidR="0029187F" w:rsidRPr="0029187F">
        <w:rPr>
          <w:rFonts w:cs="Times New Roman"/>
          <w:szCs w:val="24"/>
        </w:rPr>
        <w:t xml:space="preserve"> noting that states and territories are responsible for the accreditation of facilities in their jurisdictions.</w:t>
      </w:r>
    </w:p>
    <w:p w:rsidR="00012284" w:rsidRPr="00F863C3" w:rsidRDefault="00012284" w:rsidP="00EA6D4B">
      <w:pPr>
        <w:pStyle w:val="Heading2"/>
      </w:pPr>
      <w:r w:rsidRPr="00F863C3">
        <w:t>Recommendation 7</w:t>
      </w:r>
    </w:p>
    <w:p w:rsidR="00012284" w:rsidRPr="00875AFF" w:rsidRDefault="00012284" w:rsidP="00012284">
      <w:pPr>
        <w:rPr>
          <w:rFonts w:cs="Times New Roman"/>
          <w:szCs w:val="24"/>
        </w:rPr>
      </w:pPr>
      <w:r w:rsidRPr="00875AFF">
        <w:rPr>
          <w:rFonts w:cs="Times New Roman"/>
          <w:szCs w:val="24"/>
        </w:rPr>
        <w:t>The Committee recommends that store and forward teledermatology as used by registered medical providers be included on the Medicare Benefits Schedule.</w:t>
      </w:r>
    </w:p>
    <w:p w:rsidR="00012284" w:rsidRPr="00F863C3" w:rsidRDefault="00012284" w:rsidP="00EE3BD5">
      <w:pPr>
        <w:pStyle w:val="Heading3"/>
      </w:pPr>
      <w:r w:rsidRPr="00F863C3">
        <w:t>Response</w:t>
      </w:r>
    </w:p>
    <w:p w:rsidR="00F863C3" w:rsidRDefault="00C146EF" w:rsidP="00875AFF">
      <w:pPr>
        <w:rPr>
          <w:rFonts w:cs="Times New Roman"/>
          <w:szCs w:val="24"/>
        </w:rPr>
      </w:pPr>
      <w:r>
        <w:rPr>
          <w:rFonts w:cs="Times New Roman"/>
          <w:szCs w:val="24"/>
        </w:rPr>
        <w:t>The Australian Govern</w:t>
      </w:r>
      <w:r w:rsidR="00AD6A78">
        <w:rPr>
          <w:rFonts w:cs="Times New Roman"/>
          <w:szCs w:val="24"/>
        </w:rPr>
        <w:t>ment notes this recommendation.</w:t>
      </w:r>
    </w:p>
    <w:p w:rsidR="00341823" w:rsidRDefault="00341823" w:rsidP="00341823">
      <w:pPr>
        <w:rPr>
          <w:szCs w:val="24"/>
        </w:rPr>
      </w:pPr>
      <w:r>
        <w:rPr>
          <w:szCs w:val="24"/>
        </w:rPr>
        <w:t>An application to include ‘Store and forward teledermatology’ on the Medicare Benefits Schedule (MBS) was considered by the Medical Services Advisory Committee (MSAC) in April 2017. The recommendations of the MSAC will be publicly available via a Public Summary Document in the coming months.</w:t>
      </w:r>
    </w:p>
    <w:p w:rsidR="00543C45" w:rsidRPr="00543C45" w:rsidRDefault="00543C45" w:rsidP="00875AFF">
      <w:pPr>
        <w:rPr>
          <w:rFonts w:cs="Times New Roman"/>
          <w:szCs w:val="24"/>
        </w:rPr>
      </w:pPr>
      <w:r w:rsidRPr="00543C45">
        <w:rPr>
          <w:rFonts w:cs="Times New Roman"/>
          <w:szCs w:val="24"/>
        </w:rPr>
        <w:t xml:space="preserve">The assessment of new and amended medical services proposed for public funding are subjected to a rigorous, transparent and systematic </w:t>
      </w:r>
      <w:r w:rsidR="001F4A66">
        <w:rPr>
          <w:rFonts w:cs="Times New Roman"/>
          <w:szCs w:val="24"/>
        </w:rPr>
        <w:t>review that is evidence based. </w:t>
      </w:r>
      <w:r w:rsidRPr="00543C45">
        <w:rPr>
          <w:rFonts w:cs="Times New Roman"/>
          <w:szCs w:val="24"/>
        </w:rPr>
        <w:t>Currently this is through the MSAC which is an independent scientific committee comprised of individuals with expertise in clinical medicine, health economics and consumer matters.</w:t>
      </w:r>
    </w:p>
    <w:p w:rsidR="00543C45" w:rsidRPr="00543C45" w:rsidRDefault="00543C45" w:rsidP="00875AFF">
      <w:pPr>
        <w:rPr>
          <w:rFonts w:cs="Times New Roman"/>
          <w:szCs w:val="24"/>
        </w:rPr>
      </w:pPr>
      <w:r w:rsidRPr="00543C45">
        <w:rPr>
          <w:rFonts w:cs="Times New Roman"/>
          <w:szCs w:val="24"/>
        </w:rPr>
        <w:t xml:space="preserve">If a medical service is not covered under the MBS, applications can be made to the Department for MSAC to consider whether the service warrants public funding. This process </w:t>
      </w:r>
      <w:r w:rsidRPr="00543C45">
        <w:rPr>
          <w:rFonts w:cs="Times New Roman"/>
          <w:szCs w:val="24"/>
        </w:rPr>
        <w:lastRenderedPageBreak/>
        <w:t>ensures that Australians have access to medical services that have been shown to be safe and clinically effective, as well as representing value-for-money for both patients and taxpayers.</w:t>
      </w:r>
    </w:p>
    <w:p w:rsidR="00543C45" w:rsidRPr="00240852" w:rsidRDefault="00543C45" w:rsidP="00240852">
      <w:pPr>
        <w:autoSpaceDE w:val="0"/>
        <w:autoSpaceDN w:val="0"/>
        <w:adjustRightInd w:val="0"/>
        <w:ind w:left="-42"/>
        <w:rPr>
          <w:rFonts w:cs="Times New Roman"/>
          <w:color w:val="000000"/>
          <w:szCs w:val="24"/>
        </w:rPr>
      </w:pPr>
      <w:r w:rsidRPr="00543C45">
        <w:rPr>
          <w:rFonts w:cs="Times New Roman"/>
          <w:szCs w:val="24"/>
        </w:rPr>
        <w:t>If an assessment is supported for public funding by the MSAC, consideration of the financial impact to Government is re</w:t>
      </w:r>
      <w:r w:rsidR="00D553FC">
        <w:rPr>
          <w:rFonts w:cs="Times New Roman"/>
          <w:szCs w:val="24"/>
        </w:rPr>
        <w:t>quired.</w:t>
      </w:r>
    </w:p>
    <w:p w:rsidR="00012284" w:rsidRPr="00F863C3" w:rsidRDefault="00012284" w:rsidP="00EA6D4B">
      <w:pPr>
        <w:pStyle w:val="Heading2"/>
      </w:pPr>
      <w:r w:rsidRPr="00F863C3">
        <w:t>Recommendation 8</w:t>
      </w:r>
    </w:p>
    <w:p w:rsidR="00012284" w:rsidRPr="00F863C3" w:rsidRDefault="00012284" w:rsidP="00012284">
      <w:pPr>
        <w:rPr>
          <w:rFonts w:cs="Times New Roman"/>
          <w:szCs w:val="24"/>
        </w:rPr>
      </w:pPr>
      <w:r w:rsidRPr="00F863C3">
        <w:rPr>
          <w:rFonts w:cs="Times New Roman"/>
          <w:szCs w:val="24"/>
        </w:rPr>
        <w:t xml:space="preserve">The Committee recommends that: </w:t>
      </w:r>
    </w:p>
    <w:p w:rsidR="00012284" w:rsidRPr="00F863C3" w:rsidRDefault="00012284" w:rsidP="00E643E6">
      <w:pPr>
        <w:pStyle w:val="Bulletpoint1"/>
      </w:pPr>
      <w:r w:rsidRPr="00F863C3">
        <w:t xml:space="preserve">Dermatology components of the undergraduate medical curriculum be expanded; and </w:t>
      </w:r>
    </w:p>
    <w:p w:rsidR="00012284" w:rsidRPr="00F863C3" w:rsidRDefault="00012284" w:rsidP="00E643E6">
      <w:pPr>
        <w:pStyle w:val="Bulletpoint1"/>
      </w:pPr>
      <w:r w:rsidRPr="00F863C3">
        <w:t xml:space="preserve">Proficiency in the use of the </w:t>
      </w:r>
      <w:proofErr w:type="spellStart"/>
      <w:r w:rsidRPr="00F863C3">
        <w:t>dermatoscope</w:t>
      </w:r>
      <w:proofErr w:type="spellEnd"/>
      <w:r w:rsidRPr="00F863C3">
        <w:t xml:space="preserve"> be included in the practical component of all undergraduate medical courses and in rural nursing training courses.</w:t>
      </w:r>
    </w:p>
    <w:p w:rsidR="00012284" w:rsidRDefault="00012284" w:rsidP="00EE3BD5">
      <w:pPr>
        <w:pStyle w:val="Heading3"/>
      </w:pPr>
      <w:r w:rsidRPr="00F863C3">
        <w:t>Response</w:t>
      </w:r>
    </w:p>
    <w:p w:rsidR="00F863C3" w:rsidRPr="00F863C3" w:rsidRDefault="00C146EF" w:rsidP="00012284">
      <w:pPr>
        <w:rPr>
          <w:rFonts w:cs="Times New Roman"/>
          <w:szCs w:val="24"/>
        </w:rPr>
      </w:pPr>
      <w:r>
        <w:rPr>
          <w:rFonts w:cs="Times New Roman"/>
          <w:szCs w:val="24"/>
        </w:rPr>
        <w:t>The Australian Government notes this recommendation.</w:t>
      </w:r>
    </w:p>
    <w:p w:rsidR="0045571C" w:rsidRPr="0045571C" w:rsidRDefault="0045571C" w:rsidP="00012284">
      <w:pPr>
        <w:rPr>
          <w:rFonts w:cs="Times New Roman"/>
          <w:szCs w:val="24"/>
        </w:rPr>
      </w:pPr>
      <w:r w:rsidRPr="0045571C">
        <w:rPr>
          <w:rFonts w:cs="Times New Roman"/>
          <w:szCs w:val="24"/>
        </w:rPr>
        <w:t>The curriculum and content for undergraduate (or graduate) medical school programs is set by</w:t>
      </w:r>
      <w:r>
        <w:rPr>
          <w:rFonts w:cs="Times New Roman"/>
          <w:szCs w:val="24"/>
        </w:rPr>
        <w:t>, and is the responsibility of</w:t>
      </w:r>
      <w:r w:rsidRPr="0045571C">
        <w:rPr>
          <w:rFonts w:cs="Times New Roman"/>
          <w:szCs w:val="24"/>
        </w:rPr>
        <w:t xml:space="preserve"> each medical school</w:t>
      </w:r>
      <w:r>
        <w:rPr>
          <w:rFonts w:cs="Times New Roman"/>
          <w:szCs w:val="24"/>
        </w:rPr>
        <w:t xml:space="preserve"> </w:t>
      </w:r>
      <w:r w:rsidR="00502D18">
        <w:rPr>
          <w:rFonts w:cs="Times New Roman"/>
          <w:szCs w:val="24"/>
        </w:rPr>
        <w:t>in</w:t>
      </w:r>
      <w:r>
        <w:rPr>
          <w:rFonts w:cs="Times New Roman"/>
          <w:szCs w:val="24"/>
        </w:rPr>
        <w:t xml:space="preserve"> Australia</w:t>
      </w:r>
      <w:r w:rsidRPr="0045571C">
        <w:rPr>
          <w:rFonts w:cs="Times New Roman"/>
          <w:szCs w:val="24"/>
        </w:rPr>
        <w:t>. The Medical Deans of Australia and New Zealand (MDANZ) represents the medical schools in their collective interaction with national stakeholders and government.</w:t>
      </w:r>
      <w:r>
        <w:rPr>
          <w:rFonts w:cs="Times New Roman"/>
          <w:szCs w:val="24"/>
        </w:rPr>
        <w:t xml:space="preserve">  </w:t>
      </w:r>
      <w:r w:rsidR="00B921AD">
        <w:rPr>
          <w:rFonts w:cs="Times New Roman"/>
          <w:szCs w:val="24"/>
        </w:rPr>
        <w:t xml:space="preserve">The Department of Health will bring this recommendation to the attention of the </w:t>
      </w:r>
      <w:r>
        <w:rPr>
          <w:rFonts w:cs="Times New Roman"/>
          <w:szCs w:val="24"/>
        </w:rPr>
        <w:t xml:space="preserve">MDANZ. </w:t>
      </w:r>
    </w:p>
    <w:p w:rsidR="00012284" w:rsidRPr="009C19DF" w:rsidRDefault="0045571C" w:rsidP="00012284">
      <w:pPr>
        <w:rPr>
          <w:rFonts w:cs="Times New Roman"/>
          <w:szCs w:val="24"/>
        </w:rPr>
      </w:pPr>
      <w:r>
        <w:rPr>
          <w:rFonts w:cs="Times New Roman"/>
          <w:szCs w:val="24"/>
        </w:rPr>
        <w:t xml:space="preserve">The regulation </w:t>
      </w:r>
      <w:r w:rsidR="00502D18">
        <w:rPr>
          <w:rFonts w:cs="Times New Roman"/>
          <w:szCs w:val="24"/>
        </w:rPr>
        <w:t xml:space="preserve">of </w:t>
      </w:r>
      <w:r>
        <w:rPr>
          <w:rFonts w:cs="Times New Roman"/>
          <w:szCs w:val="24"/>
        </w:rPr>
        <w:t>t</w:t>
      </w:r>
      <w:r w:rsidR="00012284" w:rsidRPr="009C19DF">
        <w:rPr>
          <w:rFonts w:cs="Times New Roman"/>
          <w:szCs w:val="24"/>
        </w:rPr>
        <w:t xml:space="preserve">he professions of medicine, nursing and midwifery </w:t>
      </w:r>
      <w:r>
        <w:rPr>
          <w:rFonts w:cs="Times New Roman"/>
          <w:szCs w:val="24"/>
        </w:rPr>
        <w:t>in Australia is the responsibility of t</w:t>
      </w:r>
      <w:r w:rsidR="00012284" w:rsidRPr="009C19DF">
        <w:rPr>
          <w:rFonts w:cs="Times New Roman"/>
          <w:szCs w:val="24"/>
        </w:rPr>
        <w:t xml:space="preserve">he Medical Board of Australia </w:t>
      </w:r>
      <w:r w:rsidR="00F863C3">
        <w:rPr>
          <w:rFonts w:cs="Times New Roman"/>
          <w:szCs w:val="24"/>
        </w:rPr>
        <w:t xml:space="preserve">(MBA) </w:t>
      </w:r>
      <w:r w:rsidR="00012284" w:rsidRPr="009C19DF">
        <w:rPr>
          <w:rFonts w:cs="Times New Roman"/>
          <w:szCs w:val="24"/>
        </w:rPr>
        <w:t xml:space="preserve">and the Nursing and Midwifery Board of Australia </w:t>
      </w:r>
      <w:r w:rsidR="00502D18">
        <w:rPr>
          <w:rFonts w:cs="Times New Roman"/>
          <w:szCs w:val="24"/>
        </w:rPr>
        <w:t xml:space="preserve">(NMBA) </w:t>
      </w:r>
      <w:r w:rsidR="00012284" w:rsidRPr="009C19DF">
        <w:rPr>
          <w:rFonts w:cs="Times New Roman"/>
          <w:szCs w:val="24"/>
        </w:rPr>
        <w:t>respectively. The primary role of the Boards is to protect the public through setting standards and policies that all registered health practitioners must meet in order to practise. Board functions are supported by the Australian Health Practitioner Regulation Agency (AHPRA).</w:t>
      </w:r>
    </w:p>
    <w:p w:rsidR="00EA75F9" w:rsidRDefault="00012284" w:rsidP="00EA75F9">
      <w:pPr>
        <w:rPr>
          <w:rFonts w:cs="Times New Roman"/>
          <w:szCs w:val="24"/>
        </w:rPr>
      </w:pPr>
      <w:r w:rsidRPr="009C19DF">
        <w:rPr>
          <w:rFonts w:cs="Times New Roman"/>
          <w:szCs w:val="24"/>
        </w:rPr>
        <w:t xml:space="preserve">Responsibility for standards of medical, nursing and midwifery education and accreditation of education providers rests with the Australian Medical Council (AMC) and the Australian Nursing and Midwifery Accreditation Council (ANMAC) who work with the </w:t>
      </w:r>
      <w:r w:rsidR="00502D18">
        <w:rPr>
          <w:rFonts w:cs="Times New Roman"/>
          <w:szCs w:val="24"/>
        </w:rPr>
        <w:t>MBA and NMBA</w:t>
      </w:r>
      <w:r w:rsidRPr="009C19DF">
        <w:rPr>
          <w:rFonts w:cs="Times New Roman"/>
          <w:szCs w:val="24"/>
        </w:rPr>
        <w:t xml:space="preserve">. </w:t>
      </w:r>
      <w:r w:rsidR="00EA75F9" w:rsidRPr="00502D18">
        <w:rPr>
          <w:rFonts w:cs="Times New Roman"/>
          <w:szCs w:val="24"/>
        </w:rPr>
        <w:t xml:space="preserve">These include standards around the need to have an appropriate and evidence-based curriculum, general areas that a curriculum needs to cover, and broad attributes that a graduating medical student should have. </w:t>
      </w:r>
      <w:r w:rsidR="00A847C6">
        <w:rPr>
          <w:rFonts w:cs="Times New Roman"/>
          <w:szCs w:val="24"/>
        </w:rPr>
        <w:t>As noted above, c</w:t>
      </w:r>
      <w:r w:rsidR="00EA75F9" w:rsidRPr="00502D18">
        <w:rPr>
          <w:rFonts w:cs="Times New Roman"/>
          <w:szCs w:val="24"/>
        </w:rPr>
        <w:t>ontent detail</w:t>
      </w:r>
      <w:r w:rsidR="00502D18">
        <w:rPr>
          <w:rFonts w:cs="Times New Roman"/>
          <w:szCs w:val="24"/>
        </w:rPr>
        <w:t xml:space="preserve"> and the allocation of time and resources </w:t>
      </w:r>
      <w:r w:rsidR="00EA75F9" w:rsidRPr="00502D18">
        <w:rPr>
          <w:rFonts w:cs="Times New Roman"/>
          <w:szCs w:val="24"/>
        </w:rPr>
        <w:t>to a par</w:t>
      </w:r>
      <w:r w:rsidR="00502D18">
        <w:rPr>
          <w:rFonts w:cs="Times New Roman"/>
          <w:szCs w:val="24"/>
        </w:rPr>
        <w:t xml:space="preserve">ticular part of the curriculum </w:t>
      </w:r>
      <w:r w:rsidR="00EA75F9" w:rsidRPr="00502D18">
        <w:rPr>
          <w:rFonts w:cs="Times New Roman"/>
          <w:szCs w:val="24"/>
        </w:rPr>
        <w:t>is regarded as the responsibility of the individual medical school.</w:t>
      </w:r>
    </w:p>
    <w:p w:rsidR="00012284" w:rsidRPr="00F863C3" w:rsidRDefault="00012284" w:rsidP="00EA6D4B">
      <w:pPr>
        <w:pStyle w:val="Heading2"/>
      </w:pPr>
      <w:r w:rsidRPr="00F863C3">
        <w:t>Recommendation 9</w:t>
      </w:r>
    </w:p>
    <w:p w:rsidR="00012284" w:rsidRPr="00F863C3" w:rsidRDefault="00012284" w:rsidP="00875AFF">
      <w:pPr>
        <w:rPr>
          <w:rFonts w:cs="Times New Roman"/>
          <w:szCs w:val="24"/>
        </w:rPr>
      </w:pPr>
      <w:r w:rsidRPr="00F863C3">
        <w:rPr>
          <w:rFonts w:cs="Times New Roman"/>
          <w:szCs w:val="24"/>
        </w:rPr>
        <w:t>The Committee recommends that all sun-exposed industries incorporate mandatory sun-safety education in their induction programs.</w:t>
      </w:r>
    </w:p>
    <w:p w:rsidR="006A721A" w:rsidRPr="00F863C3" w:rsidRDefault="006A721A" w:rsidP="00EE3BD5">
      <w:pPr>
        <w:pStyle w:val="Heading3"/>
      </w:pPr>
      <w:r w:rsidRPr="00F863C3">
        <w:lastRenderedPageBreak/>
        <w:t>Response</w:t>
      </w:r>
    </w:p>
    <w:p w:rsidR="003925CF" w:rsidRPr="003925CF" w:rsidRDefault="003925CF" w:rsidP="003925CF">
      <w:pPr>
        <w:rPr>
          <w:rFonts w:cs="Times New Roman"/>
          <w:szCs w:val="24"/>
        </w:rPr>
      </w:pPr>
      <w:r w:rsidRPr="003925CF">
        <w:rPr>
          <w:rFonts w:cs="Times New Roman"/>
          <w:szCs w:val="24"/>
        </w:rPr>
        <w:t>The Australian Government supports the intent of this recommendation but considers that existing work health and safety legislation and regulations provide sufficient protections for workers in sun</w:t>
      </w:r>
      <w:r w:rsidRPr="003925CF">
        <w:rPr>
          <w:rFonts w:cs="Times New Roman"/>
          <w:szCs w:val="24"/>
        </w:rPr>
        <w:noBreakHyphen/>
        <w:t>exposed industries.</w:t>
      </w:r>
    </w:p>
    <w:p w:rsidR="003925CF" w:rsidRPr="003925CF" w:rsidRDefault="003925CF" w:rsidP="003925CF">
      <w:pPr>
        <w:rPr>
          <w:rFonts w:cs="Times New Roman"/>
          <w:szCs w:val="24"/>
        </w:rPr>
      </w:pPr>
      <w:r w:rsidRPr="003925CF">
        <w:rPr>
          <w:rFonts w:cs="Times New Roman"/>
          <w:szCs w:val="24"/>
        </w:rPr>
        <w:t>The model work health and safety laws (adopted by the Commonwealth and all states and territories except Victoria and Western Australia) require a Person Conducting a Business or Undertaking (PCBU) to ensure, so far as is reasonably practicable, the health and safety of their workers, by eliminating or minimisi</w:t>
      </w:r>
      <w:r w:rsidR="00D553FC">
        <w:rPr>
          <w:rFonts w:cs="Times New Roman"/>
          <w:szCs w:val="24"/>
        </w:rPr>
        <w:t xml:space="preserve">ng risks to health and safety. </w:t>
      </w:r>
      <w:r w:rsidRPr="003925CF">
        <w:rPr>
          <w:rFonts w:cs="Times New Roman"/>
          <w:szCs w:val="24"/>
        </w:rPr>
        <w:t>The model work health and safety laws provide for the management of workplace safety risks through a systematic risk management approach based on the level of risk and what it is reasonably practicable to do i</w:t>
      </w:r>
      <w:r w:rsidR="00EE3BD5">
        <w:rPr>
          <w:rFonts w:cs="Times New Roman"/>
          <w:szCs w:val="24"/>
        </w:rPr>
        <w:t>n the particular circumstances.</w:t>
      </w:r>
    </w:p>
    <w:p w:rsidR="003925CF" w:rsidRPr="003925CF" w:rsidRDefault="003925CF" w:rsidP="003925CF">
      <w:pPr>
        <w:rPr>
          <w:rFonts w:cs="Times New Roman"/>
          <w:szCs w:val="24"/>
        </w:rPr>
      </w:pPr>
      <w:r w:rsidRPr="003925CF">
        <w:rPr>
          <w:rFonts w:cs="Times New Roman"/>
          <w:szCs w:val="24"/>
        </w:rPr>
        <w:t>The model work health and safety regulations include requirements for risks, such as solar UVR exposure, to be managed through a systematic process of identifying hazards and minimising risks using the ‘hierarchy of control’. The hierarchy of control requires PCBUs to select the most reasonably practicable control measures from the highest level of protection, by substitution, isolation or implementing administrative or procedural measures  (for example, by providing shade or rescheduling work to minimise the risk of solar UVR exposure), to the lowest, by providing personal protective equipment (for example, sun prot</w:t>
      </w:r>
      <w:r w:rsidR="00EE3BD5">
        <w:rPr>
          <w:rFonts w:cs="Times New Roman"/>
          <w:szCs w:val="24"/>
        </w:rPr>
        <w:t>ective clothing and sunscreen).</w:t>
      </w:r>
    </w:p>
    <w:p w:rsidR="003925CF" w:rsidRPr="003925CF" w:rsidRDefault="003925CF" w:rsidP="003925CF">
      <w:pPr>
        <w:rPr>
          <w:rFonts w:cs="Times New Roman"/>
          <w:szCs w:val="24"/>
        </w:rPr>
      </w:pPr>
      <w:r w:rsidRPr="003925CF">
        <w:rPr>
          <w:rFonts w:cs="Times New Roman"/>
          <w:szCs w:val="24"/>
        </w:rPr>
        <w:t>A PCBU may able to eliminate the risk to the health and safety of it workers from solar UVR exposure through the implementation of control measures. Where a PCBU is not able to eliminate this risk and uses personal protective equipment as a control measure to minimise risks to health and safety from solar UVR exposure, PCBUs are required to ensure that the equipment is suitable for purpose, maintained and replaced, and used or worn by workers. PCBUs are also required to provide workers with information, training and instruction on the proper use and wearing of the equipment.</w:t>
      </w:r>
    </w:p>
    <w:p w:rsidR="003925CF" w:rsidRPr="003925CF" w:rsidRDefault="003925CF" w:rsidP="003925CF">
      <w:pPr>
        <w:rPr>
          <w:rFonts w:cs="Times New Roman"/>
          <w:szCs w:val="24"/>
        </w:rPr>
      </w:pPr>
      <w:r w:rsidRPr="003925CF">
        <w:rPr>
          <w:rFonts w:cs="Times New Roman"/>
          <w:szCs w:val="24"/>
        </w:rPr>
        <w:t>Safe Work Australia has published a Guide</w:t>
      </w:r>
      <w:r>
        <w:rPr>
          <w:rStyle w:val="FootnoteReference"/>
          <w:rFonts w:cs="Times New Roman"/>
          <w:szCs w:val="24"/>
        </w:rPr>
        <w:footnoteReference w:id="8"/>
      </w:r>
      <w:r w:rsidRPr="003925CF">
        <w:rPr>
          <w:rFonts w:cs="Times New Roman"/>
          <w:szCs w:val="24"/>
        </w:rPr>
        <w:t xml:space="preserve"> on exposure to solar UVR, which provides practical guidance for businesses and workers on how to manage the risks of solar UVR exposure in workplaces.</w:t>
      </w:r>
    </w:p>
    <w:p w:rsidR="003B2202" w:rsidRPr="009C19DF" w:rsidRDefault="003B2202" w:rsidP="00EE3BD5">
      <w:pPr>
        <w:pStyle w:val="Heading1"/>
        <w:rPr>
          <w:i/>
        </w:rPr>
      </w:pPr>
      <w:r w:rsidRPr="009C19DF">
        <w:t xml:space="preserve">Treatment and </w:t>
      </w:r>
      <w:r w:rsidRPr="00B71A70">
        <w:t>Management</w:t>
      </w:r>
    </w:p>
    <w:p w:rsidR="006A721A" w:rsidRPr="00F863C3" w:rsidRDefault="006A721A" w:rsidP="00EA6D4B">
      <w:pPr>
        <w:pStyle w:val="Heading2"/>
      </w:pPr>
      <w:r w:rsidRPr="00F863C3">
        <w:t>Recommendation 10</w:t>
      </w:r>
    </w:p>
    <w:p w:rsidR="006A721A" w:rsidRPr="00F863C3" w:rsidRDefault="006A721A" w:rsidP="006A721A">
      <w:pPr>
        <w:rPr>
          <w:rFonts w:cs="Times New Roman"/>
          <w:szCs w:val="24"/>
        </w:rPr>
      </w:pPr>
      <w:r w:rsidRPr="00F863C3">
        <w:rPr>
          <w:rFonts w:cs="Times New Roman"/>
          <w:szCs w:val="24"/>
        </w:rPr>
        <w:t>The Committee recommends the National Healt</w:t>
      </w:r>
      <w:r w:rsidR="00EE3BD5">
        <w:rPr>
          <w:rFonts w:cs="Times New Roman"/>
          <w:szCs w:val="24"/>
        </w:rPr>
        <w:t>h and Medical Research Council:</w:t>
      </w:r>
    </w:p>
    <w:p w:rsidR="006A721A" w:rsidRPr="00F863C3" w:rsidRDefault="006A721A" w:rsidP="00E643E6">
      <w:pPr>
        <w:pStyle w:val="Bulletpoint1"/>
      </w:pPr>
      <w:r w:rsidRPr="00F863C3">
        <w:t>work with relevant stakeholder to urgently update the registered Clinical practice guidelines for the management of melanoma in Australia and New Zealand (2008) and Basal cell carcinoma, squamous cell carcinoma (and related lesions) – a guide to clinical management in Australia (2008), and th</w:t>
      </w:r>
      <w:r w:rsidR="00EE3BD5">
        <w:t>at these guidelines be updated:</w:t>
      </w:r>
    </w:p>
    <w:p w:rsidR="006A721A" w:rsidRPr="00F863C3" w:rsidRDefault="006A721A" w:rsidP="00B36BCD">
      <w:pPr>
        <w:pStyle w:val="Bulletpoint2"/>
      </w:pPr>
      <w:r w:rsidRPr="00F863C3">
        <w:lastRenderedPageBreak/>
        <w:t>shortly after each new treatment is approved by the Therapeutic Goods Administration; or</w:t>
      </w:r>
    </w:p>
    <w:p w:rsidR="006A721A" w:rsidRPr="00F863C3" w:rsidRDefault="006A721A" w:rsidP="00B36BCD">
      <w:pPr>
        <w:pStyle w:val="Bulletpoint2"/>
      </w:pPr>
      <w:r w:rsidRPr="00F863C3">
        <w:t>as frequently as recommended by the profession after relevant consultation; and</w:t>
      </w:r>
    </w:p>
    <w:p w:rsidR="006A721A" w:rsidRPr="00F863C3" w:rsidRDefault="006A721A" w:rsidP="00E643E6">
      <w:pPr>
        <w:pStyle w:val="Bulletpoint1"/>
      </w:pPr>
      <w:r w:rsidRPr="00F863C3">
        <w:t>that the Department of Health undertake research and analysis of whether clinical guidelines relating to skin cancer treatments can be placed on a digital platform, thereby allowing regular updates and quick and easy distribution of updated best practice for clinicians and practitioners.</w:t>
      </w:r>
    </w:p>
    <w:p w:rsidR="006A721A" w:rsidRPr="00F863C3" w:rsidRDefault="006A721A" w:rsidP="00EE3BD5">
      <w:pPr>
        <w:pStyle w:val="Heading3"/>
      </w:pPr>
      <w:r w:rsidRPr="00F863C3">
        <w:t>Response</w:t>
      </w:r>
    </w:p>
    <w:p w:rsidR="003A361D" w:rsidRDefault="003A361D" w:rsidP="004618E7">
      <w:r>
        <w:t>The Australian Government supports this recommendation in principle.</w:t>
      </w:r>
    </w:p>
    <w:p w:rsidR="00331927" w:rsidRDefault="00331927" w:rsidP="00875AFF">
      <w:pPr>
        <w:spacing w:before="240"/>
        <w:rPr>
          <w:rFonts w:cs="Times New Roman"/>
          <w:szCs w:val="24"/>
        </w:rPr>
      </w:pPr>
      <w:r w:rsidRPr="009C19DF">
        <w:rPr>
          <w:rFonts w:cs="Times New Roman"/>
          <w:szCs w:val="24"/>
        </w:rPr>
        <w:t xml:space="preserve">The Melanoma Institute Australia and Cancer Council Australia </w:t>
      </w:r>
      <w:r>
        <w:rPr>
          <w:rFonts w:cs="Times New Roman"/>
          <w:szCs w:val="24"/>
        </w:rPr>
        <w:t xml:space="preserve">(CCA) </w:t>
      </w:r>
      <w:r w:rsidRPr="009C19DF">
        <w:rPr>
          <w:rFonts w:cs="Times New Roman"/>
          <w:szCs w:val="24"/>
        </w:rPr>
        <w:t xml:space="preserve">are currently updating the </w:t>
      </w:r>
      <w:r w:rsidRPr="00EE3BD5">
        <w:rPr>
          <w:rStyle w:val="Emphasis"/>
        </w:rPr>
        <w:t>2008 Clinical practice guidelines for the management of melanoma in Australia and New Zealand.</w:t>
      </w:r>
      <w:r w:rsidRPr="009C19DF">
        <w:rPr>
          <w:rFonts w:cs="Times New Roman"/>
          <w:szCs w:val="24"/>
        </w:rPr>
        <w:t xml:space="preserve"> </w:t>
      </w:r>
      <w:r w:rsidRPr="00A21FEE">
        <w:rPr>
          <w:rFonts w:cs="Times New Roman"/>
          <w:szCs w:val="24"/>
        </w:rPr>
        <w:t xml:space="preserve">The guidelines follow a rigorous, systematic approach and are </w:t>
      </w:r>
      <w:r w:rsidR="00EA7112">
        <w:rPr>
          <w:rFonts w:cs="Times New Roman"/>
          <w:szCs w:val="24"/>
        </w:rPr>
        <w:t xml:space="preserve">advisedly </w:t>
      </w:r>
      <w:r w:rsidRPr="00A21FEE">
        <w:rPr>
          <w:rFonts w:cs="Times New Roman"/>
          <w:szCs w:val="24"/>
        </w:rPr>
        <w:t xml:space="preserve">based on NHMRC methodology, however </w:t>
      </w:r>
      <w:r>
        <w:rPr>
          <w:rFonts w:cs="Times New Roman"/>
          <w:szCs w:val="24"/>
        </w:rPr>
        <w:t>the Cancer Council ha</w:t>
      </w:r>
      <w:r w:rsidR="00EA7112">
        <w:rPr>
          <w:rFonts w:cs="Times New Roman"/>
          <w:szCs w:val="24"/>
        </w:rPr>
        <w:t>s</w:t>
      </w:r>
      <w:r>
        <w:rPr>
          <w:rFonts w:cs="Times New Roman"/>
          <w:szCs w:val="24"/>
        </w:rPr>
        <w:t xml:space="preserve"> opted not to seek </w:t>
      </w:r>
      <w:r w:rsidRPr="00A21FEE">
        <w:rPr>
          <w:rFonts w:cs="Times New Roman"/>
          <w:szCs w:val="24"/>
        </w:rPr>
        <w:t xml:space="preserve">NHMRC approval </w:t>
      </w:r>
      <w:r>
        <w:rPr>
          <w:rFonts w:cs="Times New Roman"/>
          <w:szCs w:val="24"/>
        </w:rPr>
        <w:t xml:space="preserve">of the </w:t>
      </w:r>
      <w:r w:rsidR="00EA7112">
        <w:rPr>
          <w:rFonts w:cs="Times New Roman"/>
          <w:szCs w:val="24"/>
        </w:rPr>
        <w:t xml:space="preserve">final </w:t>
      </w:r>
      <w:r>
        <w:rPr>
          <w:rFonts w:cs="Times New Roman"/>
          <w:szCs w:val="24"/>
        </w:rPr>
        <w:t>guidelines</w:t>
      </w:r>
      <w:r w:rsidR="00EA7112">
        <w:rPr>
          <w:rFonts w:cs="Times New Roman"/>
          <w:szCs w:val="24"/>
        </w:rPr>
        <w:t xml:space="preserve"> which</w:t>
      </w:r>
      <w:r w:rsidR="00F06814">
        <w:rPr>
          <w:rFonts w:cs="Times New Roman"/>
          <w:szCs w:val="24"/>
        </w:rPr>
        <w:t xml:space="preserve"> will be completed in 2018</w:t>
      </w:r>
      <w:r>
        <w:rPr>
          <w:rFonts w:cs="Times New Roman"/>
          <w:szCs w:val="24"/>
        </w:rPr>
        <w:t>.</w:t>
      </w:r>
    </w:p>
    <w:p w:rsidR="00331927" w:rsidRPr="00A21FEE" w:rsidRDefault="00331927" w:rsidP="00875AFF">
      <w:pPr>
        <w:rPr>
          <w:rFonts w:cs="Times New Roman"/>
          <w:szCs w:val="24"/>
        </w:rPr>
      </w:pPr>
      <w:r w:rsidRPr="00A21FEE">
        <w:rPr>
          <w:rFonts w:cs="Times New Roman"/>
          <w:szCs w:val="24"/>
        </w:rPr>
        <w:t xml:space="preserve">The </w:t>
      </w:r>
      <w:r>
        <w:rPr>
          <w:rFonts w:cs="Times New Roman"/>
          <w:szCs w:val="24"/>
        </w:rPr>
        <w:t xml:space="preserve">revised </w:t>
      </w:r>
      <w:r w:rsidRPr="00A21FEE">
        <w:rPr>
          <w:rFonts w:cs="Times New Roman"/>
          <w:szCs w:val="24"/>
        </w:rPr>
        <w:t>guidelines are developed on Cancer Council Australia’s Cancer Guidelines Wiki Platform with an infrastructure in place to monitor literature updates and update content according to new evidence. After the revised guideline</w:t>
      </w:r>
      <w:r>
        <w:rPr>
          <w:rFonts w:cs="Times New Roman"/>
          <w:szCs w:val="24"/>
        </w:rPr>
        <w:t>s</w:t>
      </w:r>
      <w:r w:rsidRPr="00A21FEE">
        <w:rPr>
          <w:rFonts w:cs="Times New Roman"/>
          <w:szCs w:val="24"/>
        </w:rPr>
        <w:t xml:space="preserve"> have been launched, the aim is to convene the multi-disciplinary working group every year to ratify all updates based on the new evidence and identify any new clinical questions to be included in the guidelines.</w:t>
      </w:r>
    </w:p>
    <w:p w:rsidR="00106BBB" w:rsidRPr="009C19DF" w:rsidRDefault="00106BBB" w:rsidP="00875AFF">
      <w:pPr>
        <w:spacing w:before="240"/>
        <w:rPr>
          <w:rFonts w:cs="Times New Roman"/>
          <w:szCs w:val="24"/>
        </w:rPr>
      </w:pPr>
      <w:r w:rsidRPr="009C19DF">
        <w:rPr>
          <w:rFonts w:cs="Times New Roman"/>
          <w:szCs w:val="24"/>
        </w:rPr>
        <w:t>The National Health and Medical Research Council (NHMRC) has a legislated role to approve clinical practice guidelines developed by third parties according to NHMRC’s development standards.</w:t>
      </w:r>
      <w:r>
        <w:rPr>
          <w:rFonts w:cs="Times New Roman"/>
          <w:szCs w:val="24"/>
        </w:rPr>
        <w:t xml:space="preserve"> N</w:t>
      </w:r>
      <w:r w:rsidRPr="009C19DF">
        <w:rPr>
          <w:rFonts w:cs="Times New Roman"/>
          <w:szCs w:val="24"/>
        </w:rPr>
        <w:t xml:space="preserve">HMRC is not funded to develop clinical practice guidelines and can only do this under contract, when explicitly funded to do so. </w:t>
      </w:r>
    </w:p>
    <w:p w:rsidR="00106BBB" w:rsidRPr="00EE3BD5" w:rsidRDefault="00106BBB" w:rsidP="00875AFF">
      <w:pPr>
        <w:spacing w:before="240"/>
      </w:pPr>
      <w:r w:rsidRPr="00106BBB">
        <w:rPr>
          <w:rFonts w:cs="Times New Roman"/>
          <w:szCs w:val="24"/>
        </w:rPr>
        <w:t>NHMRC is working closely with Cancer Council A</w:t>
      </w:r>
      <w:r>
        <w:rPr>
          <w:rFonts w:cs="Times New Roman"/>
          <w:szCs w:val="24"/>
        </w:rPr>
        <w:t xml:space="preserve">ustralia on a number of </w:t>
      </w:r>
      <w:r w:rsidR="00EA7112">
        <w:rPr>
          <w:rFonts w:cs="Times New Roman"/>
          <w:szCs w:val="24"/>
        </w:rPr>
        <w:t xml:space="preserve">other </w:t>
      </w:r>
      <w:r>
        <w:rPr>
          <w:rFonts w:cs="Times New Roman"/>
          <w:szCs w:val="24"/>
        </w:rPr>
        <w:t xml:space="preserve">cancer </w:t>
      </w:r>
      <w:r w:rsidRPr="00106BBB">
        <w:rPr>
          <w:rFonts w:cs="Times New Roman"/>
          <w:szCs w:val="24"/>
        </w:rPr>
        <w:t xml:space="preserve">guidelines which have or will seek NHMRC approval </w:t>
      </w:r>
      <w:r>
        <w:rPr>
          <w:rFonts w:cs="Times New Roman"/>
          <w:szCs w:val="24"/>
        </w:rPr>
        <w:t xml:space="preserve">and have been </w:t>
      </w:r>
      <w:r w:rsidRPr="00106BBB">
        <w:rPr>
          <w:rFonts w:cs="Times New Roman"/>
          <w:szCs w:val="24"/>
        </w:rPr>
        <w:t>developed using the w</w:t>
      </w:r>
      <w:r w:rsidR="00F12966">
        <w:rPr>
          <w:rFonts w:cs="Times New Roman"/>
          <w:szCs w:val="24"/>
        </w:rPr>
        <w:t>iki guideline development model</w:t>
      </w:r>
      <w:r>
        <w:rPr>
          <w:rFonts w:cs="Times New Roman"/>
          <w:szCs w:val="24"/>
        </w:rPr>
        <w:t xml:space="preserve"> - a digital platform that allows regular updates and quick and easy distribution of updated guidelines</w:t>
      </w:r>
      <w:r w:rsidRPr="00106BBB">
        <w:rPr>
          <w:rFonts w:cs="Times New Roman"/>
          <w:szCs w:val="24"/>
        </w:rPr>
        <w:t xml:space="preserve">. These include </w:t>
      </w:r>
      <w:r w:rsidR="00EA7112" w:rsidRPr="00EE3BD5">
        <w:rPr>
          <w:rStyle w:val="Emphasis"/>
        </w:rPr>
        <w:t>Clinical Practice Guidelines for Surveillance Colonoscopy</w:t>
      </w:r>
      <w:r w:rsidR="00EA7112" w:rsidRPr="00106BBB">
        <w:rPr>
          <w:rFonts w:cs="Times New Roman"/>
          <w:szCs w:val="24"/>
        </w:rPr>
        <w:t xml:space="preserve"> (approved by NHMRC in 2011</w:t>
      </w:r>
      <w:r w:rsidR="00EA7112">
        <w:rPr>
          <w:rFonts w:cs="Times New Roman"/>
          <w:szCs w:val="24"/>
        </w:rPr>
        <w:t>, with a revised version in development</w:t>
      </w:r>
      <w:r w:rsidR="00EA7112" w:rsidRPr="00106BBB">
        <w:rPr>
          <w:rFonts w:cs="Times New Roman"/>
          <w:szCs w:val="24"/>
        </w:rPr>
        <w:t>),</w:t>
      </w:r>
      <w:r w:rsidR="00EA7112">
        <w:rPr>
          <w:rFonts w:cs="Times New Roman"/>
          <w:szCs w:val="24"/>
        </w:rPr>
        <w:t xml:space="preserve"> </w:t>
      </w:r>
      <w:r w:rsidR="00EA7112" w:rsidRPr="00EE3BD5">
        <w:rPr>
          <w:rStyle w:val="Emphasis"/>
        </w:rPr>
        <w:t>PSA Testing and Early Management of Test-Detected Prostate Cancer</w:t>
      </w:r>
      <w:r w:rsidR="00EA7112" w:rsidRPr="00106BBB">
        <w:rPr>
          <w:rFonts w:cs="Times New Roman"/>
          <w:szCs w:val="24"/>
        </w:rPr>
        <w:t xml:space="preserve"> </w:t>
      </w:r>
      <w:r w:rsidRPr="00106BBB">
        <w:rPr>
          <w:rFonts w:cs="Times New Roman"/>
          <w:szCs w:val="24"/>
        </w:rPr>
        <w:t xml:space="preserve">(approved by NHMRC </w:t>
      </w:r>
      <w:r w:rsidR="00EA7112">
        <w:rPr>
          <w:rFonts w:cs="Times New Roman"/>
          <w:szCs w:val="24"/>
        </w:rPr>
        <w:t xml:space="preserve">in </w:t>
      </w:r>
      <w:r w:rsidRPr="00106BBB">
        <w:rPr>
          <w:rFonts w:cs="Times New Roman"/>
          <w:szCs w:val="24"/>
        </w:rPr>
        <w:t xml:space="preserve">2015) and </w:t>
      </w:r>
      <w:r w:rsidR="00EA7112" w:rsidRPr="00EE3BD5">
        <w:rPr>
          <w:rStyle w:val="Emphasis"/>
        </w:rPr>
        <w:t>Clinical Practice Guidelines for the Prevention, Early Detection and Management of Colorectal Cancer</w:t>
      </w:r>
      <w:r w:rsidR="00EA7112" w:rsidRPr="0017547D" w:rsidDel="0017547D">
        <w:rPr>
          <w:rFonts w:cs="Times New Roman"/>
          <w:szCs w:val="24"/>
        </w:rPr>
        <w:t xml:space="preserve"> </w:t>
      </w:r>
      <w:r w:rsidRPr="00106BBB">
        <w:rPr>
          <w:rFonts w:cs="Times New Roman"/>
          <w:szCs w:val="24"/>
        </w:rPr>
        <w:t xml:space="preserve">(in development, following </w:t>
      </w:r>
      <w:r w:rsidR="00EA7112">
        <w:rPr>
          <w:rFonts w:cs="Times New Roman"/>
          <w:szCs w:val="24"/>
        </w:rPr>
        <w:t xml:space="preserve">the </w:t>
      </w:r>
      <w:r w:rsidRPr="00106BBB">
        <w:rPr>
          <w:rFonts w:cs="Times New Roman"/>
          <w:szCs w:val="24"/>
        </w:rPr>
        <w:t>NHMRC development stand</w:t>
      </w:r>
      <w:r w:rsidR="00EE3BD5">
        <w:rPr>
          <w:rFonts w:cs="Times New Roman"/>
          <w:szCs w:val="24"/>
        </w:rPr>
        <w:t>ard).</w:t>
      </w:r>
    </w:p>
    <w:p w:rsidR="00106BBB" w:rsidRPr="00106BBB" w:rsidRDefault="00106BBB" w:rsidP="00875AFF">
      <w:pPr>
        <w:spacing w:before="240"/>
        <w:rPr>
          <w:rFonts w:cs="Times New Roman"/>
          <w:szCs w:val="24"/>
        </w:rPr>
      </w:pPr>
      <w:r w:rsidRPr="00106BBB">
        <w:rPr>
          <w:rFonts w:cs="Times New Roman"/>
          <w:szCs w:val="24"/>
        </w:rPr>
        <w:t>NHMRC has made a number of significant amendments to its guideline approval processes in the past year</w:t>
      </w:r>
      <w:r>
        <w:rPr>
          <w:rFonts w:cs="Times New Roman"/>
          <w:szCs w:val="24"/>
        </w:rPr>
        <w:t xml:space="preserve"> to </w:t>
      </w:r>
      <w:r w:rsidR="00EA7112">
        <w:rPr>
          <w:rFonts w:cs="Times New Roman"/>
          <w:szCs w:val="24"/>
        </w:rPr>
        <w:t>encourage</w:t>
      </w:r>
      <w:r>
        <w:rPr>
          <w:rFonts w:cs="Times New Roman"/>
          <w:szCs w:val="24"/>
        </w:rPr>
        <w:t xml:space="preserve"> more </w:t>
      </w:r>
      <w:r w:rsidR="00F12966">
        <w:rPr>
          <w:rFonts w:cs="Times New Roman"/>
          <w:szCs w:val="24"/>
        </w:rPr>
        <w:t xml:space="preserve">timely development and approval processes and is continuing to review its processes in light of new technology. </w:t>
      </w:r>
      <w:r w:rsidR="00453A60">
        <w:rPr>
          <w:rFonts w:cs="Times New Roman"/>
          <w:szCs w:val="24"/>
        </w:rPr>
        <w:t>In October 2015, a</w:t>
      </w:r>
      <w:r w:rsidR="00F12966">
        <w:rPr>
          <w:rFonts w:cs="Times New Roman"/>
          <w:szCs w:val="24"/>
        </w:rPr>
        <w:t xml:space="preserve"> </w:t>
      </w:r>
      <w:r w:rsidRPr="00106BBB">
        <w:rPr>
          <w:rFonts w:cs="Times New Roman"/>
          <w:szCs w:val="24"/>
        </w:rPr>
        <w:t>policy of only approving guideline recommendations rather than the entire guideline</w:t>
      </w:r>
      <w:r w:rsidR="00F12966" w:rsidRPr="00F12966">
        <w:rPr>
          <w:rFonts w:cs="Times New Roman"/>
          <w:szCs w:val="24"/>
        </w:rPr>
        <w:t xml:space="preserve"> </w:t>
      </w:r>
      <w:r w:rsidR="00453A60">
        <w:rPr>
          <w:rFonts w:cs="Times New Roman"/>
          <w:szCs w:val="24"/>
        </w:rPr>
        <w:t xml:space="preserve">was adopted.  This </w:t>
      </w:r>
      <w:r w:rsidRPr="00106BBB">
        <w:rPr>
          <w:rFonts w:cs="Times New Roman"/>
          <w:szCs w:val="24"/>
        </w:rPr>
        <w:t>allows guideline developers greater flexibility in changing supporting text without reference to NHMRC</w:t>
      </w:r>
      <w:r w:rsidR="00453A60">
        <w:rPr>
          <w:rFonts w:cs="Times New Roman"/>
          <w:szCs w:val="24"/>
        </w:rPr>
        <w:t>. In May</w:t>
      </w:r>
      <w:r w:rsidR="00F12966">
        <w:rPr>
          <w:rFonts w:cs="Times New Roman"/>
          <w:szCs w:val="24"/>
        </w:rPr>
        <w:t xml:space="preserve"> 2016 </w:t>
      </w:r>
      <w:r w:rsidR="00453A60">
        <w:rPr>
          <w:rFonts w:cs="Times New Roman"/>
          <w:szCs w:val="24"/>
        </w:rPr>
        <w:t xml:space="preserve">the </w:t>
      </w:r>
      <w:r w:rsidR="00F12966" w:rsidRPr="00106BBB">
        <w:rPr>
          <w:rFonts w:cs="Times New Roman"/>
          <w:szCs w:val="24"/>
        </w:rPr>
        <w:t>require</w:t>
      </w:r>
      <w:r w:rsidR="00F12966">
        <w:rPr>
          <w:rFonts w:cs="Times New Roman"/>
          <w:szCs w:val="24"/>
        </w:rPr>
        <w:t>ment for</w:t>
      </w:r>
      <w:r w:rsidR="00F12966" w:rsidRPr="00106BBB">
        <w:rPr>
          <w:rFonts w:cs="Times New Roman"/>
          <w:szCs w:val="24"/>
        </w:rPr>
        <w:t xml:space="preserve"> developers to advertise public </w:t>
      </w:r>
      <w:r w:rsidR="00F12966" w:rsidRPr="00106BBB">
        <w:rPr>
          <w:rFonts w:cs="Times New Roman"/>
          <w:szCs w:val="24"/>
        </w:rPr>
        <w:lastRenderedPageBreak/>
        <w:t>consultation in print media</w:t>
      </w:r>
      <w:r w:rsidR="00F12966">
        <w:rPr>
          <w:rFonts w:cs="Times New Roman"/>
          <w:szCs w:val="24"/>
        </w:rPr>
        <w:t xml:space="preserve"> </w:t>
      </w:r>
      <w:r w:rsidR="00453A60">
        <w:rPr>
          <w:rFonts w:cs="Times New Roman"/>
          <w:szCs w:val="24"/>
        </w:rPr>
        <w:t xml:space="preserve">was removed from regulation </w:t>
      </w:r>
      <w:r w:rsidR="00F12966">
        <w:rPr>
          <w:rFonts w:cs="Times New Roman"/>
          <w:szCs w:val="24"/>
        </w:rPr>
        <w:t>which further supports th</w:t>
      </w:r>
      <w:r w:rsidR="00EE3BD5">
        <w:rPr>
          <w:rFonts w:cs="Times New Roman"/>
          <w:szCs w:val="24"/>
        </w:rPr>
        <w:t>e shift to digital development.</w:t>
      </w:r>
    </w:p>
    <w:p w:rsidR="00106BBB" w:rsidRPr="00F12966" w:rsidRDefault="00106BBB" w:rsidP="00875AFF">
      <w:pPr>
        <w:spacing w:before="240"/>
        <w:rPr>
          <w:rFonts w:cs="Times New Roman"/>
          <w:szCs w:val="24"/>
        </w:rPr>
      </w:pPr>
      <w:r w:rsidRPr="00F12966">
        <w:rPr>
          <w:rFonts w:cs="Times New Roman"/>
          <w:szCs w:val="24"/>
        </w:rPr>
        <w:t>Other changes to the NHMRC approval process will be made in response to new technologies for guideline development being more widely used</w:t>
      </w:r>
      <w:r w:rsidR="00453A60">
        <w:rPr>
          <w:rFonts w:cs="Times New Roman"/>
          <w:szCs w:val="24"/>
        </w:rPr>
        <w:t xml:space="preserve">. For example, </w:t>
      </w:r>
      <w:r w:rsidRPr="00F12966">
        <w:rPr>
          <w:rFonts w:cs="Times New Roman"/>
          <w:szCs w:val="24"/>
        </w:rPr>
        <w:t>NHMRC is currently working with the Stroke Foundation to test one of these new approaches for the 2017 update of the national stroke guidelines.</w:t>
      </w:r>
    </w:p>
    <w:p w:rsidR="003B2202" w:rsidRDefault="00331927" w:rsidP="00875AFF">
      <w:pPr>
        <w:rPr>
          <w:rFonts w:cs="Times New Roman"/>
          <w:szCs w:val="24"/>
        </w:rPr>
      </w:pPr>
      <w:r>
        <w:rPr>
          <w:rFonts w:cs="Times New Roman"/>
          <w:szCs w:val="24"/>
        </w:rPr>
        <w:t xml:space="preserve">The Department of Health </w:t>
      </w:r>
      <w:r w:rsidR="00C0675B">
        <w:rPr>
          <w:rFonts w:cs="Times New Roman"/>
          <w:szCs w:val="24"/>
        </w:rPr>
        <w:t>will</w:t>
      </w:r>
      <w:r w:rsidR="00A847C6">
        <w:rPr>
          <w:rFonts w:cs="Times New Roman"/>
          <w:szCs w:val="24"/>
        </w:rPr>
        <w:t xml:space="preserve"> </w:t>
      </w:r>
      <w:r w:rsidR="00453A60">
        <w:rPr>
          <w:rFonts w:cs="Times New Roman"/>
          <w:szCs w:val="24"/>
        </w:rPr>
        <w:t>explore options for updating</w:t>
      </w:r>
      <w:r>
        <w:rPr>
          <w:rFonts w:cs="Times New Roman"/>
          <w:szCs w:val="24"/>
        </w:rPr>
        <w:t xml:space="preserve"> the</w:t>
      </w:r>
      <w:r w:rsidR="00A21FEE" w:rsidRPr="00406F97">
        <w:rPr>
          <w:rFonts w:cs="Times New Roman"/>
          <w:szCs w:val="24"/>
        </w:rPr>
        <w:t xml:space="preserve"> ‘</w:t>
      </w:r>
      <w:r w:rsidR="00A21FEE" w:rsidRPr="00EE3BD5">
        <w:rPr>
          <w:rStyle w:val="Emphasis"/>
        </w:rPr>
        <w:t>Basal cell carcinoma, squamous cell carcinoma (and related lesions) – a guide to clinical management in Australia (2008)</w:t>
      </w:r>
      <w:r w:rsidR="00D6082D" w:rsidRPr="00EE3BD5">
        <w:rPr>
          <w:rStyle w:val="Emphasis"/>
        </w:rPr>
        <w:t>’</w:t>
      </w:r>
      <w:r w:rsidR="00EE3BD5">
        <w:rPr>
          <w:rFonts w:cs="Times New Roman"/>
          <w:szCs w:val="24"/>
        </w:rPr>
        <w:t>.</w:t>
      </w:r>
    </w:p>
    <w:p w:rsidR="006A721A" w:rsidRPr="002E6C74" w:rsidRDefault="00392039" w:rsidP="00EA6D4B">
      <w:pPr>
        <w:pStyle w:val="Heading2"/>
      </w:pPr>
      <w:r>
        <w:t>R</w:t>
      </w:r>
      <w:r w:rsidR="006A721A" w:rsidRPr="002E6C74">
        <w:t>ecommendation 11</w:t>
      </w:r>
    </w:p>
    <w:p w:rsidR="006A721A" w:rsidRPr="002E6C74" w:rsidRDefault="006A721A" w:rsidP="00875AFF">
      <w:pPr>
        <w:rPr>
          <w:rFonts w:cs="Times New Roman"/>
          <w:szCs w:val="24"/>
        </w:rPr>
      </w:pPr>
      <w:r w:rsidRPr="002E6C74">
        <w:rPr>
          <w:rFonts w:cs="Times New Roman"/>
          <w:szCs w:val="24"/>
        </w:rPr>
        <w:t xml:space="preserve">The Committee recommends that the Department of Health work with State and Territory counterparts to: </w:t>
      </w:r>
    </w:p>
    <w:p w:rsidR="006A721A" w:rsidRPr="002E6C74" w:rsidRDefault="006A721A" w:rsidP="00EE3BD5">
      <w:pPr>
        <w:pStyle w:val="Bulletpoint1"/>
        <w:numPr>
          <w:ilvl w:val="0"/>
          <w:numId w:val="22"/>
        </w:numPr>
      </w:pPr>
      <w:r w:rsidRPr="002E6C74">
        <w:t>establish a virtual platform for the multidisciplinary treatment of skin cancer for patients located in regional and remote Australia; and</w:t>
      </w:r>
    </w:p>
    <w:p w:rsidR="00012284" w:rsidRPr="002E6C74" w:rsidRDefault="006A721A" w:rsidP="00EE3BD5">
      <w:pPr>
        <w:pStyle w:val="Bulletpoint1"/>
        <w:numPr>
          <w:ilvl w:val="0"/>
          <w:numId w:val="22"/>
        </w:numPr>
      </w:pPr>
      <w:proofErr w:type="gramStart"/>
      <w:r w:rsidRPr="002E6C74">
        <w:t>further</w:t>
      </w:r>
      <w:proofErr w:type="gramEnd"/>
      <w:r w:rsidRPr="002E6C74">
        <w:t xml:space="preserve"> develop and implement best practice models for multidisciplinary care for the tre</w:t>
      </w:r>
      <w:r w:rsidR="00EE3BD5">
        <w:t>atment of skin cancer patients.</w:t>
      </w:r>
    </w:p>
    <w:p w:rsidR="006A721A" w:rsidRPr="002E6C74" w:rsidRDefault="006A721A" w:rsidP="00EE3BD5">
      <w:pPr>
        <w:pStyle w:val="Heading3"/>
      </w:pPr>
      <w:r w:rsidRPr="002E6C74">
        <w:t>Response</w:t>
      </w:r>
    </w:p>
    <w:p w:rsidR="003A361D" w:rsidRDefault="003A361D" w:rsidP="00875AFF">
      <w:pPr>
        <w:pStyle w:val="Default"/>
        <w:spacing w:line="276" w:lineRule="auto"/>
        <w:rPr>
          <w:rFonts w:ascii="Times New Roman" w:hAnsi="Times New Roman" w:cs="Times New Roman"/>
          <w:color w:val="auto"/>
        </w:rPr>
      </w:pPr>
      <w:r>
        <w:rPr>
          <w:rFonts w:ascii="Times New Roman" w:hAnsi="Times New Roman" w:cs="Times New Roman"/>
          <w:color w:val="auto"/>
        </w:rPr>
        <w:t>The Australian Government supports this recommendation in principle.</w:t>
      </w:r>
    </w:p>
    <w:p w:rsidR="00875AFF" w:rsidRDefault="00B8729E" w:rsidP="00875AFF">
      <w:pPr>
        <w:autoSpaceDE w:val="0"/>
        <w:autoSpaceDN w:val="0"/>
        <w:adjustRightInd w:val="0"/>
        <w:ind w:left="-42"/>
        <w:rPr>
          <w:rFonts w:cs="Times New Roman"/>
          <w:color w:val="000000"/>
          <w:szCs w:val="24"/>
        </w:rPr>
      </w:pPr>
      <w:r>
        <w:rPr>
          <w:rFonts w:cs="Times New Roman"/>
          <w:color w:val="000000"/>
          <w:szCs w:val="24"/>
        </w:rPr>
        <w:t>T</w:t>
      </w:r>
      <w:r w:rsidRPr="00C86676">
        <w:rPr>
          <w:rFonts w:cs="Times New Roman"/>
          <w:color w:val="000000"/>
          <w:szCs w:val="24"/>
        </w:rPr>
        <w:t>he Rural Health Outreach Fund (RHOF) aims to support people living in regional, rural and remote locations to access a wide range of health care services.  The Fund supports a service delivery model that includes a multidisciplinary team based approach in delivering services.  These multidisciplinary teams may consist of GPs, medical specialists, allied and other health professionals for people living in regional, rural and remote Australia.</w:t>
      </w:r>
    </w:p>
    <w:p w:rsidR="00B8729E" w:rsidRPr="00C86676" w:rsidRDefault="00B8729E" w:rsidP="00875AFF">
      <w:pPr>
        <w:autoSpaceDE w:val="0"/>
        <w:autoSpaceDN w:val="0"/>
        <w:adjustRightInd w:val="0"/>
        <w:ind w:left="-42"/>
        <w:rPr>
          <w:rFonts w:cs="Times New Roman"/>
          <w:color w:val="000000"/>
          <w:szCs w:val="24"/>
        </w:rPr>
      </w:pPr>
      <w:r w:rsidRPr="00C86676">
        <w:rPr>
          <w:rFonts w:cs="Times New Roman"/>
          <w:color w:val="000000"/>
          <w:szCs w:val="24"/>
        </w:rPr>
        <w:t xml:space="preserve">The </w:t>
      </w:r>
      <w:r>
        <w:rPr>
          <w:rFonts w:cs="Times New Roman"/>
          <w:color w:val="000000"/>
          <w:szCs w:val="24"/>
        </w:rPr>
        <w:t xml:space="preserve">RHOF </w:t>
      </w:r>
      <w:r w:rsidRPr="00C86676">
        <w:rPr>
          <w:rFonts w:cs="Times New Roman"/>
          <w:color w:val="000000"/>
          <w:szCs w:val="24"/>
        </w:rPr>
        <w:t>supports the use of telemedicine services such as access to and use of</w:t>
      </w:r>
      <w:r w:rsidR="00EE3BD5">
        <w:rPr>
          <w:rFonts w:cs="Times New Roman"/>
          <w:color w:val="000000"/>
          <w:szCs w:val="24"/>
        </w:rPr>
        <w:t xml:space="preserve"> support for videoconferencing.</w:t>
      </w:r>
    </w:p>
    <w:p w:rsidR="00B8729E" w:rsidRDefault="00B8729E" w:rsidP="00875AFF">
      <w:pPr>
        <w:autoSpaceDE w:val="0"/>
        <w:autoSpaceDN w:val="0"/>
        <w:adjustRightInd w:val="0"/>
        <w:ind w:left="-42"/>
        <w:rPr>
          <w:rFonts w:cs="Times New Roman"/>
          <w:szCs w:val="24"/>
        </w:rPr>
      </w:pPr>
      <w:r w:rsidRPr="00C86676">
        <w:rPr>
          <w:rFonts w:cs="Times New Roman"/>
          <w:color w:val="000000"/>
          <w:szCs w:val="24"/>
        </w:rPr>
        <w:t>The Commonwealth works with State/Territory based Advisory Fora on how best to depl</w:t>
      </w:r>
      <w:r>
        <w:rPr>
          <w:rFonts w:cs="Times New Roman"/>
          <w:color w:val="000000"/>
          <w:szCs w:val="24"/>
        </w:rPr>
        <w:t>o</w:t>
      </w:r>
      <w:r w:rsidRPr="00C86676">
        <w:rPr>
          <w:rFonts w:cs="Times New Roman"/>
          <w:color w:val="000000"/>
          <w:szCs w:val="24"/>
        </w:rPr>
        <w:t xml:space="preserve">y resources to address the identified priorities of the </w:t>
      </w:r>
      <w:r>
        <w:rPr>
          <w:rFonts w:cs="Times New Roman"/>
          <w:color w:val="000000"/>
          <w:szCs w:val="24"/>
        </w:rPr>
        <w:t>RHOF</w:t>
      </w:r>
      <w:r w:rsidRPr="00C86676">
        <w:rPr>
          <w:rFonts w:cs="Times New Roman"/>
          <w:color w:val="000000"/>
          <w:szCs w:val="24"/>
        </w:rPr>
        <w:t xml:space="preserve"> in its juris</w:t>
      </w:r>
      <w:r w:rsidR="00EE3BD5">
        <w:rPr>
          <w:rFonts w:cs="Times New Roman"/>
          <w:color w:val="000000"/>
          <w:szCs w:val="24"/>
        </w:rPr>
        <w:t>diction.</w:t>
      </w:r>
    </w:p>
    <w:p w:rsidR="00995DF9" w:rsidRPr="009C19DF" w:rsidRDefault="00995DF9" w:rsidP="00875AFF">
      <w:pPr>
        <w:autoSpaceDE w:val="0"/>
        <w:autoSpaceDN w:val="0"/>
        <w:adjustRightInd w:val="0"/>
        <w:ind w:left="-42"/>
        <w:rPr>
          <w:rFonts w:cs="Times New Roman"/>
          <w:color w:val="000000"/>
          <w:szCs w:val="24"/>
        </w:rPr>
      </w:pPr>
      <w:r w:rsidRPr="009C19DF">
        <w:rPr>
          <w:rFonts w:cs="Times New Roman"/>
          <w:color w:val="000000"/>
          <w:szCs w:val="24"/>
        </w:rPr>
        <w:t xml:space="preserve">Multidisciplinary care is </w:t>
      </w:r>
      <w:r w:rsidR="00512ED9">
        <w:rPr>
          <w:rFonts w:cs="Times New Roman"/>
          <w:color w:val="000000"/>
          <w:szCs w:val="24"/>
        </w:rPr>
        <w:t xml:space="preserve">recognised as </w:t>
      </w:r>
      <w:r w:rsidRPr="009C19DF">
        <w:rPr>
          <w:rFonts w:cs="Times New Roman"/>
          <w:color w:val="000000"/>
          <w:szCs w:val="24"/>
        </w:rPr>
        <w:t xml:space="preserve">the best practice approach to providing evidence-based cancer care, including skin cancer care. Multidisciplinary care is an integrated team-based approach to cancer care where medical and allied health care professionals consider all relevant treatment options and collaboratively develop an individual treatment </w:t>
      </w:r>
      <w:r w:rsidR="00EE3BD5">
        <w:rPr>
          <w:rFonts w:cs="Times New Roman"/>
          <w:color w:val="000000"/>
          <w:szCs w:val="24"/>
        </w:rPr>
        <w:t>and care plan for each patient.</w:t>
      </w:r>
    </w:p>
    <w:p w:rsidR="003B3693" w:rsidRPr="00512ED9" w:rsidRDefault="00512ED9" w:rsidP="00875AFF">
      <w:pPr>
        <w:autoSpaceDE w:val="0"/>
        <w:autoSpaceDN w:val="0"/>
        <w:adjustRightInd w:val="0"/>
        <w:ind w:left="-42"/>
        <w:rPr>
          <w:rFonts w:cs="Times New Roman"/>
          <w:color w:val="000000"/>
          <w:szCs w:val="24"/>
        </w:rPr>
      </w:pPr>
      <w:r>
        <w:rPr>
          <w:rFonts w:cs="Times New Roman"/>
          <w:color w:val="000000"/>
          <w:szCs w:val="24"/>
        </w:rPr>
        <w:t>The National Cancer Expert Reference Group, the C</w:t>
      </w:r>
      <w:r w:rsidR="00327A7F">
        <w:rPr>
          <w:rFonts w:cs="Times New Roman"/>
          <w:color w:val="000000"/>
          <w:szCs w:val="24"/>
        </w:rPr>
        <w:t>ouncil of Australian Government</w:t>
      </w:r>
      <w:r w:rsidR="00875AFF">
        <w:rPr>
          <w:rFonts w:cs="Times New Roman"/>
          <w:color w:val="000000"/>
          <w:szCs w:val="24"/>
        </w:rPr>
        <w:t>s</w:t>
      </w:r>
      <w:r w:rsidR="00327A7F">
        <w:rPr>
          <w:rFonts w:cs="Times New Roman"/>
          <w:color w:val="000000"/>
          <w:szCs w:val="24"/>
        </w:rPr>
        <w:t xml:space="preserve"> (C</w:t>
      </w:r>
      <w:r>
        <w:rPr>
          <w:rFonts w:cs="Times New Roman"/>
          <w:color w:val="000000"/>
          <w:szCs w:val="24"/>
        </w:rPr>
        <w:t>OAG</w:t>
      </w:r>
      <w:r w:rsidR="00327A7F">
        <w:rPr>
          <w:rFonts w:cs="Times New Roman"/>
          <w:color w:val="000000"/>
          <w:szCs w:val="24"/>
        </w:rPr>
        <w:t>)</w:t>
      </w:r>
      <w:r>
        <w:rPr>
          <w:rFonts w:cs="Times New Roman"/>
          <w:color w:val="000000"/>
          <w:szCs w:val="24"/>
        </w:rPr>
        <w:t>-e</w:t>
      </w:r>
      <w:r w:rsidR="00AA251E">
        <w:rPr>
          <w:rFonts w:cs="Times New Roman"/>
          <w:color w:val="000000"/>
          <w:szCs w:val="24"/>
        </w:rPr>
        <w:t xml:space="preserve">stablished </w:t>
      </w:r>
      <w:r>
        <w:rPr>
          <w:rFonts w:cs="Times New Roman"/>
          <w:color w:val="000000"/>
          <w:szCs w:val="24"/>
        </w:rPr>
        <w:t>expert national cancer forum in Australia</w:t>
      </w:r>
      <w:r w:rsidR="00875AFF">
        <w:rPr>
          <w:rFonts w:cs="Times New Roman"/>
          <w:color w:val="000000"/>
          <w:szCs w:val="24"/>
        </w:rPr>
        <w:t>,</w:t>
      </w:r>
      <w:r>
        <w:rPr>
          <w:rFonts w:cs="Times New Roman"/>
          <w:color w:val="000000"/>
          <w:szCs w:val="24"/>
        </w:rPr>
        <w:t xml:space="preserve"> has </w:t>
      </w:r>
      <w:r w:rsidR="00E27452">
        <w:rPr>
          <w:rFonts w:cs="Times New Roman"/>
          <w:color w:val="000000"/>
          <w:szCs w:val="24"/>
        </w:rPr>
        <w:t>endorsed</w:t>
      </w:r>
      <w:r>
        <w:rPr>
          <w:rFonts w:cs="Times New Roman"/>
          <w:color w:val="000000"/>
          <w:szCs w:val="24"/>
        </w:rPr>
        <w:t xml:space="preserve"> a series of Optimal Care Pathways</w:t>
      </w:r>
      <w:r w:rsidR="00B8729E">
        <w:rPr>
          <w:rFonts w:cs="Times New Roman"/>
          <w:color w:val="000000"/>
          <w:szCs w:val="24"/>
        </w:rPr>
        <w:t xml:space="preserve"> (OCPs)</w:t>
      </w:r>
      <w:r>
        <w:rPr>
          <w:rFonts w:cs="Times New Roman"/>
          <w:color w:val="000000"/>
          <w:szCs w:val="24"/>
        </w:rPr>
        <w:t xml:space="preserve"> with the aim of providing more </w:t>
      </w:r>
      <w:r w:rsidR="00453A60">
        <w:rPr>
          <w:rFonts w:cs="Times New Roman"/>
          <w:color w:val="000000"/>
          <w:szCs w:val="24"/>
        </w:rPr>
        <w:t>consistent</w:t>
      </w:r>
      <w:r>
        <w:rPr>
          <w:rFonts w:cs="Times New Roman"/>
          <w:color w:val="000000"/>
          <w:szCs w:val="24"/>
        </w:rPr>
        <w:t xml:space="preserve"> cancer</w:t>
      </w:r>
      <w:r w:rsidR="00453A60">
        <w:rPr>
          <w:rFonts w:cs="Times New Roman"/>
          <w:color w:val="000000"/>
          <w:szCs w:val="24"/>
        </w:rPr>
        <w:t xml:space="preserve"> </w:t>
      </w:r>
      <w:r>
        <w:rPr>
          <w:rFonts w:cs="Times New Roman"/>
          <w:color w:val="000000"/>
          <w:szCs w:val="24"/>
        </w:rPr>
        <w:t>tre</w:t>
      </w:r>
      <w:r w:rsidR="00E873C8">
        <w:rPr>
          <w:rFonts w:cs="Times New Roman"/>
          <w:color w:val="000000"/>
          <w:szCs w:val="24"/>
        </w:rPr>
        <w:t xml:space="preserve">atment and referral protocols.  </w:t>
      </w:r>
      <w:r>
        <w:rPr>
          <w:rFonts w:cs="Times New Roman"/>
          <w:color w:val="000000"/>
          <w:szCs w:val="24"/>
        </w:rPr>
        <w:t xml:space="preserve">Supported by all state and territory jurisdictions </w:t>
      </w:r>
      <w:r w:rsidR="00BD7707">
        <w:rPr>
          <w:rFonts w:cs="Times New Roman"/>
          <w:color w:val="000000"/>
          <w:szCs w:val="24"/>
        </w:rPr>
        <w:t xml:space="preserve">through </w:t>
      </w:r>
      <w:r w:rsidR="00875AFF">
        <w:rPr>
          <w:rFonts w:cs="Times New Roman"/>
          <w:color w:val="000000"/>
          <w:szCs w:val="24"/>
        </w:rPr>
        <w:t xml:space="preserve">the </w:t>
      </w:r>
      <w:r w:rsidR="00327A7F">
        <w:rPr>
          <w:rFonts w:cs="Times New Roman"/>
          <w:color w:val="000000"/>
          <w:szCs w:val="24"/>
        </w:rPr>
        <w:t xml:space="preserve">Australian </w:t>
      </w:r>
      <w:r w:rsidR="00327A7F">
        <w:rPr>
          <w:rFonts w:cs="Times New Roman"/>
          <w:color w:val="000000"/>
          <w:szCs w:val="24"/>
        </w:rPr>
        <w:lastRenderedPageBreak/>
        <w:t>Health Minsters’ Advisory Council (</w:t>
      </w:r>
      <w:r w:rsidR="00BD7707">
        <w:rPr>
          <w:rFonts w:cs="Times New Roman"/>
          <w:color w:val="000000"/>
          <w:szCs w:val="24"/>
        </w:rPr>
        <w:t>AHMAC</w:t>
      </w:r>
      <w:r w:rsidR="00327A7F">
        <w:rPr>
          <w:rFonts w:cs="Times New Roman"/>
          <w:color w:val="000000"/>
          <w:szCs w:val="24"/>
        </w:rPr>
        <w:t>)</w:t>
      </w:r>
      <w:r w:rsidR="00BD7707">
        <w:rPr>
          <w:rFonts w:cs="Times New Roman"/>
          <w:color w:val="000000"/>
          <w:szCs w:val="24"/>
        </w:rPr>
        <w:t xml:space="preserve"> and the COAG Health Council, </w:t>
      </w:r>
      <w:r>
        <w:rPr>
          <w:rFonts w:cs="Times New Roman"/>
          <w:color w:val="000000"/>
          <w:szCs w:val="24"/>
        </w:rPr>
        <w:t xml:space="preserve">the OCPs are tumour specific guides </w:t>
      </w:r>
      <w:r w:rsidR="00AA251E">
        <w:rPr>
          <w:rFonts w:cs="Times New Roman"/>
          <w:color w:val="000000"/>
          <w:szCs w:val="24"/>
        </w:rPr>
        <w:t>on what care should be provided at each step of the cancer treatment pathwa</w:t>
      </w:r>
      <w:r w:rsidR="00EE3BD5">
        <w:rPr>
          <w:rFonts w:cs="Times New Roman"/>
          <w:color w:val="000000"/>
          <w:szCs w:val="24"/>
        </w:rPr>
        <w:t>y for a range of tumour groups.</w:t>
      </w:r>
      <w:r w:rsidR="00BD7707">
        <w:rPr>
          <w:rFonts w:cs="Times New Roman"/>
          <w:color w:val="000000"/>
          <w:szCs w:val="24"/>
        </w:rPr>
        <w:t xml:space="preserve"> </w:t>
      </w:r>
      <w:r w:rsidR="003B3693">
        <w:rPr>
          <w:rFonts w:cs="Times New Roman"/>
          <w:color w:val="000000"/>
          <w:szCs w:val="24"/>
        </w:rPr>
        <w:t>The OCPs are based on current best practice, including clinical guidelines, care pat</w:t>
      </w:r>
      <w:r w:rsidR="00EE3BD5">
        <w:rPr>
          <w:rFonts w:cs="Times New Roman"/>
          <w:color w:val="000000"/>
          <w:szCs w:val="24"/>
        </w:rPr>
        <w:t>hways, standards and research.</w:t>
      </w:r>
    </w:p>
    <w:p w:rsidR="00BD7707" w:rsidRDefault="00BD7707" w:rsidP="00875AFF">
      <w:pPr>
        <w:autoSpaceDE w:val="0"/>
        <w:autoSpaceDN w:val="0"/>
        <w:adjustRightInd w:val="0"/>
        <w:ind w:left="-42"/>
        <w:rPr>
          <w:rFonts w:cs="Times New Roman"/>
          <w:color w:val="000000"/>
          <w:szCs w:val="24"/>
        </w:rPr>
      </w:pPr>
      <w:r>
        <w:rPr>
          <w:rFonts w:cs="Times New Roman"/>
          <w:color w:val="000000"/>
          <w:szCs w:val="24"/>
        </w:rPr>
        <w:t xml:space="preserve">The composition and role of multidisciplinary teams </w:t>
      </w:r>
      <w:r w:rsidR="00327A7F">
        <w:rPr>
          <w:rFonts w:cs="Times New Roman"/>
          <w:color w:val="000000"/>
          <w:szCs w:val="24"/>
        </w:rPr>
        <w:t xml:space="preserve">(MDTs) </w:t>
      </w:r>
      <w:r>
        <w:rPr>
          <w:rFonts w:cs="Times New Roman"/>
          <w:color w:val="000000"/>
          <w:szCs w:val="24"/>
        </w:rPr>
        <w:t xml:space="preserve">for the treatment of melanoma and non-melanoma skin cancers are described in the OCP for both melanoma and non-melanoma skin cancers.  </w:t>
      </w:r>
      <w:r w:rsidR="003B3693">
        <w:rPr>
          <w:rFonts w:cs="Times New Roman"/>
          <w:color w:val="000000"/>
          <w:szCs w:val="24"/>
        </w:rPr>
        <w:t>The Australian Government would support that these OCPs be used as a key resource in exploring best practice models o</w:t>
      </w:r>
      <w:r w:rsidR="00A908CC">
        <w:rPr>
          <w:rFonts w:cs="Times New Roman"/>
          <w:color w:val="000000"/>
          <w:szCs w:val="24"/>
        </w:rPr>
        <w:t>f care for skin cancer patients both for the development of digital p</w:t>
      </w:r>
      <w:r w:rsidR="00EE3BD5">
        <w:rPr>
          <w:rFonts w:cs="Times New Roman"/>
          <w:color w:val="000000"/>
          <w:szCs w:val="24"/>
        </w:rPr>
        <w:t>latforms and face to face MDTs.</w:t>
      </w:r>
    </w:p>
    <w:p w:rsidR="00327A7F" w:rsidRDefault="00FE0459" w:rsidP="00875AFF">
      <w:pPr>
        <w:autoSpaceDE w:val="0"/>
        <w:autoSpaceDN w:val="0"/>
        <w:adjustRightInd w:val="0"/>
        <w:ind w:left="-42"/>
        <w:rPr>
          <w:rFonts w:cs="Times New Roman"/>
          <w:color w:val="000000"/>
          <w:szCs w:val="24"/>
        </w:rPr>
      </w:pPr>
      <w:r>
        <w:rPr>
          <w:rFonts w:cs="Times New Roman"/>
          <w:color w:val="000000"/>
          <w:szCs w:val="24"/>
        </w:rPr>
        <w:t>In addition, Cancer Australia ha</w:t>
      </w:r>
      <w:r w:rsidR="00875AFF">
        <w:rPr>
          <w:rFonts w:cs="Times New Roman"/>
          <w:color w:val="000000"/>
          <w:szCs w:val="24"/>
        </w:rPr>
        <w:t>s</w:t>
      </w:r>
      <w:r>
        <w:rPr>
          <w:rFonts w:cs="Times New Roman"/>
          <w:color w:val="000000"/>
          <w:szCs w:val="24"/>
        </w:rPr>
        <w:t xml:space="preserve"> developed an online multidisciplinary care information hub which provides informati</w:t>
      </w:r>
      <w:r w:rsidR="00875AFF">
        <w:rPr>
          <w:rFonts w:cs="Times New Roman"/>
          <w:color w:val="000000"/>
          <w:szCs w:val="24"/>
        </w:rPr>
        <w:t>on to assist the use of telehea</w:t>
      </w:r>
      <w:r>
        <w:rPr>
          <w:rFonts w:cs="Times New Roman"/>
          <w:color w:val="000000"/>
          <w:szCs w:val="24"/>
        </w:rPr>
        <w:t>lth technology and videoconferencing to support multidisci</w:t>
      </w:r>
      <w:r w:rsidR="00EE3BD5">
        <w:rPr>
          <w:rFonts w:cs="Times New Roman"/>
          <w:color w:val="000000"/>
          <w:szCs w:val="24"/>
        </w:rPr>
        <w:t>plinary care in regional areas.</w:t>
      </w:r>
    </w:p>
    <w:p w:rsidR="006A721A" w:rsidRPr="00A0509F" w:rsidRDefault="00327A7F" w:rsidP="00EA6D4B">
      <w:pPr>
        <w:pStyle w:val="Heading2"/>
      </w:pPr>
      <w:r>
        <w:t>Re</w:t>
      </w:r>
      <w:r w:rsidR="006A721A" w:rsidRPr="00A0509F">
        <w:t>commendation 12</w:t>
      </w:r>
    </w:p>
    <w:p w:rsidR="006A721A" w:rsidRPr="00A0509F" w:rsidRDefault="006A721A" w:rsidP="00875AFF">
      <w:pPr>
        <w:rPr>
          <w:rFonts w:cs="Times New Roman"/>
          <w:szCs w:val="24"/>
        </w:rPr>
      </w:pPr>
      <w:r w:rsidRPr="00A0509F">
        <w:rPr>
          <w:rFonts w:cs="Times New Roman"/>
          <w:szCs w:val="24"/>
        </w:rPr>
        <w:t>The Committee recommends that the Australian Government ensure that adequate funds are provided for the non-medical support services of skin cancer patients and their families, particularly support services for those rural patients who have to travel for treatment.</w:t>
      </w:r>
    </w:p>
    <w:p w:rsidR="006A721A" w:rsidRDefault="006A721A" w:rsidP="00EE3BD5">
      <w:pPr>
        <w:pStyle w:val="Heading3"/>
      </w:pPr>
      <w:r w:rsidRPr="00A0509F">
        <w:t>Response</w:t>
      </w:r>
    </w:p>
    <w:p w:rsidR="00321541" w:rsidRDefault="00321541" w:rsidP="00930E1B">
      <w:r>
        <w:t>The Australian Government supports this recommendation in principle.</w:t>
      </w:r>
    </w:p>
    <w:p w:rsidR="00B2799C" w:rsidRDefault="00A0509F" w:rsidP="00930E1B">
      <w:pPr>
        <w:rPr>
          <w:szCs w:val="24"/>
        </w:rPr>
      </w:pPr>
      <w:r w:rsidRPr="00A0509F">
        <w:rPr>
          <w:szCs w:val="24"/>
        </w:rPr>
        <w:t xml:space="preserve">The </w:t>
      </w:r>
      <w:r w:rsidR="00D202E5">
        <w:rPr>
          <w:szCs w:val="24"/>
        </w:rPr>
        <w:t xml:space="preserve">Australian Government </w:t>
      </w:r>
      <w:r w:rsidR="00B2799C">
        <w:rPr>
          <w:szCs w:val="24"/>
        </w:rPr>
        <w:t xml:space="preserve">notes that support for patient travel is a state and territory </w:t>
      </w:r>
      <w:r w:rsidR="008C2CDA">
        <w:rPr>
          <w:szCs w:val="24"/>
        </w:rPr>
        <w:t xml:space="preserve">government </w:t>
      </w:r>
      <w:r w:rsidR="00B2799C">
        <w:rPr>
          <w:szCs w:val="24"/>
        </w:rPr>
        <w:t>responsibility</w:t>
      </w:r>
      <w:r w:rsidR="00B722BA">
        <w:rPr>
          <w:szCs w:val="24"/>
        </w:rPr>
        <w:t xml:space="preserve"> and that non-medical support to cancer patients is also provided by all levels of Government.</w:t>
      </w:r>
    </w:p>
    <w:p w:rsidR="00B2799C" w:rsidRPr="00EE3BD5" w:rsidRDefault="00A25E9A" w:rsidP="00875AFF">
      <w:r>
        <w:rPr>
          <w:rFonts w:cs="Times New Roman"/>
          <w:szCs w:val="24"/>
        </w:rPr>
        <w:t>S</w:t>
      </w:r>
      <w:r w:rsidRPr="00A25E9A">
        <w:rPr>
          <w:rFonts w:cs="Times New Roman"/>
          <w:szCs w:val="24"/>
        </w:rPr>
        <w:t xml:space="preserve">ince 2010, the Australian Government </w:t>
      </w:r>
      <w:r>
        <w:rPr>
          <w:rFonts w:cs="Times New Roman"/>
          <w:szCs w:val="24"/>
        </w:rPr>
        <w:t>through the Health and Hospitals Fund</w:t>
      </w:r>
      <w:r w:rsidRPr="00A25E9A">
        <w:rPr>
          <w:rFonts w:cs="Times New Roman"/>
          <w:szCs w:val="24"/>
        </w:rPr>
        <w:t xml:space="preserve"> has invested $695 mil</w:t>
      </w:r>
      <w:r>
        <w:rPr>
          <w:rFonts w:cs="Times New Roman"/>
          <w:szCs w:val="24"/>
        </w:rPr>
        <w:t>lion in the establishment of 27 </w:t>
      </w:r>
      <w:r w:rsidRPr="00A25E9A">
        <w:rPr>
          <w:rFonts w:cs="Times New Roman"/>
          <w:szCs w:val="24"/>
        </w:rPr>
        <w:t xml:space="preserve">Regional Cancer Centres and patient accommodation facilities across </w:t>
      </w:r>
      <w:r>
        <w:rPr>
          <w:rFonts w:cs="Times New Roman"/>
          <w:szCs w:val="24"/>
        </w:rPr>
        <w:t>Australia</w:t>
      </w:r>
      <w:r w:rsidRPr="00A25E9A">
        <w:rPr>
          <w:rFonts w:cs="Times New Roman"/>
          <w:szCs w:val="24"/>
        </w:rPr>
        <w:t xml:space="preserve">. These regional </w:t>
      </w:r>
      <w:r w:rsidR="009E30E5">
        <w:rPr>
          <w:rFonts w:cs="Times New Roman"/>
          <w:szCs w:val="24"/>
        </w:rPr>
        <w:t xml:space="preserve">cancer </w:t>
      </w:r>
      <w:r w:rsidRPr="00A25E9A">
        <w:rPr>
          <w:rFonts w:cs="Times New Roman"/>
          <w:szCs w:val="24"/>
        </w:rPr>
        <w:t xml:space="preserve">centres have been vital in improving access to </w:t>
      </w:r>
      <w:r w:rsidR="009E30E5">
        <w:rPr>
          <w:rFonts w:cs="Times New Roman"/>
          <w:szCs w:val="24"/>
        </w:rPr>
        <w:t>treatment</w:t>
      </w:r>
      <w:r w:rsidRPr="00A25E9A">
        <w:rPr>
          <w:rFonts w:cs="Times New Roman"/>
          <w:szCs w:val="24"/>
        </w:rPr>
        <w:t xml:space="preserve"> for people living in r</w:t>
      </w:r>
      <w:r>
        <w:rPr>
          <w:rFonts w:cs="Times New Roman"/>
          <w:szCs w:val="24"/>
        </w:rPr>
        <w:t xml:space="preserve">egional Australia with melanoma and </w:t>
      </w:r>
      <w:r w:rsidR="00B2799C">
        <w:rPr>
          <w:rFonts w:cs="Times New Roman"/>
          <w:szCs w:val="24"/>
        </w:rPr>
        <w:t>reduce</w:t>
      </w:r>
      <w:r w:rsidR="00C17520">
        <w:rPr>
          <w:rFonts w:cs="Times New Roman"/>
          <w:szCs w:val="24"/>
        </w:rPr>
        <w:t xml:space="preserve">d or removed </w:t>
      </w:r>
      <w:r w:rsidR="00B2799C">
        <w:rPr>
          <w:rFonts w:cs="Times New Roman"/>
          <w:szCs w:val="24"/>
        </w:rPr>
        <w:t xml:space="preserve">the travel involved in cancer treatment for </w:t>
      </w:r>
      <w:r w:rsidR="00C17520">
        <w:rPr>
          <w:rFonts w:cs="Times New Roman"/>
          <w:szCs w:val="24"/>
        </w:rPr>
        <w:t xml:space="preserve">many </w:t>
      </w:r>
      <w:r w:rsidR="00B2799C">
        <w:rPr>
          <w:rFonts w:cs="Times New Roman"/>
          <w:szCs w:val="24"/>
        </w:rPr>
        <w:t xml:space="preserve">rural Australians.  The operation of these centres is </w:t>
      </w:r>
      <w:r w:rsidR="00C17520">
        <w:rPr>
          <w:rFonts w:cs="Times New Roman"/>
          <w:szCs w:val="24"/>
        </w:rPr>
        <w:t xml:space="preserve">managed by </w:t>
      </w:r>
      <w:r w:rsidR="00B2799C">
        <w:rPr>
          <w:rFonts w:cs="Times New Roman"/>
          <w:szCs w:val="24"/>
        </w:rPr>
        <w:t>state and territory government</w:t>
      </w:r>
      <w:r w:rsidR="00EE3BD5">
        <w:rPr>
          <w:rFonts w:cs="Times New Roman"/>
          <w:szCs w:val="24"/>
        </w:rPr>
        <w:t>s.</w:t>
      </w:r>
    </w:p>
    <w:p w:rsidR="006A721A" w:rsidRDefault="00B2799C" w:rsidP="00875AFF">
      <w:pPr>
        <w:rPr>
          <w:rFonts w:cs="Times New Roman"/>
          <w:szCs w:val="24"/>
        </w:rPr>
      </w:pPr>
      <w:r w:rsidRPr="00B2799C">
        <w:rPr>
          <w:rFonts w:cs="Times New Roman"/>
          <w:szCs w:val="24"/>
        </w:rPr>
        <w:t xml:space="preserve">The Australian Government </w:t>
      </w:r>
      <w:r>
        <w:rPr>
          <w:rFonts w:cs="Times New Roman"/>
          <w:szCs w:val="24"/>
        </w:rPr>
        <w:t xml:space="preserve">provides access to psychological support through </w:t>
      </w:r>
      <w:r w:rsidR="00984E51">
        <w:rPr>
          <w:rFonts w:cs="Times New Roman"/>
          <w:szCs w:val="24"/>
        </w:rPr>
        <w:t>t</w:t>
      </w:r>
      <w:r w:rsidR="00984E51" w:rsidRPr="00984E51">
        <w:rPr>
          <w:rFonts w:cs="Times New Roman"/>
          <w:szCs w:val="24"/>
        </w:rPr>
        <w:t xml:space="preserve">he </w:t>
      </w:r>
      <w:r w:rsidR="00984E51" w:rsidRPr="00EE3BD5">
        <w:rPr>
          <w:rStyle w:val="Emphasis"/>
        </w:rPr>
        <w:t>Better Access to Psychiatrists, Psychologists and General Practitioners through the Medicare Benefits Schedule (Better Access) initiative</w:t>
      </w:r>
      <w:r w:rsidR="00984E51">
        <w:rPr>
          <w:rFonts w:cs="Times New Roman"/>
          <w:i/>
          <w:iCs/>
          <w:szCs w:val="24"/>
        </w:rPr>
        <w:t xml:space="preserve">. </w:t>
      </w:r>
      <w:r w:rsidR="00984E51" w:rsidRPr="00984E51">
        <w:rPr>
          <w:rFonts w:cs="Times New Roman"/>
          <w:iCs/>
          <w:szCs w:val="24"/>
        </w:rPr>
        <w:t>This program</w:t>
      </w:r>
      <w:r w:rsidR="00984E51" w:rsidRPr="00984E51">
        <w:rPr>
          <w:rFonts w:cs="Times New Roman"/>
          <w:i/>
          <w:iCs/>
          <w:szCs w:val="24"/>
        </w:rPr>
        <w:t xml:space="preserve"> </w:t>
      </w:r>
      <w:r w:rsidR="00984E51" w:rsidRPr="00984E51">
        <w:rPr>
          <w:rFonts w:cs="Times New Roman"/>
          <w:szCs w:val="24"/>
        </w:rPr>
        <w:t xml:space="preserve">aims to improve outcomes for people with a clinically-diagnosed mental disorder through evidence-based treatment. </w:t>
      </w:r>
      <w:r w:rsidR="00984E51">
        <w:rPr>
          <w:rFonts w:cs="Times New Roman"/>
          <w:szCs w:val="24"/>
        </w:rPr>
        <w:t xml:space="preserve"> Many people with cancer, including skin cancer can often face anxiety and depression related to their cancer. </w:t>
      </w:r>
      <w:r w:rsidR="00984E51" w:rsidRPr="00984E51">
        <w:rPr>
          <w:rFonts w:cs="Times New Roman"/>
          <w:szCs w:val="24"/>
        </w:rPr>
        <w:t xml:space="preserve">Under this initiative, </w:t>
      </w:r>
      <w:r w:rsidR="00A54ADE">
        <w:rPr>
          <w:rFonts w:cs="Times New Roman"/>
          <w:szCs w:val="24"/>
        </w:rPr>
        <w:t>t</w:t>
      </w:r>
      <w:r w:rsidR="00984E51">
        <w:rPr>
          <w:rFonts w:cs="Times New Roman"/>
          <w:szCs w:val="24"/>
        </w:rPr>
        <w:t xml:space="preserve">he Australian Government provides </w:t>
      </w:r>
      <w:r w:rsidR="00984E51" w:rsidRPr="00984E51">
        <w:rPr>
          <w:rFonts w:cs="Times New Roman"/>
          <w:szCs w:val="24"/>
        </w:rPr>
        <w:t>Medicare rebates</w:t>
      </w:r>
      <w:r w:rsidR="00984E51">
        <w:rPr>
          <w:rFonts w:cs="Times New Roman"/>
          <w:szCs w:val="24"/>
        </w:rPr>
        <w:t xml:space="preserve"> to </w:t>
      </w:r>
      <w:r w:rsidR="00984E51" w:rsidRPr="00984E51">
        <w:rPr>
          <w:rFonts w:cs="Times New Roman"/>
          <w:szCs w:val="24"/>
        </w:rPr>
        <w:t>patients for selected mental health services provided by general practitioners (GPs), psychiatrists, psychologists (clinical and registered) and eligible social workers and occupational therapists.</w:t>
      </w:r>
    </w:p>
    <w:p w:rsidR="00DC1852" w:rsidRPr="00DC1852" w:rsidRDefault="00DC1852" w:rsidP="00875AFF">
      <w:pPr>
        <w:rPr>
          <w:rFonts w:cs="Times New Roman"/>
          <w:szCs w:val="24"/>
        </w:rPr>
      </w:pPr>
      <w:r w:rsidRPr="00DC1852">
        <w:rPr>
          <w:rFonts w:cs="Times New Roman"/>
          <w:szCs w:val="24"/>
        </w:rPr>
        <w:t xml:space="preserve">The Australian Government provides a range of programs and services to support eligible carers. Carers of people with a chronic medical condition, such as skin cancer, may seek </w:t>
      </w:r>
      <w:r w:rsidRPr="00DC1852">
        <w:rPr>
          <w:rFonts w:cs="Times New Roman"/>
          <w:szCs w:val="24"/>
        </w:rPr>
        <w:lastRenderedPageBreak/>
        <w:t xml:space="preserve">assistance from the national network of Commonwealth Respite and </w:t>
      </w:r>
      <w:proofErr w:type="spellStart"/>
      <w:r w:rsidRPr="00DC1852">
        <w:rPr>
          <w:rFonts w:cs="Times New Roman"/>
          <w:szCs w:val="24"/>
        </w:rPr>
        <w:t>Carelink</w:t>
      </w:r>
      <w:proofErr w:type="spellEnd"/>
      <w:r w:rsidRPr="00DC1852">
        <w:rPr>
          <w:rFonts w:cs="Times New Roman"/>
          <w:szCs w:val="24"/>
        </w:rPr>
        <w:t xml:space="preserve"> Centres for emergency respite support. Commonwealth Respite and </w:t>
      </w:r>
      <w:proofErr w:type="spellStart"/>
      <w:r w:rsidRPr="00DC1852">
        <w:rPr>
          <w:rFonts w:cs="Times New Roman"/>
          <w:szCs w:val="24"/>
        </w:rPr>
        <w:t>Carelink</w:t>
      </w:r>
      <w:proofErr w:type="spellEnd"/>
      <w:r w:rsidRPr="00DC1852">
        <w:rPr>
          <w:rFonts w:cs="Times New Roman"/>
          <w:szCs w:val="24"/>
        </w:rPr>
        <w:t xml:space="preserve"> Centres provide information about carer support services in their local area, a link to carer support services and assist carers with options to take a break through short-term and emergency respite. Where appropriate, a Centre can help with putting in place regular respite for a carer to reduce the need for u</w:t>
      </w:r>
      <w:r w:rsidR="00EE3BD5">
        <w:rPr>
          <w:rFonts w:cs="Times New Roman"/>
          <w:szCs w:val="24"/>
        </w:rPr>
        <w:t>nplanned and emergency respite.</w:t>
      </w:r>
    </w:p>
    <w:p w:rsidR="00DC1852" w:rsidRPr="00DC1852" w:rsidRDefault="00DC1852" w:rsidP="00875AFF">
      <w:pPr>
        <w:rPr>
          <w:rFonts w:cs="Times New Roman"/>
          <w:szCs w:val="24"/>
        </w:rPr>
      </w:pPr>
      <w:r w:rsidRPr="00DC1852">
        <w:rPr>
          <w:rFonts w:cs="Times New Roman"/>
          <w:szCs w:val="24"/>
        </w:rPr>
        <w:t>In addition, the Australian Government funds the National Carer Counselling Program (NCCP) to provide short-term counselling and emotional and psychological support services for carers. The Australian Government also funds the Carer Information Support Service (CISS) to provide timely and quality information for carers. NCCP and CISS are delivered through Carers Australia’s Network of Carer Associatio</w:t>
      </w:r>
      <w:r w:rsidR="00EE3BD5">
        <w:rPr>
          <w:rFonts w:cs="Times New Roman"/>
          <w:szCs w:val="24"/>
        </w:rPr>
        <w:t>ns in each state and territory.</w:t>
      </w:r>
    </w:p>
    <w:p w:rsidR="00DC1852" w:rsidRPr="00DC1852" w:rsidRDefault="00DC1852" w:rsidP="00875AFF">
      <w:pPr>
        <w:rPr>
          <w:rFonts w:cs="Times New Roman"/>
          <w:szCs w:val="24"/>
        </w:rPr>
      </w:pPr>
      <w:r w:rsidRPr="00DC1852">
        <w:rPr>
          <w:rFonts w:cs="Times New Roman"/>
          <w:szCs w:val="24"/>
        </w:rPr>
        <w:t xml:space="preserve">On 14 December 2015, Carer Gateway, a national website and phone service, commenced. Carer Gateway provides a recognisable source of clear, consistent and reliable information that will help carers navigate the system of </w:t>
      </w:r>
      <w:r w:rsidR="00EE3BD5">
        <w:rPr>
          <w:rFonts w:cs="Times New Roman"/>
          <w:szCs w:val="24"/>
        </w:rPr>
        <w:t>support and services available.</w:t>
      </w:r>
    </w:p>
    <w:sectPr w:rsidR="00DC1852" w:rsidRPr="00DC1852" w:rsidSect="00172AD3">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BD5" w:rsidRDefault="00EE3BD5" w:rsidP="008564A6">
      <w:pPr>
        <w:spacing w:after="0"/>
      </w:pPr>
      <w:r>
        <w:separator/>
      </w:r>
    </w:p>
  </w:endnote>
  <w:endnote w:type="continuationSeparator" w:id="0">
    <w:p w:rsidR="00EE3BD5" w:rsidRDefault="00EE3BD5" w:rsidP="008564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NeueETW01-55Rg">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492444"/>
      <w:docPartObj>
        <w:docPartGallery w:val="Page Numbers (Bottom of Page)"/>
        <w:docPartUnique/>
      </w:docPartObj>
    </w:sdtPr>
    <w:sdtEndPr>
      <w:rPr>
        <w:noProof/>
      </w:rPr>
    </w:sdtEndPr>
    <w:sdtContent>
      <w:p w:rsidR="00EE3BD5" w:rsidRDefault="00EE3BD5" w:rsidP="00FD63F9">
        <w:pPr>
          <w:pStyle w:val="Footer"/>
          <w:jc w:val="center"/>
        </w:pPr>
        <w:r>
          <w:fldChar w:fldCharType="begin"/>
        </w:r>
        <w:r>
          <w:instrText xml:space="preserve"> PAGE   \* MERGEFORMAT </w:instrText>
        </w:r>
        <w:r>
          <w:fldChar w:fldCharType="separate"/>
        </w:r>
        <w:r w:rsidR="004D1AB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BD5" w:rsidRDefault="00EE3BD5" w:rsidP="008564A6">
      <w:pPr>
        <w:spacing w:after="0"/>
      </w:pPr>
      <w:r>
        <w:separator/>
      </w:r>
    </w:p>
  </w:footnote>
  <w:footnote w:type="continuationSeparator" w:id="0">
    <w:p w:rsidR="00EE3BD5" w:rsidRDefault="00EE3BD5" w:rsidP="008564A6">
      <w:pPr>
        <w:spacing w:after="0"/>
      </w:pPr>
      <w:r>
        <w:continuationSeparator/>
      </w:r>
    </w:p>
  </w:footnote>
  <w:footnote w:id="1">
    <w:p w:rsidR="00EE3BD5" w:rsidRPr="00FF408D" w:rsidRDefault="00EE3BD5" w:rsidP="00E8199F">
      <w:pPr>
        <w:shd w:val="clear" w:color="auto" w:fill="FFFFFF"/>
        <w:spacing w:after="0" w:line="281" w:lineRule="atLeast"/>
        <w:ind w:left="120" w:hanging="120"/>
        <w:rPr>
          <w:sz w:val="20"/>
          <w:szCs w:val="20"/>
        </w:rPr>
      </w:pPr>
      <w:r>
        <w:rPr>
          <w:rStyle w:val="FootnoteReference"/>
        </w:rPr>
        <w:footnoteRef/>
      </w:r>
      <w:r>
        <w:t xml:space="preserve"> </w:t>
      </w:r>
      <w:r w:rsidRPr="00FF408D">
        <w:rPr>
          <w:sz w:val="20"/>
          <w:szCs w:val="20"/>
        </w:rPr>
        <w:t>Australian Institute of Health and Welfare 201</w:t>
      </w:r>
      <w:r>
        <w:rPr>
          <w:sz w:val="20"/>
          <w:szCs w:val="20"/>
        </w:rPr>
        <w:t>7</w:t>
      </w:r>
      <w:r w:rsidRPr="00FF408D">
        <w:rPr>
          <w:sz w:val="20"/>
          <w:szCs w:val="20"/>
        </w:rPr>
        <w:t>. </w:t>
      </w:r>
      <w:hyperlink r:id="rId1" w:history="1">
        <w:r>
          <w:rPr>
            <w:sz w:val="20"/>
            <w:szCs w:val="20"/>
          </w:rPr>
          <w:t>Cancer in Australia</w:t>
        </w:r>
      </w:hyperlink>
      <w:r>
        <w:rPr>
          <w:sz w:val="20"/>
          <w:szCs w:val="20"/>
        </w:rPr>
        <w:t xml:space="preserve"> 2017. Cancer series no.101. Cat no. CAN 100. Canberra: AIHW. </w:t>
      </w:r>
    </w:p>
  </w:footnote>
  <w:footnote w:id="2">
    <w:p w:rsidR="00EE3BD5" w:rsidRDefault="00EE3BD5" w:rsidP="00E8199F">
      <w:pPr>
        <w:pStyle w:val="FootnoteText"/>
      </w:pPr>
      <w:r>
        <w:rPr>
          <w:rStyle w:val="FootnoteReference"/>
        </w:rPr>
        <w:footnoteRef/>
      </w:r>
      <w:r>
        <w:t xml:space="preserve"> Australian Institute of Health and Welfare, (AIHW), Skin Cancer in Australia, 2016, </w:t>
      </w:r>
      <w:proofErr w:type="spellStart"/>
      <w:r>
        <w:t>p.v</w:t>
      </w:r>
      <w:proofErr w:type="spellEnd"/>
    </w:p>
  </w:footnote>
  <w:footnote w:id="3">
    <w:p w:rsidR="00EE3BD5" w:rsidRPr="00153F96" w:rsidRDefault="00EE3BD5" w:rsidP="00E8199F">
      <w:pPr>
        <w:pStyle w:val="FootnoteText"/>
        <w:keepLines/>
        <w:rPr>
          <w:rFonts w:cs="Times New Roman"/>
          <w:iCs/>
          <w:sz w:val="24"/>
          <w:szCs w:val="24"/>
        </w:rPr>
      </w:pPr>
      <w:r>
        <w:rPr>
          <w:rStyle w:val="FootnoteReference"/>
        </w:rPr>
        <w:footnoteRef/>
      </w:r>
      <w:r>
        <w:t xml:space="preserve"> </w:t>
      </w:r>
      <w:r w:rsidRPr="00472C48">
        <w:t xml:space="preserve">Australian Cancer Network Colorectal Cancer Guidelines Revision Committee. </w:t>
      </w:r>
      <w:r w:rsidRPr="00472C48">
        <w:rPr>
          <w:i/>
        </w:rPr>
        <w:t xml:space="preserve">Guidelines for the Prevention, Early Detection and Management of Colorectal Cancer. </w:t>
      </w:r>
      <w:r w:rsidRPr="00472C48">
        <w:t>The Cancer Council Australia and Australian Cancer Network, Sydney 2005</w:t>
      </w:r>
    </w:p>
  </w:footnote>
  <w:footnote w:id="4">
    <w:p w:rsidR="00EE3BD5" w:rsidRPr="00C86008" w:rsidRDefault="00EE3BD5" w:rsidP="00E8199F">
      <w:pPr>
        <w:pStyle w:val="FootnoteText"/>
        <w:rPr>
          <w:rFonts w:cs="Times New Roman"/>
          <w:iCs/>
          <w:sz w:val="24"/>
          <w:szCs w:val="24"/>
        </w:rPr>
      </w:pPr>
      <w:r>
        <w:rPr>
          <w:rStyle w:val="FootnoteReference"/>
        </w:rPr>
        <w:footnoteRef/>
      </w:r>
      <w:r>
        <w:t xml:space="preserve"> The Royal Australian College of General Practitioners. </w:t>
      </w:r>
      <w:r w:rsidRPr="00472C48">
        <w:rPr>
          <w:i/>
        </w:rPr>
        <w:t>Guidelines for preventive activities in general practice</w:t>
      </w:r>
      <w:r>
        <w:t xml:space="preserve">. 9th </w:t>
      </w:r>
      <w:proofErr w:type="spellStart"/>
      <w:r>
        <w:t>edn</w:t>
      </w:r>
      <w:proofErr w:type="spellEnd"/>
      <w:r>
        <w:t>. East Melbourne, Vic: RACGP, 2016, p113.</w:t>
      </w:r>
    </w:p>
  </w:footnote>
  <w:footnote w:id="5">
    <w:p w:rsidR="00EE3BD5" w:rsidRDefault="00EE3BD5" w:rsidP="00E8199F">
      <w:pPr>
        <w:pStyle w:val="FootnoteText"/>
      </w:pPr>
      <w:r>
        <w:rPr>
          <w:rStyle w:val="FootnoteReference"/>
        </w:rPr>
        <w:footnoteRef/>
      </w:r>
      <w:r>
        <w:t xml:space="preserve"> </w:t>
      </w:r>
      <w:r w:rsidRPr="00EE59F5">
        <w:t xml:space="preserve">Doran CM, Ling R, Byrnes J, Crane M, </w:t>
      </w:r>
      <w:proofErr w:type="spellStart"/>
      <w:r w:rsidRPr="00EE59F5">
        <w:t>Shakeshaft</w:t>
      </w:r>
      <w:proofErr w:type="spellEnd"/>
      <w:r w:rsidRPr="00EE59F5">
        <w:t xml:space="preserve"> AP, </w:t>
      </w:r>
      <w:proofErr w:type="spellStart"/>
      <w:r w:rsidRPr="00EE59F5">
        <w:t>Searles</w:t>
      </w:r>
      <w:proofErr w:type="spellEnd"/>
      <w:r w:rsidRPr="00EE59F5">
        <w:t xml:space="preserve"> A, et al. (2016). Benefit Cost Analysis of Three Skin Cancer Public Education Mass-Media Campaigns Implemented in New South Wales, Australia. </w:t>
      </w:r>
      <w:proofErr w:type="spellStart"/>
      <w:r w:rsidRPr="00EE59F5">
        <w:t>PLoS</w:t>
      </w:r>
      <w:proofErr w:type="spellEnd"/>
      <w:r w:rsidRPr="00EE59F5">
        <w:t xml:space="preserve"> ONE 11(1):e0147665. Doi:10.1371/journal.pone.0147665</w:t>
      </w:r>
    </w:p>
  </w:footnote>
  <w:footnote w:id="6">
    <w:p w:rsidR="00EE3BD5" w:rsidRDefault="00EE3BD5" w:rsidP="00E8199F">
      <w:pPr>
        <w:pStyle w:val="FootnoteText"/>
      </w:pPr>
      <w:r>
        <w:rPr>
          <w:rStyle w:val="FootnoteReference"/>
        </w:rPr>
        <w:footnoteRef/>
      </w:r>
      <w:r>
        <w:t xml:space="preserve"> Submission to the Inquiry into skin cancer in Australia: Prof </w:t>
      </w:r>
      <w:proofErr w:type="spellStart"/>
      <w:r>
        <w:t>Adèle</w:t>
      </w:r>
      <w:proofErr w:type="spellEnd"/>
      <w:r>
        <w:t xml:space="preserve"> C Green (2014)</w:t>
      </w:r>
    </w:p>
  </w:footnote>
  <w:footnote w:id="7">
    <w:p w:rsidR="00EE3BD5" w:rsidRDefault="00EE3BD5" w:rsidP="00E8199F">
      <w:pPr>
        <w:pStyle w:val="FootnoteText"/>
      </w:pPr>
      <w:r>
        <w:rPr>
          <w:rStyle w:val="FootnoteReference"/>
        </w:rPr>
        <w:footnoteRef/>
      </w:r>
      <w:r>
        <w:t xml:space="preserve"> Green, A., G. Williams, R. </w:t>
      </w:r>
      <w:proofErr w:type="spellStart"/>
      <w:r>
        <w:t>Nèale</w:t>
      </w:r>
      <w:proofErr w:type="spellEnd"/>
      <w:r>
        <w:t xml:space="preserve">, V. Hart, D. Leslie, P. Parsons, G. C. Marks, P. Gaffney, D. </w:t>
      </w:r>
      <w:proofErr w:type="spellStart"/>
      <w:r>
        <w:t>Battistutta</w:t>
      </w:r>
      <w:proofErr w:type="spellEnd"/>
      <w:r>
        <w:t xml:space="preserve">, C. Frost, C. Lang and A. Russell (1999). "Daily sunscreen application and </w:t>
      </w:r>
      <w:proofErr w:type="spellStart"/>
      <w:r>
        <w:t>betacarotene</w:t>
      </w:r>
      <w:proofErr w:type="spellEnd"/>
      <w:r>
        <w:t xml:space="preserve"> supplementation in prevention of basal-cell and squamous-cell carcinomas of the skin: a randomised controlled trial." The Lancet 354(9180): 723-729. ;</w:t>
      </w:r>
      <w:r w:rsidRPr="005C2D59">
        <w:t xml:space="preserve"> </w:t>
      </w:r>
      <w:r>
        <w:t xml:space="preserve">Darlington, S., G. Williams, R. Neale, C. Frost and A. Green (2003). "A Randomized Controlled Trial to Assess Sunscreen Application and Beta Carotene Supplementation in the Prevention of Solar </w:t>
      </w:r>
      <w:proofErr w:type="spellStart"/>
      <w:r>
        <w:t>Keratoses</w:t>
      </w:r>
      <w:proofErr w:type="spellEnd"/>
      <w:r>
        <w:t xml:space="preserve">." Arch </w:t>
      </w:r>
      <w:proofErr w:type="spellStart"/>
      <w:r>
        <w:t>Dermatol</w:t>
      </w:r>
      <w:proofErr w:type="spellEnd"/>
      <w:r>
        <w:t xml:space="preserve"> 139(4): 451-455. Green, A. C., G. M. Williams, V. Logan and G. M. </w:t>
      </w:r>
      <w:proofErr w:type="spellStart"/>
      <w:r>
        <w:t>Strutton</w:t>
      </w:r>
      <w:proofErr w:type="spellEnd"/>
      <w:r>
        <w:t xml:space="preserve"> (2011). "Reduced Melanoma After Regular Sunscreen Use: Randomized Trial Follow-Up." Journal of Clinical Oncology 29(3): 257-263. </w:t>
      </w:r>
      <w:r w:rsidRPr="005C2D59">
        <w:rPr>
          <w:rFonts w:cs="Times New Roman"/>
          <w:color w:val="000000"/>
          <w:sz w:val="24"/>
          <w:szCs w:val="24"/>
        </w:rPr>
        <w:t xml:space="preserve"> </w:t>
      </w:r>
      <w:proofErr w:type="spellStart"/>
      <w:r>
        <w:t>Hirst</w:t>
      </w:r>
      <w:proofErr w:type="spellEnd"/>
      <w:r>
        <w:t xml:space="preserve">, N. G., L. G. Gordon, P. A. </w:t>
      </w:r>
      <w:proofErr w:type="spellStart"/>
      <w:r>
        <w:t>Scuffham</w:t>
      </w:r>
      <w:proofErr w:type="spellEnd"/>
      <w:r>
        <w:t xml:space="preserve"> and A. C. Green (2012). "Lifetime </w:t>
      </w:r>
      <w:proofErr w:type="spellStart"/>
      <w:r>
        <w:t>CostEffectiveness</w:t>
      </w:r>
      <w:proofErr w:type="spellEnd"/>
      <w:r>
        <w:t xml:space="preserve"> of Skin Cancer Prevention through Promotion of Daily Sunscreen Use." Value in Health 15(2): 261-268.</w:t>
      </w:r>
      <w:r w:rsidRPr="005C2D59">
        <w:rPr>
          <w:rFonts w:cs="Times New Roman"/>
          <w:color w:val="000000"/>
          <w:sz w:val="24"/>
          <w:szCs w:val="24"/>
        </w:rPr>
        <w:t>).</w:t>
      </w:r>
    </w:p>
  </w:footnote>
  <w:footnote w:id="8">
    <w:p w:rsidR="00EE3BD5" w:rsidRDefault="00EE3BD5" w:rsidP="00E8199F">
      <w:pPr>
        <w:pStyle w:val="FootnoteText"/>
      </w:pPr>
      <w:r>
        <w:rPr>
          <w:rStyle w:val="FootnoteReference"/>
        </w:rPr>
        <w:footnoteRef/>
      </w:r>
      <w:r>
        <w:t xml:space="preserve"> </w:t>
      </w:r>
      <w:r w:rsidRPr="003925CF">
        <w:rPr>
          <w:i/>
        </w:rPr>
        <w:t>Guide on Exposure to Solar Ultraviolet Radiation</w:t>
      </w:r>
      <w:r w:rsidRPr="003925CF">
        <w:t xml:space="preserve"> (UVR), Safe Work Australia, August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6D27"/>
    <w:multiLevelType w:val="hybridMultilevel"/>
    <w:tmpl w:val="66C89C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3880B27"/>
    <w:multiLevelType w:val="hybridMultilevel"/>
    <w:tmpl w:val="B028A1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AD1E4C"/>
    <w:multiLevelType w:val="hybridMultilevel"/>
    <w:tmpl w:val="0C84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AD69CE"/>
    <w:multiLevelType w:val="hybridMultilevel"/>
    <w:tmpl w:val="8BD636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601C8E"/>
    <w:multiLevelType w:val="hybridMultilevel"/>
    <w:tmpl w:val="3B905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616CE8"/>
    <w:multiLevelType w:val="hybridMultilevel"/>
    <w:tmpl w:val="82D83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F16E2D"/>
    <w:multiLevelType w:val="hybridMultilevel"/>
    <w:tmpl w:val="0032DD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D42436D"/>
    <w:multiLevelType w:val="hybridMultilevel"/>
    <w:tmpl w:val="F4FE3C62"/>
    <w:lvl w:ilvl="0" w:tplc="CE841416">
      <w:numFmt w:val="bullet"/>
      <w:lvlText w:val="-"/>
      <w:lvlJc w:val="left"/>
      <w:pPr>
        <w:ind w:left="405"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0871E6"/>
    <w:multiLevelType w:val="hybridMultilevel"/>
    <w:tmpl w:val="4F9EC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FF4BDE"/>
    <w:multiLevelType w:val="hybridMultilevel"/>
    <w:tmpl w:val="8EF82584"/>
    <w:lvl w:ilvl="0" w:tplc="CE841416">
      <w:numFmt w:val="bullet"/>
      <w:lvlText w:val="-"/>
      <w:lvlJc w:val="left"/>
      <w:pPr>
        <w:ind w:left="405"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B7484F"/>
    <w:multiLevelType w:val="hybridMultilevel"/>
    <w:tmpl w:val="1B1E98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1E4016"/>
    <w:multiLevelType w:val="hybridMultilevel"/>
    <w:tmpl w:val="AFBA1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5424B8"/>
    <w:multiLevelType w:val="hybridMultilevel"/>
    <w:tmpl w:val="DBDC0D5E"/>
    <w:lvl w:ilvl="0" w:tplc="0C090001">
      <w:start w:val="1"/>
      <w:numFmt w:val="bullet"/>
      <w:lvlText w:val=""/>
      <w:lvlJc w:val="left"/>
      <w:pPr>
        <w:ind w:left="678" w:hanging="360"/>
      </w:pPr>
      <w:rPr>
        <w:rFonts w:ascii="Symbol" w:hAnsi="Symbol" w:hint="default"/>
      </w:rPr>
    </w:lvl>
    <w:lvl w:ilvl="1" w:tplc="51AEFA10">
      <w:numFmt w:val="bullet"/>
      <w:lvlText w:val="·"/>
      <w:lvlJc w:val="left"/>
      <w:pPr>
        <w:ind w:left="1653" w:hanging="615"/>
      </w:pPr>
      <w:rPr>
        <w:rFonts w:ascii="Times New Roman" w:eastAsiaTheme="minorHAnsi" w:hAnsi="Times New Roman" w:cs="Times New Roman" w:hint="default"/>
      </w:rPr>
    </w:lvl>
    <w:lvl w:ilvl="2" w:tplc="0C090005" w:tentative="1">
      <w:start w:val="1"/>
      <w:numFmt w:val="bullet"/>
      <w:lvlText w:val=""/>
      <w:lvlJc w:val="left"/>
      <w:pPr>
        <w:ind w:left="2118" w:hanging="360"/>
      </w:pPr>
      <w:rPr>
        <w:rFonts w:ascii="Wingdings" w:hAnsi="Wingdings" w:hint="default"/>
      </w:rPr>
    </w:lvl>
    <w:lvl w:ilvl="3" w:tplc="0C090001" w:tentative="1">
      <w:start w:val="1"/>
      <w:numFmt w:val="bullet"/>
      <w:lvlText w:val=""/>
      <w:lvlJc w:val="left"/>
      <w:pPr>
        <w:ind w:left="2838" w:hanging="360"/>
      </w:pPr>
      <w:rPr>
        <w:rFonts w:ascii="Symbol" w:hAnsi="Symbol" w:hint="default"/>
      </w:rPr>
    </w:lvl>
    <w:lvl w:ilvl="4" w:tplc="0C090003" w:tentative="1">
      <w:start w:val="1"/>
      <w:numFmt w:val="bullet"/>
      <w:lvlText w:val="o"/>
      <w:lvlJc w:val="left"/>
      <w:pPr>
        <w:ind w:left="3558" w:hanging="360"/>
      </w:pPr>
      <w:rPr>
        <w:rFonts w:ascii="Courier New" w:hAnsi="Courier New" w:cs="Courier New" w:hint="default"/>
      </w:rPr>
    </w:lvl>
    <w:lvl w:ilvl="5" w:tplc="0C090005" w:tentative="1">
      <w:start w:val="1"/>
      <w:numFmt w:val="bullet"/>
      <w:lvlText w:val=""/>
      <w:lvlJc w:val="left"/>
      <w:pPr>
        <w:ind w:left="4278" w:hanging="360"/>
      </w:pPr>
      <w:rPr>
        <w:rFonts w:ascii="Wingdings" w:hAnsi="Wingdings" w:hint="default"/>
      </w:rPr>
    </w:lvl>
    <w:lvl w:ilvl="6" w:tplc="0C090001" w:tentative="1">
      <w:start w:val="1"/>
      <w:numFmt w:val="bullet"/>
      <w:lvlText w:val=""/>
      <w:lvlJc w:val="left"/>
      <w:pPr>
        <w:ind w:left="4998" w:hanging="360"/>
      </w:pPr>
      <w:rPr>
        <w:rFonts w:ascii="Symbol" w:hAnsi="Symbol" w:hint="default"/>
      </w:rPr>
    </w:lvl>
    <w:lvl w:ilvl="7" w:tplc="0C090003" w:tentative="1">
      <w:start w:val="1"/>
      <w:numFmt w:val="bullet"/>
      <w:lvlText w:val="o"/>
      <w:lvlJc w:val="left"/>
      <w:pPr>
        <w:ind w:left="5718" w:hanging="360"/>
      </w:pPr>
      <w:rPr>
        <w:rFonts w:ascii="Courier New" w:hAnsi="Courier New" w:cs="Courier New" w:hint="default"/>
      </w:rPr>
    </w:lvl>
    <w:lvl w:ilvl="8" w:tplc="0C090005" w:tentative="1">
      <w:start w:val="1"/>
      <w:numFmt w:val="bullet"/>
      <w:lvlText w:val=""/>
      <w:lvlJc w:val="left"/>
      <w:pPr>
        <w:ind w:left="6438" w:hanging="360"/>
      </w:pPr>
      <w:rPr>
        <w:rFonts w:ascii="Wingdings" w:hAnsi="Wingdings" w:hint="default"/>
      </w:rPr>
    </w:lvl>
  </w:abstractNum>
  <w:abstractNum w:abstractNumId="13" w15:restartNumberingAfterBreak="0">
    <w:nsid w:val="52764F1B"/>
    <w:multiLevelType w:val="hybridMultilevel"/>
    <w:tmpl w:val="BFA24B02"/>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4" w15:restartNumberingAfterBreak="0">
    <w:nsid w:val="5285780B"/>
    <w:multiLevelType w:val="hybridMultilevel"/>
    <w:tmpl w:val="CDA6D300"/>
    <w:lvl w:ilvl="0" w:tplc="289080BC">
      <w:start w:val="1"/>
      <w:numFmt w:val="bullet"/>
      <w:pStyle w:val="Bulle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6C721B"/>
    <w:multiLevelType w:val="hybridMultilevel"/>
    <w:tmpl w:val="76FE6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CA43E7"/>
    <w:multiLevelType w:val="hybridMultilevel"/>
    <w:tmpl w:val="8CF63F1E"/>
    <w:lvl w:ilvl="0" w:tplc="9C2CCFD2">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8E33A5E"/>
    <w:multiLevelType w:val="hybridMultilevel"/>
    <w:tmpl w:val="D03ABEDA"/>
    <w:lvl w:ilvl="0" w:tplc="02364BF0">
      <w:start w:val="1"/>
      <w:numFmt w:val="bullet"/>
      <w:pStyle w:val="Bulletpoint2"/>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AF3556F"/>
    <w:multiLevelType w:val="hybridMultilevel"/>
    <w:tmpl w:val="9F087B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741640"/>
    <w:multiLevelType w:val="multilevel"/>
    <w:tmpl w:val="FA02D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C4650B4"/>
    <w:multiLevelType w:val="multilevel"/>
    <w:tmpl w:val="90E0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
  </w:num>
  <w:num w:numId="3">
    <w:abstractNumId w:val="14"/>
  </w:num>
  <w:num w:numId="4">
    <w:abstractNumId w:val="9"/>
  </w:num>
  <w:num w:numId="5">
    <w:abstractNumId w:val="5"/>
  </w:num>
  <w:num w:numId="6">
    <w:abstractNumId w:val="10"/>
  </w:num>
  <w:num w:numId="7">
    <w:abstractNumId w:val="7"/>
  </w:num>
  <w:num w:numId="8">
    <w:abstractNumId w:val="6"/>
  </w:num>
  <w:num w:numId="9">
    <w:abstractNumId w:val="1"/>
  </w:num>
  <w:num w:numId="10">
    <w:abstractNumId w:val="18"/>
  </w:num>
  <w:num w:numId="11">
    <w:abstractNumId w:val="11"/>
  </w:num>
  <w:num w:numId="12">
    <w:abstractNumId w:val="0"/>
  </w:num>
  <w:num w:numId="13">
    <w:abstractNumId w:val="12"/>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9"/>
  </w:num>
  <w:num w:numId="17">
    <w:abstractNumId w:val="13"/>
  </w:num>
  <w:num w:numId="18">
    <w:abstractNumId w:val="17"/>
  </w:num>
  <w:num w:numId="19">
    <w:abstractNumId w:val="2"/>
  </w:num>
  <w:num w:numId="20">
    <w:abstractNumId w:val="8"/>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A4"/>
    <w:rsid w:val="0000789C"/>
    <w:rsid w:val="00010655"/>
    <w:rsid w:val="00012284"/>
    <w:rsid w:val="00031D0B"/>
    <w:rsid w:val="0004229A"/>
    <w:rsid w:val="00046EA1"/>
    <w:rsid w:val="0005078B"/>
    <w:rsid w:val="00077CD9"/>
    <w:rsid w:val="00081B05"/>
    <w:rsid w:val="0009126F"/>
    <w:rsid w:val="000B5BEC"/>
    <w:rsid w:val="000D7AD3"/>
    <w:rsid w:val="000E1EBD"/>
    <w:rsid w:val="000E4F1B"/>
    <w:rsid w:val="000E75C1"/>
    <w:rsid w:val="000F7C61"/>
    <w:rsid w:val="001046C6"/>
    <w:rsid w:val="00106BBB"/>
    <w:rsid w:val="001206C1"/>
    <w:rsid w:val="00137E4B"/>
    <w:rsid w:val="00153F96"/>
    <w:rsid w:val="001600E4"/>
    <w:rsid w:val="00172AD3"/>
    <w:rsid w:val="001A5E97"/>
    <w:rsid w:val="001B0F16"/>
    <w:rsid w:val="001B12B8"/>
    <w:rsid w:val="001F1186"/>
    <w:rsid w:val="001F4A66"/>
    <w:rsid w:val="00221118"/>
    <w:rsid w:val="00240852"/>
    <w:rsid w:val="0026611A"/>
    <w:rsid w:val="0029187F"/>
    <w:rsid w:val="002A7AEC"/>
    <w:rsid w:val="002D7CC8"/>
    <w:rsid w:val="002E5D9D"/>
    <w:rsid w:val="002E6C74"/>
    <w:rsid w:val="002F5A75"/>
    <w:rsid w:val="002F62B3"/>
    <w:rsid w:val="00321541"/>
    <w:rsid w:val="00326204"/>
    <w:rsid w:val="00327A7F"/>
    <w:rsid w:val="00331927"/>
    <w:rsid w:val="00341823"/>
    <w:rsid w:val="00356359"/>
    <w:rsid w:val="0036233A"/>
    <w:rsid w:val="0037149E"/>
    <w:rsid w:val="00382CE1"/>
    <w:rsid w:val="003876C7"/>
    <w:rsid w:val="00392039"/>
    <w:rsid w:val="003925CF"/>
    <w:rsid w:val="0039447F"/>
    <w:rsid w:val="003A361D"/>
    <w:rsid w:val="003B2202"/>
    <w:rsid w:val="003B3693"/>
    <w:rsid w:val="003C0650"/>
    <w:rsid w:val="003C6825"/>
    <w:rsid w:val="003E26C4"/>
    <w:rsid w:val="003E373E"/>
    <w:rsid w:val="003F5413"/>
    <w:rsid w:val="00406F97"/>
    <w:rsid w:val="00425925"/>
    <w:rsid w:val="00433F9F"/>
    <w:rsid w:val="004442E2"/>
    <w:rsid w:val="00452D22"/>
    <w:rsid w:val="00453A60"/>
    <w:rsid w:val="0045571C"/>
    <w:rsid w:val="004618E7"/>
    <w:rsid w:val="00461C32"/>
    <w:rsid w:val="00462122"/>
    <w:rsid w:val="00472C48"/>
    <w:rsid w:val="00484DA9"/>
    <w:rsid w:val="00490C88"/>
    <w:rsid w:val="0049163C"/>
    <w:rsid w:val="00496C1A"/>
    <w:rsid w:val="004A0D43"/>
    <w:rsid w:val="004D1AB2"/>
    <w:rsid w:val="004E5378"/>
    <w:rsid w:val="004E6F50"/>
    <w:rsid w:val="00500AA7"/>
    <w:rsid w:val="00502D18"/>
    <w:rsid w:val="00512ED9"/>
    <w:rsid w:val="0051501B"/>
    <w:rsid w:val="0052454C"/>
    <w:rsid w:val="00525362"/>
    <w:rsid w:val="00535940"/>
    <w:rsid w:val="00543C45"/>
    <w:rsid w:val="00552C76"/>
    <w:rsid w:val="005922EB"/>
    <w:rsid w:val="005A3A91"/>
    <w:rsid w:val="005A3F94"/>
    <w:rsid w:val="005B4509"/>
    <w:rsid w:val="005B78A5"/>
    <w:rsid w:val="005C2D59"/>
    <w:rsid w:val="005D1E2D"/>
    <w:rsid w:val="005F0C95"/>
    <w:rsid w:val="00631774"/>
    <w:rsid w:val="00632DAE"/>
    <w:rsid w:val="00662B92"/>
    <w:rsid w:val="0066480A"/>
    <w:rsid w:val="00680A07"/>
    <w:rsid w:val="006923F9"/>
    <w:rsid w:val="00692B6E"/>
    <w:rsid w:val="00697330"/>
    <w:rsid w:val="006A1AA4"/>
    <w:rsid w:val="006A721A"/>
    <w:rsid w:val="006B5243"/>
    <w:rsid w:val="006B6776"/>
    <w:rsid w:val="006F0E2C"/>
    <w:rsid w:val="00712325"/>
    <w:rsid w:val="007166B4"/>
    <w:rsid w:val="007171E5"/>
    <w:rsid w:val="00727A6B"/>
    <w:rsid w:val="00755D8C"/>
    <w:rsid w:val="007631BD"/>
    <w:rsid w:val="00763FD6"/>
    <w:rsid w:val="007761BE"/>
    <w:rsid w:val="007903BA"/>
    <w:rsid w:val="007A5C25"/>
    <w:rsid w:val="007D0925"/>
    <w:rsid w:val="007D0ECF"/>
    <w:rsid w:val="007E1973"/>
    <w:rsid w:val="008038BE"/>
    <w:rsid w:val="0083208B"/>
    <w:rsid w:val="00832AB6"/>
    <w:rsid w:val="00850D88"/>
    <w:rsid w:val="008564A6"/>
    <w:rsid w:val="00875AFF"/>
    <w:rsid w:val="008B05C3"/>
    <w:rsid w:val="008C2CDA"/>
    <w:rsid w:val="008E5110"/>
    <w:rsid w:val="008E6751"/>
    <w:rsid w:val="008F6B4F"/>
    <w:rsid w:val="00900F7C"/>
    <w:rsid w:val="0090739D"/>
    <w:rsid w:val="009265B4"/>
    <w:rsid w:val="00930E1B"/>
    <w:rsid w:val="009355BC"/>
    <w:rsid w:val="00941D80"/>
    <w:rsid w:val="00943D53"/>
    <w:rsid w:val="00970595"/>
    <w:rsid w:val="00984E51"/>
    <w:rsid w:val="009916D7"/>
    <w:rsid w:val="00995DF9"/>
    <w:rsid w:val="0099717D"/>
    <w:rsid w:val="009A6032"/>
    <w:rsid w:val="009B74A3"/>
    <w:rsid w:val="009B7A6F"/>
    <w:rsid w:val="009C19DF"/>
    <w:rsid w:val="009D6A55"/>
    <w:rsid w:val="009E30E5"/>
    <w:rsid w:val="00A03790"/>
    <w:rsid w:val="00A0509F"/>
    <w:rsid w:val="00A21FEE"/>
    <w:rsid w:val="00A25E9A"/>
    <w:rsid w:val="00A54ADE"/>
    <w:rsid w:val="00A56F26"/>
    <w:rsid w:val="00A57D9F"/>
    <w:rsid w:val="00A6505B"/>
    <w:rsid w:val="00A7179E"/>
    <w:rsid w:val="00A7272F"/>
    <w:rsid w:val="00A72FA4"/>
    <w:rsid w:val="00A74DD5"/>
    <w:rsid w:val="00A847C6"/>
    <w:rsid w:val="00A908CC"/>
    <w:rsid w:val="00A93185"/>
    <w:rsid w:val="00AA251E"/>
    <w:rsid w:val="00AA6529"/>
    <w:rsid w:val="00AC44DB"/>
    <w:rsid w:val="00AD3694"/>
    <w:rsid w:val="00AD6878"/>
    <w:rsid w:val="00AD6A78"/>
    <w:rsid w:val="00AE4644"/>
    <w:rsid w:val="00AF5A30"/>
    <w:rsid w:val="00B021F0"/>
    <w:rsid w:val="00B04493"/>
    <w:rsid w:val="00B2799C"/>
    <w:rsid w:val="00B31264"/>
    <w:rsid w:val="00B3376B"/>
    <w:rsid w:val="00B36BCD"/>
    <w:rsid w:val="00B40B15"/>
    <w:rsid w:val="00B53F88"/>
    <w:rsid w:val="00B549CE"/>
    <w:rsid w:val="00B54A34"/>
    <w:rsid w:val="00B603D7"/>
    <w:rsid w:val="00B65B20"/>
    <w:rsid w:val="00B71A70"/>
    <w:rsid w:val="00B722BA"/>
    <w:rsid w:val="00B803BC"/>
    <w:rsid w:val="00B85A13"/>
    <w:rsid w:val="00B8729E"/>
    <w:rsid w:val="00B921AD"/>
    <w:rsid w:val="00B92CD5"/>
    <w:rsid w:val="00BA407B"/>
    <w:rsid w:val="00BB0549"/>
    <w:rsid w:val="00BB2418"/>
    <w:rsid w:val="00BB25BE"/>
    <w:rsid w:val="00BC2046"/>
    <w:rsid w:val="00BC7FB2"/>
    <w:rsid w:val="00BD2BD0"/>
    <w:rsid w:val="00BD3693"/>
    <w:rsid w:val="00BD7707"/>
    <w:rsid w:val="00C0675B"/>
    <w:rsid w:val="00C10342"/>
    <w:rsid w:val="00C146EF"/>
    <w:rsid w:val="00C17520"/>
    <w:rsid w:val="00C73B71"/>
    <w:rsid w:val="00C86008"/>
    <w:rsid w:val="00C86676"/>
    <w:rsid w:val="00C93EA5"/>
    <w:rsid w:val="00CB52A6"/>
    <w:rsid w:val="00D02B17"/>
    <w:rsid w:val="00D041E5"/>
    <w:rsid w:val="00D202E5"/>
    <w:rsid w:val="00D47682"/>
    <w:rsid w:val="00D52794"/>
    <w:rsid w:val="00D553FC"/>
    <w:rsid w:val="00D55FDC"/>
    <w:rsid w:val="00D564D4"/>
    <w:rsid w:val="00D6082D"/>
    <w:rsid w:val="00D87DE2"/>
    <w:rsid w:val="00D90E7A"/>
    <w:rsid w:val="00DC1852"/>
    <w:rsid w:val="00DC1BA1"/>
    <w:rsid w:val="00E020D8"/>
    <w:rsid w:val="00E27452"/>
    <w:rsid w:val="00E44390"/>
    <w:rsid w:val="00E52FB3"/>
    <w:rsid w:val="00E643E6"/>
    <w:rsid w:val="00E742B5"/>
    <w:rsid w:val="00E8199F"/>
    <w:rsid w:val="00E873C8"/>
    <w:rsid w:val="00E87A89"/>
    <w:rsid w:val="00E904B9"/>
    <w:rsid w:val="00E919D4"/>
    <w:rsid w:val="00EA681D"/>
    <w:rsid w:val="00EA6D4B"/>
    <w:rsid w:val="00EA7112"/>
    <w:rsid w:val="00EA75F9"/>
    <w:rsid w:val="00ED0D19"/>
    <w:rsid w:val="00EE0C77"/>
    <w:rsid w:val="00EE3BD5"/>
    <w:rsid w:val="00EE59F5"/>
    <w:rsid w:val="00F003A5"/>
    <w:rsid w:val="00F01F09"/>
    <w:rsid w:val="00F06814"/>
    <w:rsid w:val="00F12966"/>
    <w:rsid w:val="00F35B77"/>
    <w:rsid w:val="00F417A7"/>
    <w:rsid w:val="00F446FE"/>
    <w:rsid w:val="00F52BE3"/>
    <w:rsid w:val="00F61201"/>
    <w:rsid w:val="00F863C3"/>
    <w:rsid w:val="00F963F9"/>
    <w:rsid w:val="00F9750B"/>
    <w:rsid w:val="00FB7C19"/>
    <w:rsid w:val="00FD63F9"/>
    <w:rsid w:val="00FE0459"/>
    <w:rsid w:val="00FE10E6"/>
    <w:rsid w:val="00FF40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24180E"/>
  <w15:docId w15:val="{7227E5F7-65F6-4102-A0FF-63C56C00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BD5"/>
    <w:pPr>
      <w:spacing w:before="120" w:after="120" w:line="240" w:lineRule="auto"/>
    </w:pPr>
    <w:rPr>
      <w:rFonts w:ascii="Times New Roman" w:hAnsi="Times New Roman"/>
      <w:sz w:val="24"/>
    </w:rPr>
  </w:style>
  <w:style w:type="paragraph" w:styleId="Heading1">
    <w:name w:val="heading 1"/>
    <w:next w:val="Normal"/>
    <w:link w:val="Heading1Char"/>
    <w:uiPriority w:val="9"/>
    <w:qFormat/>
    <w:rsid w:val="00EE3BD5"/>
    <w:pPr>
      <w:outlineLvl w:val="0"/>
    </w:pPr>
    <w:rPr>
      <w:rFonts w:ascii="Times New Roman" w:eastAsiaTheme="majorEastAsia" w:hAnsi="Times New Roman" w:cstheme="majorBidi"/>
      <w:b/>
      <w:bCs/>
      <w:sz w:val="26"/>
      <w:szCs w:val="26"/>
    </w:rPr>
  </w:style>
  <w:style w:type="paragraph" w:styleId="Heading2">
    <w:name w:val="heading 2"/>
    <w:basedOn w:val="Heading1"/>
    <w:next w:val="Normal"/>
    <w:link w:val="Heading2Char"/>
    <w:uiPriority w:val="9"/>
    <w:unhideWhenUsed/>
    <w:qFormat/>
    <w:rsid w:val="00EE3BD5"/>
    <w:pPr>
      <w:keepNext/>
      <w:keepLines/>
      <w:spacing w:before="120" w:after="0" w:line="240" w:lineRule="auto"/>
      <w:outlineLvl w:val="1"/>
    </w:pPr>
    <w:rPr>
      <w:bCs w:val="0"/>
      <w:sz w:val="24"/>
    </w:rPr>
  </w:style>
  <w:style w:type="paragraph" w:styleId="Heading3">
    <w:name w:val="heading 3"/>
    <w:basedOn w:val="Heading2"/>
    <w:next w:val="Normal"/>
    <w:link w:val="Heading3Char"/>
    <w:uiPriority w:val="9"/>
    <w:unhideWhenUsed/>
    <w:qFormat/>
    <w:rsid w:val="00EE3BD5"/>
    <w:pPr>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1E2D"/>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5D1E2D"/>
    <w:pPr>
      <w:ind w:left="720"/>
      <w:contextualSpacing/>
    </w:pPr>
  </w:style>
  <w:style w:type="character" w:styleId="Hyperlink">
    <w:name w:val="Hyperlink"/>
    <w:basedOn w:val="DefaultParagraphFont"/>
    <w:uiPriority w:val="99"/>
    <w:unhideWhenUsed/>
    <w:rsid w:val="00012284"/>
    <w:rPr>
      <w:color w:val="0000FF" w:themeColor="hyperlink"/>
      <w:u w:val="single"/>
    </w:rPr>
  </w:style>
  <w:style w:type="paragraph" w:styleId="BalloonText">
    <w:name w:val="Balloon Text"/>
    <w:basedOn w:val="Normal"/>
    <w:link w:val="BalloonTextChar"/>
    <w:uiPriority w:val="99"/>
    <w:semiHidden/>
    <w:unhideWhenUsed/>
    <w:rsid w:val="009B74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4A3"/>
    <w:rPr>
      <w:rFonts w:ascii="Tahoma" w:hAnsi="Tahoma" w:cs="Tahoma"/>
      <w:sz w:val="16"/>
      <w:szCs w:val="16"/>
    </w:rPr>
  </w:style>
  <w:style w:type="paragraph" w:styleId="FootnoteText">
    <w:name w:val="footnote text"/>
    <w:aliases w:val="Table/Chart Ref,Footnote Text Char1 Char,Footnote Text Char Char1 Char,Footnote Text Char Char Char Char Char1,Char Char,Footnote Text Char Char Char,Footnote Text Char Char Char Char"/>
    <w:basedOn w:val="Normal"/>
    <w:link w:val="FootnoteTextChar"/>
    <w:uiPriority w:val="99"/>
    <w:semiHidden/>
    <w:unhideWhenUsed/>
    <w:rsid w:val="008564A6"/>
    <w:pPr>
      <w:spacing w:after="0"/>
    </w:pPr>
    <w:rPr>
      <w:sz w:val="20"/>
      <w:szCs w:val="20"/>
    </w:rPr>
  </w:style>
  <w:style w:type="character" w:customStyle="1" w:styleId="FootnoteTextChar">
    <w:name w:val="Footnote Text Char"/>
    <w:aliases w:val="Table/Chart Ref Char,Footnote Text Char1 Char Char,Footnote Text Char Char1 Char Char,Footnote Text Char Char Char Char Char1 Char,Char Char Char,Footnote Text Char Char Char Char1,Footnote Text Char Char Char Char Char"/>
    <w:basedOn w:val="DefaultParagraphFont"/>
    <w:link w:val="FootnoteText"/>
    <w:uiPriority w:val="99"/>
    <w:semiHidden/>
    <w:rsid w:val="008564A6"/>
    <w:rPr>
      <w:sz w:val="20"/>
      <w:szCs w:val="20"/>
    </w:rPr>
  </w:style>
  <w:style w:type="character" w:styleId="FootnoteReference">
    <w:name w:val="footnote reference"/>
    <w:basedOn w:val="DefaultParagraphFont"/>
    <w:uiPriority w:val="99"/>
    <w:semiHidden/>
    <w:unhideWhenUsed/>
    <w:rsid w:val="008564A6"/>
    <w:rPr>
      <w:vertAlign w:val="superscript"/>
    </w:rPr>
  </w:style>
  <w:style w:type="character" w:styleId="CommentReference">
    <w:name w:val="annotation reference"/>
    <w:basedOn w:val="DefaultParagraphFont"/>
    <w:uiPriority w:val="99"/>
    <w:semiHidden/>
    <w:unhideWhenUsed/>
    <w:rsid w:val="00F01F09"/>
    <w:rPr>
      <w:sz w:val="16"/>
      <w:szCs w:val="16"/>
    </w:rPr>
  </w:style>
  <w:style w:type="paragraph" w:styleId="CommentText">
    <w:name w:val="annotation text"/>
    <w:basedOn w:val="Normal"/>
    <w:link w:val="CommentTextChar"/>
    <w:uiPriority w:val="99"/>
    <w:semiHidden/>
    <w:unhideWhenUsed/>
    <w:rsid w:val="00F01F09"/>
    <w:rPr>
      <w:sz w:val="20"/>
      <w:szCs w:val="20"/>
    </w:rPr>
  </w:style>
  <w:style w:type="character" w:customStyle="1" w:styleId="CommentTextChar">
    <w:name w:val="Comment Text Char"/>
    <w:basedOn w:val="DefaultParagraphFont"/>
    <w:link w:val="CommentText"/>
    <w:uiPriority w:val="99"/>
    <w:semiHidden/>
    <w:rsid w:val="00F01F09"/>
    <w:rPr>
      <w:sz w:val="20"/>
      <w:szCs w:val="20"/>
    </w:rPr>
  </w:style>
  <w:style w:type="paragraph" w:styleId="CommentSubject">
    <w:name w:val="annotation subject"/>
    <w:basedOn w:val="CommentText"/>
    <w:next w:val="CommentText"/>
    <w:link w:val="CommentSubjectChar"/>
    <w:uiPriority w:val="99"/>
    <w:semiHidden/>
    <w:unhideWhenUsed/>
    <w:rsid w:val="00F01F09"/>
    <w:rPr>
      <w:b/>
      <w:bCs/>
    </w:rPr>
  </w:style>
  <w:style w:type="character" w:customStyle="1" w:styleId="CommentSubjectChar">
    <w:name w:val="Comment Subject Char"/>
    <w:basedOn w:val="CommentTextChar"/>
    <w:link w:val="CommentSubject"/>
    <w:uiPriority w:val="99"/>
    <w:semiHidden/>
    <w:rsid w:val="00F01F09"/>
    <w:rPr>
      <w:b/>
      <w:bCs/>
      <w:sz w:val="20"/>
      <w:szCs w:val="20"/>
    </w:rPr>
  </w:style>
  <w:style w:type="paragraph" w:customStyle="1" w:styleId="NumbPara-Bullet-1stLevel">
    <w:name w:val="Numb Para - Bullet - 1st Level"/>
    <w:basedOn w:val="Normal"/>
    <w:rsid w:val="009C19DF"/>
    <w:pPr>
      <w:tabs>
        <w:tab w:val="num" w:pos="1134"/>
      </w:tabs>
      <w:ind w:left="1134" w:hanging="340"/>
    </w:pPr>
    <w:rPr>
      <w:rFonts w:ascii="Arial" w:eastAsia="Times New Roman" w:hAnsi="Arial" w:cs="Arial"/>
      <w:sz w:val="20"/>
      <w:szCs w:val="20"/>
    </w:rPr>
  </w:style>
  <w:style w:type="paragraph" w:styleId="NormalWeb">
    <w:name w:val="Normal (Web)"/>
    <w:basedOn w:val="Normal"/>
    <w:uiPriority w:val="99"/>
    <w:unhideWhenUsed/>
    <w:rsid w:val="009B7A6F"/>
    <w:pPr>
      <w:spacing w:before="100" w:beforeAutospacing="1" w:after="100" w:afterAutospacing="1"/>
    </w:pPr>
    <w:rPr>
      <w:rFonts w:eastAsia="Times New Roman" w:cs="Times New Roman"/>
      <w:szCs w:val="24"/>
      <w:lang w:eastAsia="en-AU"/>
    </w:rPr>
  </w:style>
  <w:style w:type="paragraph" w:styleId="Header">
    <w:name w:val="header"/>
    <w:basedOn w:val="Normal"/>
    <w:link w:val="HeaderChar"/>
    <w:uiPriority w:val="99"/>
    <w:unhideWhenUsed/>
    <w:rsid w:val="00662B92"/>
    <w:pPr>
      <w:tabs>
        <w:tab w:val="center" w:pos="4513"/>
        <w:tab w:val="right" w:pos="9026"/>
      </w:tabs>
      <w:spacing w:after="0"/>
    </w:pPr>
  </w:style>
  <w:style w:type="character" w:customStyle="1" w:styleId="HeaderChar">
    <w:name w:val="Header Char"/>
    <w:basedOn w:val="DefaultParagraphFont"/>
    <w:link w:val="Header"/>
    <w:uiPriority w:val="99"/>
    <w:rsid w:val="00662B92"/>
  </w:style>
  <w:style w:type="paragraph" w:styleId="Footer">
    <w:name w:val="footer"/>
    <w:basedOn w:val="Normal"/>
    <w:link w:val="FooterChar"/>
    <w:uiPriority w:val="99"/>
    <w:unhideWhenUsed/>
    <w:rsid w:val="00662B92"/>
    <w:pPr>
      <w:tabs>
        <w:tab w:val="center" w:pos="4513"/>
        <w:tab w:val="right" w:pos="9026"/>
      </w:tabs>
      <w:spacing w:after="0"/>
    </w:pPr>
  </w:style>
  <w:style w:type="character" w:customStyle="1" w:styleId="FooterChar">
    <w:name w:val="Footer Char"/>
    <w:basedOn w:val="DefaultParagraphFont"/>
    <w:link w:val="Footer"/>
    <w:uiPriority w:val="99"/>
    <w:rsid w:val="00662B92"/>
  </w:style>
  <w:style w:type="character" w:customStyle="1" w:styleId="apple-converted-space">
    <w:name w:val="apple-converted-space"/>
    <w:basedOn w:val="DefaultParagraphFont"/>
    <w:rsid w:val="00F61201"/>
  </w:style>
  <w:style w:type="character" w:styleId="Emphasis">
    <w:name w:val="Emphasis"/>
    <w:basedOn w:val="DefaultParagraphFont"/>
    <w:uiPriority w:val="20"/>
    <w:qFormat/>
    <w:rsid w:val="00F61201"/>
    <w:rPr>
      <w:i/>
      <w:iCs/>
    </w:rPr>
  </w:style>
  <w:style w:type="paragraph" w:styleId="Title">
    <w:name w:val="Title"/>
    <w:basedOn w:val="Normal"/>
    <w:next w:val="Normal"/>
    <w:link w:val="TitleChar"/>
    <w:uiPriority w:val="10"/>
    <w:qFormat/>
    <w:rsid w:val="003E26C4"/>
    <w:pPr>
      <w:spacing w:after="300"/>
      <w:jc w:val="center"/>
    </w:pPr>
    <w:rPr>
      <w:rFonts w:eastAsiaTheme="majorEastAsia" w:cstheme="majorBidi"/>
      <w:spacing w:val="5"/>
      <w:kern w:val="28"/>
      <w:sz w:val="32"/>
      <w:szCs w:val="52"/>
    </w:rPr>
  </w:style>
  <w:style w:type="character" w:customStyle="1" w:styleId="TitleChar">
    <w:name w:val="Title Char"/>
    <w:basedOn w:val="DefaultParagraphFont"/>
    <w:link w:val="Title"/>
    <w:uiPriority w:val="10"/>
    <w:rsid w:val="003E26C4"/>
    <w:rPr>
      <w:rFonts w:ascii="Times New Roman" w:eastAsiaTheme="majorEastAsia" w:hAnsi="Times New Roman" w:cstheme="majorBidi"/>
      <w:spacing w:val="5"/>
      <w:kern w:val="28"/>
      <w:sz w:val="32"/>
      <w:szCs w:val="52"/>
    </w:rPr>
  </w:style>
  <w:style w:type="paragraph" w:customStyle="1" w:styleId="Titlepagetext">
    <w:name w:val="Title page text"/>
    <w:basedOn w:val="Normal"/>
    <w:qFormat/>
    <w:rsid w:val="00FD63F9"/>
    <w:pPr>
      <w:spacing w:before="8520" w:after="100" w:afterAutospacing="1"/>
      <w:jc w:val="right"/>
    </w:pPr>
  </w:style>
  <w:style w:type="character" w:customStyle="1" w:styleId="Heading1Char">
    <w:name w:val="Heading 1 Char"/>
    <w:basedOn w:val="DefaultParagraphFont"/>
    <w:link w:val="Heading1"/>
    <w:uiPriority w:val="9"/>
    <w:rsid w:val="00EE3BD5"/>
    <w:rPr>
      <w:rFonts w:ascii="Times New Roman" w:eastAsiaTheme="majorEastAsia" w:hAnsi="Times New Roman" w:cstheme="majorBidi"/>
      <w:b/>
      <w:bCs/>
      <w:sz w:val="26"/>
      <w:szCs w:val="26"/>
    </w:rPr>
  </w:style>
  <w:style w:type="character" w:customStyle="1" w:styleId="Heading2Char">
    <w:name w:val="Heading 2 Char"/>
    <w:basedOn w:val="DefaultParagraphFont"/>
    <w:link w:val="Heading2"/>
    <w:uiPriority w:val="9"/>
    <w:rsid w:val="00EE3BD5"/>
    <w:rPr>
      <w:rFonts w:ascii="Times New Roman" w:eastAsiaTheme="majorEastAsia" w:hAnsi="Times New Roman" w:cstheme="majorBidi"/>
      <w:b/>
      <w:sz w:val="24"/>
      <w:szCs w:val="26"/>
    </w:rPr>
  </w:style>
  <w:style w:type="paragraph" w:customStyle="1" w:styleId="Bulletpoint1">
    <w:name w:val="Bullet point 1"/>
    <w:basedOn w:val="NumbPara-Bullet-1stLevel"/>
    <w:qFormat/>
    <w:rsid w:val="00832AB6"/>
    <w:pPr>
      <w:numPr>
        <w:numId w:val="3"/>
      </w:numPr>
      <w:spacing w:after="0" w:line="276" w:lineRule="auto"/>
      <w:ind w:left="357" w:hanging="357"/>
    </w:pPr>
    <w:rPr>
      <w:rFonts w:ascii="Times New Roman" w:hAnsi="Times New Roman" w:cs="Times New Roman"/>
      <w:sz w:val="24"/>
    </w:rPr>
  </w:style>
  <w:style w:type="paragraph" w:customStyle="1" w:styleId="Bulletpoint2">
    <w:name w:val="Bullet point 2"/>
    <w:basedOn w:val="Bulletpoint1"/>
    <w:next w:val="Normal"/>
    <w:qFormat/>
    <w:rsid w:val="00B36BCD"/>
    <w:pPr>
      <w:numPr>
        <w:numId w:val="18"/>
      </w:numPr>
      <w:ind w:left="1080"/>
    </w:pPr>
  </w:style>
  <w:style w:type="character" w:customStyle="1" w:styleId="Heading3Char">
    <w:name w:val="Heading 3 Char"/>
    <w:basedOn w:val="DefaultParagraphFont"/>
    <w:link w:val="Heading3"/>
    <w:uiPriority w:val="9"/>
    <w:rsid w:val="00EE3BD5"/>
    <w:rPr>
      <w:rFonts w:ascii="Times New Roman" w:eastAsiaTheme="majorEastAsia" w:hAnsi="Times New Roman"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6049">
      <w:bodyDiv w:val="1"/>
      <w:marLeft w:val="0"/>
      <w:marRight w:val="0"/>
      <w:marTop w:val="0"/>
      <w:marBottom w:val="0"/>
      <w:divBdr>
        <w:top w:val="none" w:sz="0" w:space="0" w:color="auto"/>
        <w:left w:val="none" w:sz="0" w:space="0" w:color="auto"/>
        <w:bottom w:val="none" w:sz="0" w:space="0" w:color="auto"/>
        <w:right w:val="none" w:sz="0" w:space="0" w:color="auto"/>
      </w:divBdr>
    </w:div>
    <w:div w:id="64492422">
      <w:bodyDiv w:val="1"/>
      <w:marLeft w:val="0"/>
      <w:marRight w:val="0"/>
      <w:marTop w:val="0"/>
      <w:marBottom w:val="0"/>
      <w:divBdr>
        <w:top w:val="none" w:sz="0" w:space="0" w:color="auto"/>
        <w:left w:val="none" w:sz="0" w:space="0" w:color="auto"/>
        <w:bottom w:val="none" w:sz="0" w:space="0" w:color="auto"/>
        <w:right w:val="none" w:sz="0" w:space="0" w:color="auto"/>
      </w:divBdr>
    </w:div>
    <w:div w:id="136193537">
      <w:bodyDiv w:val="1"/>
      <w:marLeft w:val="0"/>
      <w:marRight w:val="0"/>
      <w:marTop w:val="0"/>
      <w:marBottom w:val="0"/>
      <w:divBdr>
        <w:top w:val="none" w:sz="0" w:space="0" w:color="auto"/>
        <w:left w:val="none" w:sz="0" w:space="0" w:color="auto"/>
        <w:bottom w:val="none" w:sz="0" w:space="0" w:color="auto"/>
        <w:right w:val="none" w:sz="0" w:space="0" w:color="auto"/>
      </w:divBdr>
    </w:div>
    <w:div w:id="187761680">
      <w:bodyDiv w:val="1"/>
      <w:marLeft w:val="0"/>
      <w:marRight w:val="0"/>
      <w:marTop w:val="0"/>
      <w:marBottom w:val="0"/>
      <w:divBdr>
        <w:top w:val="none" w:sz="0" w:space="0" w:color="auto"/>
        <w:left w:val="none" w:sz="0" w:space="0" w:color="auto"/>
        <w:bottom w:val="none" w:sz="0" w:space="0" w:color="auto"/>
        <w:right w:val="none" w:sz="0" w:space="0" w:color="auto"/>
      </w:divBdr>
    </w:div>
    <w:div w:id="213153229">
      <w:bodyDiv w:val="1"/>
      <w:marLeft w:val="0"/>
      <w:marRight w:val="0"/>
      <w:marTop w:val="0"/>
      <w:marBottom w:val="0"/>
      <w:divBdr>
        <w:top w:val="none" w:sz="0" w:space="0" w:color="auto"/>
        <w:left w:val="none" w:sz="0" w:space="0" w:color="auto"/>
        <w:bottom w:val="none" w:sz="0" w:space="0" w:color="auto"/>
        <w:right w:val="none" w:sz="0" w:space="0" w:color="auto"/>
      </w:divBdr>
    </w:div>
    <w:div w:id="331684017">
      <w:bodyDiv w:val="1"/>
      <w:marLeft w:val="0"/>
      <w:marRight w:val="0"/>
      <w:marTop w:val="0"/>
      <w:marBottom w:val="0"/>
      <w:divBdr>
        <w:top w:val="none" w:sz="0" w:space="0" w:color="auto"/>
        <w:left w:val="none" w:sz="0" w:space="0" w:color="auto"/>
        <w:bottom w:val="none" w:sz="0" w:space="0" w:color="auto"/>
        <w:right w:val="none" w:sz="0" w:space="0" w:color="auto"/>
      </w:divBdr>
    </w:div>
    <w:div w:id="332607506">
      <w:bodyDiv w:val="1"/>
      <w:marLeft w:val="0"/>
      <w:marRight w:val="0"/>
      <w:marTop w:val="0"/>
      <w:marBottom w:val="0"/>
      <w:divBdr>
        <w:top w:val="none" w:sz="0" w:space="0" w:color="auto"/>
        <w:left w:val="none" w:sz="0" w:space="0" w:color="auto"/>
        <w:bottom w:val="none" w:sz="0" w:space="0" w:color="auto"/>
        <w:right w:val="none" w:sz="0" w:space="0" w:color="auto"/>
      </w:divBdr>
    </w:div>
    <w:div w:id="666593994">
      <w:bodyDiv w:val="1"/>
      <w:marLeft w:val="0"/>
      <w:marRight w:val="0"/>
      <w:marTop w:val="0"/>
      <w:marBottom w:val="0"/>
      <w:divBdr>
        <w:top w:val="none" w:sz="0" w:space="0" w:color="auto"/>
        <w:left w:val="none" w:sz="0" w:space="0" w:color="auto"/>
        <w:bottom w:val="none" w:sz="0" w:space="0" w:color="auto"/>
        <w:right w:val="none" w:sz="0" w:space="0" w:color="auto"/>
      </w:divBdr>
    </w:div>
    <w:div w:id="866529192">
      <w:bodyDiv w:val="1"/>
      <w:marLeft w:val="0"/>
      <w:marRight w:val="0"/>
      <w:marTop w:val="0"/>
      <w:marBottom w:val="0"/>
      <w:divBdr>
        <w:top w:val="none" w:sz="0" w:space="0" w:color="auto"/>
        <w:left w:val="none" w:sz="0" w:space="0" w:color="auto"/>
        <w:bottom w:val="none" w:sz="0" w:space="0" w:color="auto"/>
        <w:right w:val="none" w:sz="0" w:space="0" w:color="auto"/>
      </w:divBdr>
    </w:div>
    <w:div w:id="991565456">
      <w:bodyDiv w:val="1"/>
      <w:marLeft w:val="0"/>
      <w:marRight w:val="0"/>
      <w:marTop w:val="0"/>
      <w:marBottom w:val="0"/>
      <w:divBdr>
        <w:top w:val="none" w:sz="0" w:space="0" w:color="auto"/>
        <w:left w:val="none" w:sz="0" w:space="0" w:color="auto"/>
        <w:bottom w:val="none" w:sz="0" w:space="0" w:color="auto"/>
        <w:right w:val="none" w:sz="0" w:space="0" w:color="auto"/>
      </w:divBdr>
    </w:div>
    <w:div w:id="998801170">
      <w:bodyDiv w:val="1"/>
      <w:marLeft w:val="0"/>
      <w:marRight w:val="0"/>
      <w:marTop w:val="0"/>
      <w:marBottom w:val="0"/>
      <w:divBdr>
        <w:top w:val="none" w:sz="0" w:space="0" w:color="auto"/>
        <w:left w:val="none" w:sz="0" w:space="0" w:color="auto"/>
        <w:bottom w:val="none" w:sz="0" w:space="0" w:color="auto"/>
        <w:right w:val="none" w:sz="0" w:space="0" w:color="auto"/>
      </w:divBdr>
    </w:div>
    <w:div w:id="1130590353">
      <w:bodyDiv w:val="1"/>
      <w:marLeft w:val="0"/>
      <w:marRight w:val="0"/>
      <w:marTop w:val="0"/>
      <w:marBottom w:val="0"/>
      <w:divBdr>
        <w:top w:val="none" w:sz="0" w:space="0" w:color="auto"/>
        <w:left w:val="none" w:sz="0" w:space="0" w:color="auto"/>
        <w:bottom w:val="none" w:sz="0" w:space="0" w:color="auto"/>
        <w:right w:val="none" w:sz="0" w:space="0" w:color="auto"/>
      </w:divBdr>
    </w:div>
    <w:div w:id="1240167583">
      <w:bodyDiv w:val="1"/>
      <w:marLeft w:val="0"/>
      <w:marRight w:val="0"/>
      <w:marTop w:val="0"/>
      <w:marBottom w:val="0"/>
      <w:divBdr>
        <w:top w:val="none" w:sz="0" w:space="0" w:color="auto"/>
        <w:left w:val="none" w:sz="0" w:space="0" w:color="auto"/>
        <w:bottom w:val="none" w:sz="0" w:space="0" w:color="auto"/>
        <w:right w:val="none" w:sz="0" w:space="0" w:color="auto"/>
      </w:divBdr>
    </w:div>
    <w:div w:id="1555695907">
      <w:bodyDiv w:val="1"/>
      <w:marLeft w:val="0"/>
      <w:marRight w:val="0"/>
      <w:marTop w:val="0"/>
      <w:marBottom w:val="0"/>
      <w:divBdr>
        <w:top w:val="none" w:sz="0" w:space="0" w:color="auto"/>
        <w:left w:val="none" w:sz="0" w:space="0" w:color="auto"/>
        <w:bottom w:val="none" w:sz="0" w:space="0" w:color="auto"/>
        <w:right w:val="none" w:sz="0" w:space="0" w:color="auto"/>
      </w:divBdr>
    </w:div>
    <w:div w:id="1591815047">
      <w:bodyDiv w:val="1"/>
      <w:marLeft w:val="0"/>
      <w:marRight w:val="0"/>
      <w:marTop w:val="0"/>
      <w:marBottom w:val="0"/>
      <w:divBdr>
        <w:top w:val="none" w:sz="0" w:space="0" w:color="auto"/>
        <w:left w:val="none" w:sz="0" w:space="0" w:color="auto"/>
        <w:bottom w:val="none" w:sz="0" w:space="0" w:color="auto"/>
        <w:right w:val="none" w:sz="0" w:space="0" w:color="auto"/>
      </w:divBdr>
    </w:div>
    <w:div w:id="1611820796">
      <w:bodyDiv w:val="1"/>
      <w:marLeft w:val="0"/>
      <w:marRight w:val="0"/>
      <w:marTop w:val="0"/>
      <w:marBottom w:val="0"/>
      <w:divBdr>
        <w:top w:val="none" w:sz="0" w:space="0" w:color="auto"/>
        <w:left w:val="none" w:sz="0" w:space="0" w:color="auto"/>
        <w:bottom w:val="none" w:sz="0" w:space="0" w:color="auto"/>
        <w:right w:val="none" w:sz="0" w:space="0" w:color="auto"/>
      </w:divBdr>
    </w:div>
    <w:div w:id="1619294499">
      <w:bodyDiv w:val="1"/>
      <w:marLeft w:val="0"/>
      <w:marRight w:val="0"/>
      <w:marTop w:val="0"/>
      <w:marBottom w:val="0"/>
      <w:divBdr>
        <w:top w:val="none" w:sz="0" w:space="0" w:color="auto"/>
        <w:left w:val="none" w:sz="0" w:space="0" w:color="auto"/>
        <w:bottom w:val="none" w:sz="0" w:space="0" w:color="auto"/>
        <w:right w:val="none" w:sz="0" w:space="0" w:color="auto"/>
      </w:divBdr>
    </w:div>
    <w:div w:id="1661812058">
      <w:bodyDiv w:val="1"/>
      <w:marLeft w:val="0"/>
      <w:marRight w:val="0"/>
      <w:marTop w:val="0"/>
      <w:marBottom w:val="0"/>
      <w:divBdr>
        <w:top w:val="none" w:sz="0" w:space="0" w:color="auto"/>
        <w:left w:val="none" w:sz="0" w:space="0" w:color="auto"/>
        <w:bottom w:val="none" w:sz="0" w:space="0" w:color="auto"/>
        <w:right w:val="none" w:sz="0" w:space="0" w:color="auto"/>
      </w:divBdr>
    </w:div>
    <w:div w:id="1718578508">
      <w:bodyDiv w:val="1"/>
      <w:marLeft w:val="0"/>
      <w:marRight w:val="0"/>
      <w:marTop w:val="0"/>
      <w:marBottom w:val="0"/>
      <w:divBdr>
        <w:top w:val="none" w:sz="0" w:space="0" w:color="auto"/>
        <w:left w:val="none" w:sz="0" w:space="0" w:color="auto"/>
        <w:bottom w:val="none" w:sz="0" w:space="0" w:color="auto"/>
        <w:right w:val="none" w:sz="0" w:space="0" w:color="auto"/>
      </w:divBdr>
      <w:divsChild>
        <w:div w:id="1257792071">
          <w:marLeft w:val="0"/>
          <w:marRight w:val="0"/>
          <w:marTop w:val="0"/>
          <w:marBottom w:val="0"/>
          <w:divBdr>
            <w:top w:val="none" w:sz="0" w:space="0" w:color="auto"/>
            <w:left w:val="none" w:sz="0" w:space="0" w:color="auto"/>
            <w:bottom w:val="none" w:sz="0" w:space="0" w:color="auto"/>
            <w:right w:val="none" w:sz="0" w:space="0" w:color="auto"/>
          </w:divBdr>
          <w:divsChild>
            <w:div w:id="1550654258">
              <w:marLeft w:val="0"/>
              <w:marRight w:val="0"/>
              <w:marTop w:val="0"/>
              <w:marBottom w:val="4500"/>
              <w:divBdr>
                <w:top w:val="none" w:sz="0" w:space="0" w:color="auto"/>
                <w:left w:val="none" w:sz="0" w:space="0" w:color="auto"/>
                <w:bottom w:val="none" w:sz="0" w:space="0" w:color="auto"/>
                <w:right w:val="none" w:sz="0" w:space="0" w:color="auto"/>
              </w:divBdr>
              <w:divsChild>
                <w:div w:id="1260480552">
                  <w:marLeft w:val="0"/>
                  <w:marRight w:val="0"/>
                  <w:marTop w:val="0"/>
                  <w:marBottom w:val="0"/>
                  <w:divBdr>
                    <w:top w:val="none" w:sz="0" w:space="0" w:color="auto"/>
                    <w:left w:val="none" w:sz="0" w:space="0" w:color="auto"/>
                    <w:bottom w:val="none" w:sz="0" w:space="0" w:color="auto"/>
                    <w:right w:val="none" w:sz="0" w:space="0" w:color="auto"/>
                  </w:divBdr>
                  <w:divsChild>
                    <w:div w:id="1187645119">
                      <w:marLeft w:val="0"/>
                      <w:marRight w:val="0"/>
                      <w:marTop w:val="0"/>
                      <w:marBottom w:val="0"/>
                      <w:divBdr>
                        <w:top w:val="none" w:sz="0" w:space="0" w:color="auto"/>
                        <w:left w:val="none" w:sz="0" w:space="0" w:color="auto"/>
                        <w:bottom w:val="none" w:sz="0" w:space="0" w:color="auto"/>
                        <w:right w:val="none" w:sz="0" w:space="0" w:color="auto"/>
                      </w:divBdr>
                      <w:divsChild>
                        <w:div w:id="1955822129">
                          <w:marLeft w:val="0"/>
                          <w:marRight w:val="0"/>
                          <w:marTop w:val="0"/>
                          <w:marBottom w:val="0"/>
                          <w:divBdr>
                            <w:top w:val="none" w:sz="0" w:space="0" w:color="auto"/>
                            <w:left w:val="none" w:sz="0" w:space="0" w:color="auto"/>
                            <w:bottom w:val="none" w:sz="0" w:space="0" w:color="auto"/>
                            <w:right w:val="none" w:sz="0" w:space="0" w:color="auto"/>
                          </w:divBdr>
                          <w:divsChild>
                            <w:div w:id="11032694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126856">
      <w:bodyDiv w:val="1"/>
      <w:marLeft w:val="0"/>
      <w:marRight w:val="0"/>
      <w:marTop w:val="0"/>
      <w:marBottom w:val="0"/>
      <w:divBdr>
        <w:top w:val="none" w:sz="0" w:space="0" w:color="auto"/>
        <w:left w:val="none" w:sz="0" w:space="0" w:color="auto"/>
        <w:bottom w:val="none" w:sz="0" w:space="0" w:color="auto"/>
        <w:right w:val="none" w:sz="0" w:space="0" w:color="auto"/>
      </w:divBdr>
    </w:div>
    <w:div w:id="1752583477">
      <w:bodyDiv w:val="1"/>
      <w:marLeft w:val="0"/>
      <w:marRight w:val="0"/>
      <w:marTop w:val="0"/>
      <w:marBottom w:val="0"/>
      <w:divBdr>
        <w:top w:val="none" w:sz="0" w:space="0" w:color="auto"/>
        <w:left w:val="none" w:sz="0" w:space="0" w:color="auto"/>
        <w:bottom w:val="none" w:sz="0" w:space="0" w:color="auto"/>
        <w:right w:val="none" w:sz="0" w:space="0" w:color="auto"/>
      </w:divBdr>
    </w:div>
    <w:div w:id="1791777882">
      <w:bodyDiv w:val="1"/>
      <w:marLeft w:val="0"/>
      <w:marRight w:val="0"/>
      <w:marTop w:val="0"/>
      <w:marBottom w:val="0"/>
      <w:divBdr>
        <w:top w:val="none" w:sz="0" w:space="0" w:color="auto"/>
        <w:left w:val="none" w:sz="0" w:space="0" w:color="auto"/>
        <w:bottom w:val="none" w:sz="0" w:space="0" w:color="auto"/>
        <w:right w:val="none" w:sz="0" w:space="0" w:color="auto"/>
      </w:divBdr>
    </w:div>
    <w:div w:id="1810048636">
      <w:bodyDiv w:val="1"/>
      <w:marLeft w:val="0"/>
      <w:marRight w:val="0"/>
      <w:marTop w:val="0"/>
      <w:marBottom w:val="0"/>
      <w:divBdr>
        <w:top w:val="none" w:sz="0" w:space="0" w:color="auto"/>
        <w:left w:val="none" w:sz="0" w:space="0" w:color="auto"/>
        <w:bottom w:val="none" w:sz="0" w:space="0" w:color="auto"/>
        <w:right w:val="none" w:sz="0" w:space="0" w:color="auto"/>
      </w:divBdr>
    </w:div>
    <w:div w:id="1861821801">
      <w:bodyDiv w:val="1"/>
      <w:marLeft w:val="0"/>
      <w:marRight w:val="0"/>
      <w:marTop w:val="0"/>
      <w:marBottom w:val="0"/>
      <w:divBdr>
        <w:top w:val="none" w:sz="0" w:space="0" w:color="auto"/>
        <w:left w:val="none" w:sz="0" w:space="0" w:color="auto"/>
        <w:bottom w:val="none" w:sz="0" w:space="0" w:color="auto"/>
        <w:right w:val="none" w:sz="0" w:space="0" w:color="auto"/>
      </w:divBdr>
    </w:div>
    <w:div w:id="2001810403">
      <w:bodyDiv w:val="1"/>
      <w:marLeft w:val="0"/>
      <w:marRight w:val="0"/>
      <w:marTop w:val="0"/>
      <w:marBottom w:val="0"/>
      <w:divBdr>
        <w:top w:val="none" w:sz="0" w:space="0" w:color="auto"/>
        <w:left w:val="none" w:sz="0" w:space="0" w:color="auto"/>
        <w:bottom w:val="none" w:sz="0" w:space="0" w:color="auto"/>
        <w:right w:val="none" w:sz="0" w:space="0" w:color="auto"/>
      </w:divBdr>
    </w:div>
    <w:div w:id="212502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rporatecomms@health.gov.au"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legalco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png@01D10CF0.2ACF2D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ihw.gov.au/acim-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2E7647-F356-4CC7-9577-12673E67C715}">
  <ds:schemaRefs>
    <ds:schemaRef ds:uri="http://schemas.openxmlformats.org/officeDocument/2006/bibliography"/>
  </ds:schemaRefs>
</ds:datastoreItem>
</file>

<file path=customXml/itemProps2.xml><?xml version="1.0" encoding="utf-8"?>
<ds:datastoreItem xmlns:ds="http://schemas.openxmlformats.org/officeDocument/2006/customXml" ds:itemID="{0887D506-BED2-4B04-B3FB-C474BE868BBE}"/>
</file>

<file path=customXml/itemProps3.xml><?xml version="1.0" encoding="utf-8"?>
<ds:datastoreItem xmlns:ds="http://schemas.openxmlformats.org/officeDocument/2006/customXml" ds:itemID="{463685AE-B227-4101-8770-B0F7B051EFA0}"/>
</file>

<file path=customXml/itemProps4.xml><?xml version="1.0" encoding="utf-8"?>
<ds:datastoreItem xmlns:ds="http://schemas.openxmlformats.org/officeDocument/2006/customXml" ds:itemID="{F694B2BF-BEB0-493E-B482-950F44F6F84F}"/>
</file>

<file path=docProps/app.xml><?xml version="1.0" encoding="utf-8"?>
<Properties xmlns="http://schemas.openxmlformats.org/officeDocument/2006/extended-properties" xmlns:vt="http://schemas.openxmlformats.org/officeDocument/2006/docPropsVTypes">
  <Template>Normal</Template>
  <TotalTime>26</TotalTime>
  <Pages>11</Pages>
  <Words>4321</Words>
  <Characters>24631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Australian Government response to the House of Representatives Standing Committee on Health Report: Skin Cancer in Australia: Our National Cancer</vt:lpstr>
    </vt:vector>
  </TitlesOfParts>
  <Company>Dept Health And Ageing</Company>
  <LinksUpToDate>false</LinksUpToDate>
  <CharactersWithSpaces>28895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of Representatives Standing Committee on Health Report: Skin Cancer in Australia: Our National Cancer</dc:title>
  <dc:subject>Government response</dc:subject>
  <dc:creator>Department of Health</dc:creator>
  <cp:keywords> Skin Cancer in Australia; Government response;  National Cancer;</cp:keywords>
  <dc:description>_x000d_
</dc:description>
  <cp:lastModifiedBy>Maschke, Elvia</cp:lastModifiedBy>
  <cp:revision>5</cp:revision>
  <cp:lastPrinted>2017-05-26T00:15:00Z</cp:lastPrinted>
  <dcterms:created xsi:type="dcterms:W3CDTF">2019-06-27T04:10:00Z</dcterms:created>
  <dcterms:modified xsi:type="dcterms:W3CDTF">2019-06-27T04:36:00Z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