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54CB8" w14:textId="77777777" w:rsidR="00E35A55" w:rsidRPr="00E35A55" w:rsidRDefault="00E35A55" w:rsidP="00E35A55">
      <w:pPr>
        <w:jc w:val="center"/>
      </w:pPr>
      <w:r w:rsidRPr="00324426">
        <w:rPr>
          <w:noProof/>
          <w:lang w:eastAsia="en-AU"/>
        </w:rPr>
        <w:drawing>
          <wp:inline distT="0" distB="0" distL="0" distR="0" wp14:anchorId="6230477A" wp14:editId="7132FCF7">
            <wp:extent cx="2416810" cy="1329690"/>
            <wp:effectExtent l="0" t="0" r="2540" b="3810"/>
            <wp:docPr id="1" name="Picture 1" descr="Australian Government logo"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6810" cy="1329690"/>
                    </a:xfrm>
                    <a:prstGeom prst="rect">
                      <a:avLst/>
                    </a:prstGeom>
                    <a:noFill/>
                    <a:ln>
                      <a:noFill/>
                    </a:ln>
                  </pic:spPr>
                </pic:pic>
              </a:graphicData>
            </a:graphic>
          </wp:inline>
        </w:drawing>
      </w:r>
    </w:p>
    <w:p w14:paraId="383B2291" w14:textId="2B847A7F" w:rsidR="005F3499" w:rsidRDefault="00252F5C" w:rsidP="00252F5C">
      <w:pPr>
        <w:pStyle w:val="Title"/>
        <w:spacing w:before="1000"/>
      </w:pPr>
      <w:r>
        <w:t>Australian Government r</w:t>
      </w:r>
      <w:r w:rsidR="005F3499" w:rsidRPr="005F3499">
        <w:t>esponse</w:t>
      </w:r>
      <w:r w:rsidR="005F3499">
        <w:t xml:space="preserve"> t</w:t>
      </w:r>
      <w:r w:rsidR="005F3499" w:rsidRPr="005F3499">
        <w:t>o</w:t>
      </w:r>
      <w:r w:rsidR="005F3499">
        <w:t xml:space="preserve"> </w:t>
      </w:r>
      <w:r w:rsidR="005F3499" w:rsidRPr="005F3499">
        <w:t xml:space="preserve">Senate Community Affairs </w:t>
      </w:r>
      <w:r>
        <w:t xml:space="preserve">Legislation </w:t>
      </w:r>
      <w:r w:rsidR="005F3499" w:rsidRPr="005F3499">
        <w:t>Committee</w:t>
      </w:r>
      <w:r>
        <w:t xml:space="preserve"> report</w:t>
      </w:r>
    </w:p>
    <w:p w14:paraId="145C2BE3" w14:textId="1CE067FE" w:rsidR="00252F5C" w:rsidRPr="00252F5C" w:rsidRDefault="00252F5C" w:rsidP="00252F5C">
      <w:pPr>
        <w:pStyle w:val="Title"/>
      </w:pPr>
      <w:r>
        <w:t>Annual reports (No 2 of 2012)</w:t>
      </w:r>
    </w:p>
    <w:p w14:paraId="53EF72F4" w14:textId="512997D8" w:rsidR="005F3499" w:rsidRDefault="004F3A71" w:rsidP="004F3A71">
      <w:pPr>
        <w:pStyle w:val="Subtitle"/>
        <w:spacing w:before="7000"/>
      </w:pPr>
      <w:r>
        <w:t>May 2014</w:t>
      </w:r>
    </w:p>
    <w:p w14:paraId="46F578BA" w14:textId="0FA6633C" w:rsidR="005F3499" w:rsidRPr="004F3A71" w:rsidRDefault="004F3A71" w:rsidP="00252F5C">
      <w:pPr>
        <w:pStyle w:val="Heading1"/>
        <w:pageBreakBefore/>
      </w:pPr>
      <w:r w:rsidRPr="004F3A71">
        <w:lastRenderedPageBreak/>
        <w:t>Response to the second Community Affairs Legislation Committee report on Annual Reports for 2012</w:t>
      </w:r>
    </w:p>
    <w:p w14:paraId="1A3B3F00" w14:textId="77777777" w:rsidR="004F3A71" w:rsidRPr="004F3A71" w:rsidRDefault="004F3A71" w:rsidP="004F3A71">
      <w:r w:rsidRPr="004F3A71">
        <w:t>On 12 September 2012 the Community Affairs Legislation Committee tabled report titled Annual reports (No. 2 of 2012). The Committee made the following statement and recommendation:</w:t>
      </w:r>
    </w:p>
    <w:p w14:paraId="6DECA323" w14:textId="77777777" w:rsidR="004F3A71" w:rsidRPr="004F3A71" w:rsidRDefault="004F3A71" w:rsidP="004F3A71">
      <w:pPr>
        <w:pStyle w:val="Quote"/>
      </w:pPr>
      <w:r w:rsidRPr="004F3A71">
        <w:t>“Bodies not presenting annual reports to the Senate</w:t>
      </w:r>
    </w:p>
    <w:p w14:paraId="2A3B6223" w14:textId="77777777" w:rsidR="004F3A71" w:rsidRPr="004F3A71" w:rsidRDefault="004F3A71" w:rsidP="004F3A71">
      <w:r w:rsidRPr="004F3A71">
        <w:t>1.43 In accordance with Standing Order 25(21)(h), the committee is required to report to the Senate on whether there are any bodies which do not present annual reports to the Senate and which should present such reports.</w:t>
      </w:r>
    </w:p>
    <w:p w14:paraId="4EE68BA2" w14:textId="1CC424E8" w:rsidR="004F3A71" w:rsidRPr="004F3A71" w:rsidRDefault="004F3A71" w:rsidP="004F3A71">
      <w:r w:rsidRPr="004F3A71">
        <w:t>1.44 The committee notes that the Nationa</w:t>
      </w:r>
      <w:r>
        <w:t xml:space="preserve">l E-Health Transition Authority </w:t>
      </w:r>
      <w:r w:rsidRPr="004F3A71">
        <w:t>(NEHTA) has been invited to several estimates hearings</w:t>
      </w:r>
      <w:r>
        <w:t xml:space="preserve"> and has received a significant </w:t>
      </w:r>
      <w:r w:rsidRPr="004F3A71">
        <w:t>number of questions on notice arising from those heari</w:t>
      </w:r>
      <w:r>
        <w:t xml:space="preserve">ngs, including questions around </w:t>
      </w:r>
      <w:r w:rsidRPr="004F3A71">
        <w:t>the issues of funding, expenditure and governance.</w:t>
      </w:r>
      <w:r>
        <w:t xml:space="preserve"> The committee notes that NEHTA </w:t>
      </w:r>
      <w:r w:rsidRPr="004F3A71">
        <w:t>is not required to present an annual report to Parliament.</w:t>
      </w:r>
    </w:p>
    <w:p w14:paraId="7D39A07A" w14:textId="06716C34" w:rsidR="004F3A71" w:rsidRPr="004F3A71" w:rsidRDefault="004F3A71" w:rsidP="004F3A71">
      <w:r w:rsidRPr="004F3A71">
        <w:t xml:space="preserve">1.45 Given NEHTA's significant public funding </w:t>
      </w:r>
      <w:r>
        <w:t xml:space="preserve">and responsibilities that go to </w:t>
      </w:r>
      <w:r w:rsidRPr="004F3A71">
        <w:t xml:space="preserve">Commonwealth policy and funding, the committee </w:t>
      </w:r>
      <w:r>
        <w:t xml:space="preserve">asks the government to consider </w:t>
      </w:r>
      <w:r w:rsidRPr="004F3A71">
        <w:t>whether, as a principal shareholder in NEHTA, it should make arran</w:t>
      </w:r>
      <w:r>
        <w:t xml:space="preserve">gements for the </w:t>
      </w:r>
      <w:r w:rsidRPr="004F3A71">
        <w:t>report to be presented to Parliament.</w:t>
      </w:r>
    </w:p>
    <w:p w14:paraId="7A956BB1" w14:textId="4850B951" w:rsidR="006274C7" w:rsidRDefault="007E6479" w:rsidP="004F3A71">
      <w:pPr>
        <w:pStyle w:val="Heading2"/>
      </w:pPr>
      <w:r>
        <w:t>Recommendation 1</w:t>
      </w:r>
    </w:p>
    <w:p w14:paraId="5BE23BA1" w14:textId="6D6402B7" w:rsidR="004F3A71" w:rsidRPr="004F3A71" w:rsidRDefault="004F3A71" w:rsidP="004F3A71">
      <w:pPr>
        <w:rPr>
          <w:rStyle w:val="Strong"/>
        </w:rPr>
      </w:pPr>
      <w:r w:rsidRPr="004F3A71">
        <w:rPr>
          <w:rStyle w:val="Strong"/>
        </w:rPr>
        <w:t>1.46 The committee recommends that the Commonwealth government review whether an annual report of NEHTA should be presented to Parliament.</w:t>
      </w:r>
    </w:p>
    <w:p w14:paraId="73F5DF3B" w14:textId="366F47E5" w:rsidR="00C135FD" w:rsidRDefault="004F3A71" w:rsidP="00F47FC7">
      <w:pPr>
        <w:pStyle w:val="Heading3"/>
      </w:pPr>
      <w:r>
        <w:t>Government Response</w:t>
      </w:r>
    </w:p>
    <w:p w14:paraId="6831D45E" w14:textId="77777777" w:rsidR="004F3A71" w:rsidRPr="004F3A71" w:rsidRDefault="004F3A71" w:rsidP="004F3A71">
      <w:r w:rsidRPr="004F3A71">
        <w:t xml:space="preserve">The Commonwealth has reviewed the Senate’s recommendation and has concluded that NEHTA is not bound by the provisions of the </w:t>
      </w:r>
      <w:r w:rsidRPr="00252F5C">
        <w:rPr>
          <w:rStyle w:val="Emphasis"/>
        </w:rPr>
        <w:t>Public Service Act 1999</w:t>
      </w:r>
      <w:r w:rsidRPr="004F3A71">
        <w:t xml:space="preserve"> to provide an annual report to the Parliament.</w:t>
      </w:r>
    </w:p>
    <w:p w14:paraId="5AACFFC0" w14:textId="77777777" w:rsidR="004F3A71" w:rsidRPr="004F3A71" w:rsidRDefault="004F3A71" w:rsidP="004F3A71">
      <w:r w:rsidRPr="004F3A71">
        <w:t xml:space="preserve">NEHTA, jointly funded by all states and territories and the Commonwealth Government, is registered with the Australian Securities and Investment Commission (ASIC) as an Australian Public Company, Limited by Guarantee (not for profit) and is required to prepare and have audited an annual report in accordance with the </w:t>
      </w:r>
      <w:r w:rsidRPr="00252F5C">
        <w:rPr>
          <w:rStyle w:val="Emphasis"/>
        </w:rPr>
        <w:t>Corporations Act 2001</w:t>
      </w:r>
      <w:r w:rsidRPr="004F3A71">
        <w:t>.</w:t>
      </w:r>
    </w:p>
    <w:p w14:paraId="58710A00" w14:textId="25C5526D" w:rsidR="004F3A71" w:rsidRDefault="004F3A71" w:rsidP="004F3A71">
      <w:r w:rsidRPr="004F3A71">
        <w:t>Since commencement of funding in 2005, NEHTA has provided an annual report to the Department of Health at the end of each financial year. A copy of the report is forwarded to the Minister for Health and is publicly available on the NEHTA website.</w:t>
      </w:r>
    </w:p>
    <w:p w14:paraId="1DF7F6BE" w14:textId="1CDB2229" w:rsidR="004F3A71" w:rsidRDefault="004F3A71" w:rsidP="004F3A71">
      <w:r w:rsidRPr="004F3A71">
        <w:t>The review took the following factors into consideration:</w:t>
      </w:r>
    </w:p>
    <w:p w14:paraId="4CC48CB9" w14:textId="77777777" w:rsidR="004F3A71" w:rsidRDefault="004F3A71" w:rsidP="004F3A71">
      <w:pPr>
        <w:pStyle w:val="Heading4"/>
      </w:pPr>
      <w:r>
        <w:t>Policy and Legislation</w:t>
      </w:r>
    </w:p>
    <w:p w14:paraId="2B5775DE" w14:textId="6F5123AE" w:rsidR="004F3A71" w:rsidRDefault="004F3A71" w:rsidP="004F3A71">
      <w:pPr>
        <w:pStyle w:val="ListParagraph"/>
        <w:numPr>
          <w:ilvl w:val="0"/>
          <w:numId w:val="12"/>
        </w:numPr>
      </w:pPr>
      <w:r>
        <w:t xml:space="preserve">The Department of Prime Minister and Cabinet (PM&amp;C) Guidelines for the presentation of documents to Parliament (including Annual Reports) dated June 2012 states that the requirement to provide </w:t>
      </w:r>
      <w:bookmarkStart w:id="0" w:name="_GoBack"/>
      <w:bookmarkEnd w:id="0"/>
      <w:r>
        <w:t>an Annual Report to Parliament refers to an Executive Agency.</w:t>
      </w:r>
    </w:p>
    <w:p w14:paraId="7BE1981E" w14:textId="77777777" w:rsidR="004F3A71" w:rsidRDefault="004F3A71" w:rsidP="004F3A71">
      <w:pPr>
        <w:pStyle w:val="ListParagraph"/>
        <w:numPr>
          <w:ilvl w:val="0"/>
          <w:numId w:val="12"/>
        </w:numPr>
      </w:pPr>
      <w:r>
        <w:t xml:space="preserve">Section 65(2) of the </w:t>
      </w:r>
      <w:r w:rsidRPr="004F3A71">
        <w:rPr>
          <w:rStyle w:val="Emphasis"/>
        </w:rPr>
        <w:t>Public Service Act 1999</w:t>
      </w:r>
      <w:r>
        <w:t xml:space="preserve"> states that for the purposes of this Act, an Executive Agency consists of the Head of the Agency, together with the Australian Public Service (APS) employees assisting the Head.</w:t>
      </w:r>
    </w:p>
    <w:p w14:paraId="1DBA4687" w14:textId="36587DDF" w:rsidR="004F3A71" w:rsidRPr="004F3A71" w:rsidRDefault="004F3A71" w:rsidP="004F3A71">
      <w:pPr>
        <w:pStyle w:val="ListParagraph"/>
        <w:numPr>
          <w:ilvl w:val="0"/>
          <w:numId w:val="12"/>
        </w:numPr>
      </w:pPr>
      <w:r>
        <w:t xml:space="preserve">Under the </w:t>
      </w:r>
      <w:r w:rsidRPr="004F3A71">
        <w:rPr>
          <w:rStyle w:val="Emphasis"/>
        </w:rPr>
        <w:t>Public Service Act 1999</w:t>
      </w:r>
      <w:r>
        <w:t>, NEHTA is not considered an Executive Agency and is therefore not bound to provide an Annual Report under these provisions.</w:t>
      </w:r>
    </w:p>
    <w:sectPr w:rsidR="004F3A71" w:rsidRPr="004F3A71" w:rsidSect="00252F5C">
      <w:footerReference w:type="default" r:id="rId12"/>
      <w:endnotePr>
        <w:numFmt w:val="decimal"/>
      </w:endnotePr>
      <w:pgSz w:w="11906" w:h="16838"/>
      <w:pgMar w:top="1440" w:right="1133" w:bottom="851"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2A31C" w14:textId="77777777" w:rsidR="006274C7" w:rsidRDefault="006274C7" w:rsidP="006274C7">
      <w:pPr>
        <w:spacing w:after="0"/>
      </w:pPr>
      <w:r>
        <w:separator/>
      </w:r>
    </w:p>
  </w:endnote>
  <w:endnote w:type="continuationSeparator" w:id="0">
    <w:p w14:paraId="600FB89E" w14:textId="77777777" w:rsidR="006274C7" w:rsidRDefault="006274C7" w:rsidP="006274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ECB9E" w14:textId="27F9E08F" w:rsidR="00C85A74" w:rsidRDefault="00C85A74" w:rsidP="00C85A7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7747F" w14:textId="77777777" w:rsidR="006274C7" w:rsidRDefault="006274C7" w:rsidP="006274C7">
      <w:pPr>
        <w:spacing w:after="0"/>
      </w:pPr>
      <w:r>
        <w:separator/>
      </w:r>
    </w:p>
  </w:footnote>
  <w:footnote w:type="continuationSeparator" w:id="0">
    <w:p w14:paraId="1D47F94F" w14:textId="77777777" w:rsidR="006274C7" w:rsidRDefault="006274C7" w:rsidP="006274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4A5A"/>
    <w:multiLevelType w:val="hybridMultilevel"/>
    <w:tmpl w:val="2606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74282"/>
    <w:multiLevelType w:val="hybridMultilevel"/>
    <w:tmpl w:val="7408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64FA1"/>
    <w:multiLevelType w:val="hybridMultilevel"/>
    <w:tmpl w:val="2AA2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96602"/>
    <w:multiLevelType w:val="hybridMultilevel"/>
    <w:tmpl w:val="4AFC2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D22BC0"/>
    <w:multiLevelType w:val="hybridMultilevel"/>
    <w:tmpl w:val="22E62CF8"/>
    <w:lvl w:ilvl="0" w:tplc="02DE461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90081D"/>
    <w:multiLevelType w:val="hybridMultilevel"/>
    <w:tmpl w:val="EC807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B3032"/>
    <w:multiLevelType w:val="hybridMultilevel"/>
    <w:tmpl w:val="50B0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7008A7"/>
    <w:multiLevelType w:val="hybridMultilevel"/>
    <w:tmpl w:val="23327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7F633C"/>
    <w:multiLevelType w:val="hybridMultilevel"/>
    <w:tmpl w:val="9F46D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BC6A18"/>
    <w:multiLevelType w:val="hybridMultilevel"/>
    <w:tmpl w:val="F348C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E6A3AC8"/>
    <w:multiLevelType w:val="hybridMultilevel"/>
    <w:tmpl w:val="7B4C9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48141A"/>
    <w:multiLevelType w:val="hybridMultilevel"/>
    <w:tmpl w:val="BB1A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1"/>
  </w:num>
  <w:num w:numId="4">
    <w:abstractNumId w:val="0"/>
  </w:num>
  <w:num w:numId="5">
    <w:abstractNumId w:val="8"/>
  </w:num>
  <w:num w:numId="6">
    <w:abstractNumId w:val="10"/>
  </w:num>
  <w:num w:numId="7">
    <w:abstractNumId w:val="6"/>
  </w:num>
  <w:num w:numId="8">
    <w:abstractNumId w:val="5"/>
  </w:num>
  <w:num w:numId="9">
    <w:abstractNumId w:val="2"/>
  </w:num>
  <w:num w:numId="10">
    <w:abstractNumId w:val="3"/>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C7"/>
    <w:rsid w:val="001546FF"/>
    <w:rsid w:val="001727DB"/>
    <w:rsid w:val="00252F5C"/>
    <w:rsid w:val="00280050"/>
    <w:rsid w:val="003A0082"/>
    <w:rsid w:val="00447AE7"/>
    <w:rsid w:val="004F3A71"/>
    <w:rsid w:val="005424DA"/>
    <w:rsid w:val="00592859"/>
    <w:rsid w:val="005F3499"/>
    <w:rsid w:val="006274C7"/>
    <w:rsid w:val="006B3ECC"/>
    <w:rsid w:val="00703F10"/>
    <w:rsid w:val="00725D9D"/>
    <w:rsid w:val="00785DBF"/>
    <w:rsid w:val="007E6479"/>
    <w:rsid w:val="008A65B3"/>
    <w:rsid w:val="008E0DD5"/>
    <w:rsid w:val="00982D47"/>
    <w:rsid w:val="00A128FD"/>
    <w:rsid w:val="00B16C1D"/>
    <w:rsid w:val="00C135FD"/>
    <w:rsid w:val="00C85A74"/>
    <w:rsid w:val="00CA4FAE"/>
    <w:rsid w:val="00DF5F87"/>
    <w:rsid w:val="00E35A55"/>
    <w:rsid w:val="00F14D6C"/>
    <w:rsid w:val="00F47FC7"/>
    <w:rsid w:val="00F577DE"/>
    <w:rsid w:val="00F67C7B"/>
    <w:rsid w:val="00FA33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26E9E"/>
  <w15:chartTrackingRefBased/>
  <w15:docId w15:val="{7E12D32F-3D18-4E6C-A252-E72E330D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5C"/>
    <w:pPr>
      <w:spacing w:before="120" w:after="120" w:line="240" w:lineRule="auto"/>
    </w:pPr>
  </w:style>
  <w:style w:type="paragraph" w:styleId="Heading1">
    <w:name w:val="heading 1"/>
    <w:basedOn w:val="Normal"/>
    <w:next w:val="Normal"/>
    <w:link w:val="Heading1Char"/>
    <w:uiPriority w:val="9"/>
    <w:qFormat/>
    <w:rsid w:val="00252F5C"/>
    <w:pPr>
      <w:keepNext/>
      <w:keepLines/>
      <w:spacing w:before="240" w:after="360"/>
      <w:jc w:val="center"/>
      <w:outlineLvl w:val="0"/>
    </w:pPr>
    <w:rPr>
      <w:rFonts w:eastAsiaTheme="majorEastAsia" w:cstheme="majorBidi"/>
      <w:sz w:val="28"/>
      <w:szCs w:val="32"/>
    </w:rPr>
  </w:style>
  <w:style w:type="paragraph" w:styleId="Heading2">
    <w:name w:val="heading 2"/>
    <w:basedOn w:val="Heading1"/>
    <w:next w:val="Normal"/>
    <w:link w:val="Heading2Char"/>
    <w:uiPriority w:val="9"/>
    <w:unhideWhenUsed/>
    <w:qFormat/>
    <w:rsid w:val="00252F5C"/>
    <w:pPr>
      <w:spacing w:after="120"/>
      <w:jc w:val="left"/>
      <w:outlineLvl w:val="1"/>
    </w:pPr>
    <w:rPr>
      <w:b/>
      <w:sz w:val="24"/>
      <w:szCs w:val="26"/>
    </w:rPr>
  </w:style>
  <w:style w:type="paragraph" w:styleId="Heading3">
    <w:name w:val="heading 3"/>
    <w:basedOn w:val="Heading2"/>
    <w:next w:val="Normal"/>
    <w:link w:val="Heading3Char"/>
    <w:uiPriority w:val="9"/>
    <w:unhideWhenUsed/>
    <w:qFormat/>
    <w:rsid w:val="00252F5C"/>
    <w:pPr>
      <w:spacing w:before="360"/>
      <w:outlineLvl w:val="2"/>
    </w:pPr>
    <w:rPr>
      <w:color w:val="222A35" w:themeColor="text2" w:themeShade="80"/>
    </w:rPr>
  </w:style>
  <w:style w:type="paragraph" w:styleId="Heading4">
    <w:name w:val="heading 4"/>
    <w:basedOn w:val="Heading3"/>
    <w:next w:val="Normal"/>
    <w:link w:val="Heading4Char"/>
    <w:uiPriority w:val="9"/>
    <w:unhideWhenUsed/>
    <w:qFormat/>
    <w:rsid w:val="00E35A55"/>
    <w:pPr>
      <w:spacing w:before="40"/>
      <w:outlineLvl w:val="3"/>
    </w:pPr>
    <w:rPr>
      <w:i/>
      <w:iCs/>
    </w:rPr>
  </w:style>
  <w:style w:type="paragraph" w:styleId="Heading5">
    <w:name w:val="heading 5"/>
    <w:basedOn w:val="Normal"/>
    <w:next w:val="Normal"/>
    <w:link w:val="Heading5Char"/>
    <w:uiPriority w:val="9"/>
    <w:unhideWhenUsed/>
    <w:qFormat/>
    <w:rsid w:val="00F577DE"/>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5D9D"/>
    <w:pPr>
      <w:numPr>
        <w:ilvl w:val="1"/>
      </w:numPr>
      <w:jc w:val="center"/>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725D9D"/>
    <w:rPr>
      <w:rFonts w:asciiTheme="minorHAnsi" w:eastAsiaTheme="majorEastAsia" w:hAnsiTheme="minorHAnsi" w:cstheme="majorBidi"/>
      <w:spacing w:val="-10"/>
      <w:kern w:val="28"/>
      <w:sz w:val="40"/>
      <w:szCs w:val="56"/>
    </w:rPr>
  </w:style>
  <w:style w:type="paragraph" w:styleId="Subtitle">
    <w:name w:val="Subtitle"/>
    <w:basedOn w:val="Title"/>
    <w:next w:val="Normal"/>
    <w:link w:val="SubtitleChar"/>
    <w:uiPriority w:val="11"/>
    <w:qFormat/>
    <w:rsid w:val="004F3A71"/>
    <w:pPr>
      <w:spacing w:before="480"/>
      <w:jc w:val="right"/>
    </w:pPr>
    <w:rPr>
      <w:rFonts w:eastAsiaTheme="minorEastAsia" w:cstheme="minorBidi"/>
      <w:color w:val="5A5A5A" w:themeColor="text1" w:themeTint="A5"/>
      <w:spacing w:val="0"/>
      <w:sz w:val="24"/>
      <w:szCs w:val="22"/>
    </w:rPr>
  </w:style>
  <w:style w:type="character" w:customStyle="1" w:styleId="SubtitleChar">
    <w:name w:val="Subtitle Char"/>
    <w:basedOn w:val="DefaultParagraphFont"/>
    <w:link w:val="Subtitle"/>
    <w:uiPriority w:val="11"/>
    <w:rsid w:val="004F3A71"/>
    <w:rPr>
      <w:rFonts w:eastAsiaTheme="minorEastAsia" w:cstheme="minorBidi"/>
      <w:color w:val="5A5A5A" w:themeColor="text1" w:themeTint="A5"/>
      <w:kern w:val="28"/>
      <w:szCs w:val="22"/>
    </w:rPr>
  </w:style>
  <w:style w:type="character" w:customStyle="1" w:styleId="Heading1Char">
    <w:name w:val="Heading 1 Char"/>
    <w:basedOn w:val="DefaultParagraphFont"/>
    <w:link w:val="Heading1"/>
    <w:uiPriority w:val="9"/>
    <w:rsid w:val="00252F5C"/>
    <w:rPr>
      <w:rFonts w:eastAsiaTheme="majorEastAsia" w:cstheme="majorBidi"/>
      <w:sz w:val="28"/>
      <w:szCs w:val="32"/>
    </w:rPr>
  </w:style>
  <w:style w:type="character" w:customStyle="1" w:styleId="Heading2Char">
    <w:name w:val="Heading 2 Char"/>
    <w:basedOn w:val="DefaultParagraphFont"/>
    <w:link w:val="Heading2"/>
    <w:uiPriority w:val="9"/>
    <w:rsid w:val="00252F5C"/>
    <w:rPr>
      <w:rFonts w:eastAsiaTheme="majorEastAsia" w:cstheme="majorBidi"/>
      <w:b/>
      <w:szCs w:val="26"/>
    </w:rPr>
  </w:style>
  <w:style w:type="character" w:customStyle="1" w:styleId="Heading3Char">
    <w:name w:val="Heading 3 Char"/>
    <w:basedOn w:val="DefaultParagraphFont"/>
    <w:link w:val="Heading3"/>
    <w:uiPriority w:val="9"/>
    <w:rsid w:val="00252F5C"/>
    <w:rPr>
      <w:rFonts w:eastAsiaTheme="majorEastAsia" w:cstheme="majorBidi"/>
      <w:b/>
      <w:color w:val="222A35" w:themeColor="text2" w:themeShade="80"/>
      <w:szCs w:val="26"/>
    </w:rPr>
  </w:style>
  <w:style w:type="character" w:customStyle="1" w:styleId="Heading4Char">
    <w:name w:val="Heading 4 Char"/>
    <w:basedOn w:val="DefaultParagraphFont"/>
    <w:link w:val="Heading4"/>
    <w:uiPriority w:val="9"/>
    <w:rsid w:val="00E35A55"/>
    <w:rPr>
      <w:rFonts w:asciiTheme="minorHAnsi" w:eastAsiaTheme="majorEastAsia" w:hAnsiTheme="minorHAnsi" w:cstheme="majorBidi"/>
      <w:b/>
      <w:i/>
      <w:iCs/>
      <w:color w:val="222A35" w:themeColor="text2" w:themeShade="80"/>
      <w:szCs w:val="26"/>
    </w:rPr>
  </w:style>
  <w:style w:type="paragraph" w:styleId="EndnoteText">
    <w:name w:val="endnote text"/>
    <w:basedOn w:val="Normal"/>
    <w:link w:val="EndnoteTextChar"/>
    <w:uiPriority w:val="99"/>
    <w:semiHidden/>
    <w:unhideWhenUsed/>
    <w:rsid w:val="006274C7"/>
    <w:pPr>
      <w:spacing w:after="0"/>
    </w:pPr>
    <w:rPr>
      <w:sz w:val="20"/>
      <w:szCs w:val="20"/>
    </w:rPr>
  </w:style>
  <w:style w:type="character" w:customStyle="1" w:styleId="EndnoteTextChar">
    <w:name w:val="Endnote Text Char"/>
    <w:basedOn w:val="DefaultParagraphFont"/>
    <w:link w:val="EndnoteText"/>
    <w:uiPriority w:val="99"/>
    <w:semiHidden/>
    <w:rsid w:val="006274C7"/>
    <w:rPr>
      <w:rFonts w:ascii="Arial" w:hAnsi="Arial"/>
      <w:sz w:val="20"/>
      <w:szCs w:val="20"/>
    </w:rPr>
  </w:style>
  <w:style w:type="character" w:styleId="EndnoteReference">
    <w:name w:val="endnote reference"/>
    <w:basedOn w:val="DefaultParagraphFont"/>
    <w:uiPriority w:val="99"/>
    <w:semiHidden/>
    <w:unhideWhenUsed/>
    <w:rsid w:val="006274C7"/>
    <w:rPr>
      <w:vertAlign w:val="superscript"/>
    </w:rPr>
  </w:style>
  <w:style w:type="paragraph" w:styleId="ListParagraph">
    <w:name w:val="List Paragraph"/>
    <w:basedOn w:val="Normal"/>
    <w:uiPriority w:val="34"/>
    <w:qFormat/>
    <w:rsid w:val="00F577DE"/>
    <w:pPr>
      <w:ind w:left="720"/>
      <w:contextualSpacing/>
    </w:pPr>
  </w:style>
  <w:style w:type="character" w:customStyle="1" w:styleId="Heading5Char">
    <w:name w:val="Heading 5 Char"/>
    <w:basedOn w:val="DefaultParagraphFont"/>
    <w:link w:val="Heading5"/>
    <w:uiPriority w:val="9"/>
    <w:rsid w:val="00F577DE"/>
    <w:rPr>
      <w:rFonts w:asciiTheme="majorHAnsi" w:eastAsiaTheme="majorEastAsia" w:hAnsiTheme="majorHAnsi" w:cstheme="majorBidi"/>
      <w:sz w:val="22"/>
    </w:rPr>
  </w:style>
  <w:style w:type="character" w:styleId="Strong">
    <w:name w:val="Strong"/>
    <w:basedOn w:val="DefaultParagraphFont"/>
    <w:uiPriority w:val="22"/>
    <w:qFormat/>
    <w:rsid w:val="007E6479"/>
    <w:rPr>
      <w:b/>
      <w:bCs/>
    </w:rPr>
  </w:style>
  <w:style w:type="paragraph" w:styleId="Header">
    <w:name w:val="header"/>
    <w:basedOn w:val="Normal"/>
    <w:link w:val="HeaderChar"/>
    <w:uiPriority w:val="99"/>
    <w:unhideWhenUsed/>
    <w:rsid w:val="00447AE7"/>
    <w:pPr>
      <w:tabs>
        <w:tab w:val="center" w:pos="4513"/>
        <w:tab w:val="right" w:pos="9026"/>
      </w:tabs>
      <w:spacing w:before="0" w:after="0"/>
    </w:pPr>
  </w:style>
  <w:style w:type="character" w:customStyle="1" w:styleId="HeaderChar">
    <w:name w:val="Header Char"/>
    <w:basedOn w:val="DefaultParagraphFont"/>
    <w:link w:val="Header"/>
    <w:uiPriority w:val="99"/>
    <w:rsid w:val="00447AE7"/>
    <w:rPr>
      <w:rFonts w:asciiTheme="minorHAnsi" w:hAnsiTheme="minorHAnsi"/>
    </w:rPr>
  </w:style>
  <w:style w:type="paragraph" w:styleId="Footer">
    <w:name w:val="footer"/>
    <w:basedOn w:val="Normal"/>
    <w:link w:val="FooterChar"/>
    <w:uiPriority w:val="99"/>
    <w:unhideWhenUsed/>
    <w:rsid w:val="00447AE7"/>
    <w:pPr>
      <w:tabs>
        <w:tab w:val="center" w:pos="4513"/>
        <w:tab w:val="right" w:pos="9026"/>
      </w:tabs>
      <w:spacing w:before="0" w:after="0"/>
    </w:pPr>
    <w:rPr>
      <w:sz w:val="20"/>
    </w:rPr>
  </w:style>
  <w:style w:type="character" w:customStyle="1" w:styleId="FooterChar">
    <w:name w:val="Footer Char"/>
    <w:basedOn w:val="DefaultParagraphFont"/>
    <w:link w:val="Footer"/>
    <w:uiPriority w:val="99"/>
    <w:rsid w:val="00447AE7"/>
    <w:rPr>
      <w:rFonts w:asciiTheme="minorHAnsi" w:hAnsiTheme="minorHAnsi"/>
      <w:sz w:val="20"/>
    </w:rPr>
  </w:style>
  <w:style w:type="character" w:styleId="Hyperlink">
    <w:name w:val="Hyperlink"/>
    <w:basedOn w:val="DefaultParagraphFont"/>
    <w:uiPriority w:val="99"/>
    <w:unhideWhenUsed/>
    <w:rsid w:val="00447AE7"/>
    <w:rPr>
      <w:color w:val="0563C1" w:themeColor="hyperlink"/>
      <w:u w:val="single"/>
    </w:rPr>
  </w:style>
  <w:style w:type="character" w:styleId="Emphasis">
    <w:name w:val="Emphasis"/>
    <w:basedOn w:val="DefaultParagraphFont"/>
    <w:uiPriority w:val="20"/>
    <w:qFormat/>
    <w:rsid w:val="001727DB"/>
    <w:rPr>
      <w:i/>
      <w:iCs/>
    </w:rPr>
  </w:style>
  <w:style w:type="paragraph" w:styleId="FootnoteText">
    <w:name w:val="footnote text"/>
    <w:basedOn w:val="Normal"/>
    <w:link w:val="FootnoteTextChar"/>
    <w:uiPriority w:val="99"/>
    <w:semiHidden/>
    <w:unhideWhenUsed/>
    <w:rsid w:val="00F47FC7"/>
    <w:pPr>
      <w:spacing w:before="0" w:after="0"/>
    </w:pPr>
    <w:rPr>
      <w:sz w:val="20"/>
      <w:szCs w:val="20"/>
    </w:rPr>
  </w:style>
  <w:style w:type="character" w:customStyle="1" w:styleId="FootnoteTextChar">
    <w:name w:val="Footnote Text Char"/>
    <w:basedOn w:val="DefaultParagraphFont"/>
    <w:link w:val="FootnoteText"/>
    <w:uiPriority w:val="99"/>
    <w:semiHidden/>
    <w:rsid w:val="00F47FC7"/>
    <w:rPr>
      <w:rFonts w:asciiTheme="minorHAnsi" w:hAnsiTheme="minorHAnsi"/>
      <w:sz w:val="20"/>
      <w:szCs w:val="20"/>
    </w:rPr>
  </w:style>
  <w:style w:type="character" w:styleId="FootnoteReference">
    <w:name w:val="footnote reference"/>
    <w:basedOn w:val="DefaultParagraphFont"/>
    <w:uiPriority w:val="99"/>
    <w:semiHidden/>
    <w:unhideWhenUsed/>
    <w:rsid w:val="00F47FC7"/>
    <w:rPr>
      <w:vertAlign w:val="superscript"/>
    </w:rPr>
  </w:style>
  <w:style w:type="paragraph" w:styleId="Quote">
    <w:name w:val="Quote"/>
    <w:basedOn w:val="Normal"/>
    <w:next w:val="Normal"/>
    <w:link w:val="QuoteChar"/>
    <w:uiPriority w:val="29"/>
    <w:qFormat/>
    <w:rsid w:val="00252F5C"/>
    <w:pPr>
      <w:ind w:right="862"/>
    </w:pPr>
    <w:rPr>
      <w:b/>
      <w:iCs/>
      <w:color w:val="404040" w:themeColor="text1" w:themeTint="BF"/>
    </w:rPr>
  </w:style>
  <w:style w:type="character" w:customStyle="1" w:styleId="QuoteChar">
    <w:name w:val="Quote Char"/>
    <w:basedOn w:val="DefaultParagraphFont"/>
    <w:link w:val="Quote"/>
    <w:uiPriority w:val="29"/>
    <w:rsid w:val="00252F5C"/>
    <w:rPr>
      <w:b/>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7266">
      <w:bodyDiv w:val="1"/>
      <w:marLeft w:val="0"/>
      <w:marRight w:val="0"/>
      <w:marTop w:val="0"/>
      <w:marBottom w:val="0"/>
      <w:divBdr>
        <w:top w:val="none" w:sz="0" w:space="0" w:color="auto"/>
        <w:left w:val="none" w:sz="0" w:space="0" w:color="auto"/>
        <w:bottom w:val="none" w:sz="0" w:space="0" w:color="auto"/>
        <w:right w:val="none" w:sz="0" w:space="0" w:color="auto"/>
      </w:divBdr>
    </w:div>
    <w:div w:id="106393425">
      <w:bodyDiv w:val="1"/>
      <w:marLeft w:val="0"/>
      <w:marRight w:val="0"/>
      <w:marTop w:val="0"/>
      <w:marBottom w:val="0"/>
      <w:divBdr>
        <w:top w:val="none" w:sz="0" w:space="0" w:color="auto"/>
        <w:left w:val="none" w:sz="0" w:space="0" w:color="auto"/>
        <w:bottom w:val="none" w:sz="0" w:space="0" w:color="auto"/>
        <w:right w:val="none" w:sz="0" w:space="0" w:color="auto"/>
      </w:divBdr>
    </w:div>
    <w:div w:id="347029464">
      <w:bodyDiv w:val="1"/>
      <w:marLeft w:val="0"/>
      <w:marRight w:val="0"/>
      <w:marTop w:val="0"/>
      <w:marBottom w:val="0"/>
      <w:divBdr>
        <w:top w:val="none" w:sz="0" w:space="0" w:color="auto"/>
        <w:left w:val="none" w:sz="0" w:space="0" w:color="auto"/>
        <w:bottom w:val="none" w:sz="0" w:space="0" w:color="auto"/>
        <w:right w:val="none" w:sz="0" w:space="0" w:color="auto"/>
      </w:divBdr>
    </w:div>
    <w:div w:id="353001053">
      <w:bodyDiv w:val="1"/>
      <w:marLeft w:val="0"/>
      <w:marRight w:val="0"/>
      <w:marTop w:val="0"/>
      <w:marBottom w:val="0"/>
      <w:divBdr>
        <w:top w:val="none" w:sz="0" w:space="0" w:color="auto"/>
        <w:left w:val="none" w:sz="0" w:space="0" w:color="auto"/>
        <w:bottom w:val="none" w:sz="0" w:space="0" w:color="auto"/>
        <w:right w:val="none" w:sz="0" w:space="0" w:color="auto"/>
      </w:divBdr>
    </w:div>
    <w:div w:id="419063291">
      <w:bodyDiv w:val="1"/>
      <w:marLeft w:val="0"/>
      <w:marRight w:val="0"/>
      <w:marTop w:val="0"/>
      <w:marBottom w:val="0"/>
      <w:divBdr>
        <w:top w:val="none" w:sz="0" w:space="0" w:color="auto"/>
        <w:left w:val="none" w:sz="0" w:space="0" w:color="auto"/>
        <w:bottom w:val="none" w:sz="0" w:space="0" w:color="auto"/>
        <w:right w:val="none" w:sz="0" w:space="0" w:color="auto"/>
      </w:divBdr>
    </w:div>
    <w:div w:id="438451854">
      <w:bodyDiv w:val="1"/>
      <w:marLeft w:val="0"/>
      <w:marRight w:val="0"/>
      <w:marTop w:val="0"/>
      <w:marBottom w:val="0"/>
      <w:divBdr>
        <w:top w:val="none" w:sz="0" w:space="0" w:color="auto"/>
        <w:left w:val="none" w:sz="0" w:space="0" w:color="auto"/>
        <w:bottom w:val="none" w:sz="0" w:space="0" w:color="auto"/>
        <w:right w:val="none" w:sz="0" w:space="0" w:color="auto"/>
      </w:divBdr>
    </w:div>
    <w:div w:id="1363171044">
      <w:bodyDiv w:val="1"/>
      <w:marLeft w:val="0"/>
      <w:marRight w:val="0"/>
      <w:marTop w:val="0"/>
      <w:marBottom w:val="0"/>
      <w:divBdr>
        <w:top w:val="none" w:sz="0" w:space="0" w:color="auto"/>
        <w:left w:val="none" w:sz="0" w:space="0" w:color="auto"/>
        <w:bottom w:val="none" w:sz="0" w:space="0" w:color="auto"/>
        <w:right w:val="none" w:sz="0" w:space="0" w:color="auto"/>
      </w:divBdr>
    </w:div>
    <w:div w:id="161686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8A89E-F247-4BE0-9D24-CD755EAB5597}">
  <ds:schemaRefs>
    <ds:schemaRef ds:uri="http://schemas.microsoft.com/sharepoint/v3/contenttype/forms"/>
  </ds:schemaRefs>
</ds:datastoreItem>
</file>

<file path=customXml/itemProps2.xml><?xml version="1.0" encoding="utf-8"?>
<ds:datastoreItem xmlns:ds="http://schemas.openxmlformats.org/officeDocument/2006/customXml" ds:itemID="{5C66CDEA-AB44-49CA-B217-071D53822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F409C66-0EA2-4927-9F7E-E67C4EAF39E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C1E9B82-3376-4EA1-9297-AB2A9855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Australian Government Response to Senate Community Affairs References Committee Report on the role of the Therapeutic Goods Administration regarding medical devices, particularly Poly Implant Prothèse (PIP) breast implants</vt:lpstr>
    </vt:vector>
  </TitlesOfParts>
  <Company>Department of Health</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Senate Community Affairs References Committee Report on the role of the Therapeutic Goods Administration regarding medical devices, particularly Poly Implant Prothèse (PIP) breast implants</dc:title>
  <dc:subject>Government response</dc:subject>
  <dc:creator>Department of Health</dc:creator>
  <cp:keywords>Government response; medical devices; Senate Community Affairs References Committee Report; administration of  medical devices; TGA;Poly Implant Prothese; PIP; breast implant</cp:keywords>
  <dc:description/>
  <cp:lastModifiedBy>Maschke, Elvia</cp:lastModifiedBy>
  <cp:revision>2</cp:revision>
  <dcterms:created xsi:type="dcterms:W3CDTF">2019-06-17T04:35:00Z</dcterms:created>
  <dcterms:modified xsi:type="dcterms:W3CDTF">2019-06-17T04:35:00Z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