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F4B7E" w14:textId="338818CF" w:rsidR="00B26831" w:rsidRDefault="00A63EAD" w:rsidP="006D13F0">
      <w:pPr>
        <w:tabs>
          <w:tab w:val="left" w:pos="993"/>
        </w:tabs>
        <w:kinsoku w:val="0"/>
        <w:overflowPunct w:val="0"/>
        <w:jc w:val="center"/>
        <w:rPr>
          <w:rStyle w:val="IntenseReference"/>
          <w:bCs w:val="0"/>
          <w:i w:val="0"/>
          <w:smallCaps w:val="0"/>
          <w:color w:val="auto"/>
          <w:spacing w:val="0"/>
          <w:sz w:val="28"/>
        </w:rPr>
      </w:pPr>
      <w:bookmarkStart w:id="0" w:name="_GoBack"/>
      <w:r>
        <w:rPr>
          <w:noProof/>
          <w:lang w:eastAsia="en-AU"/>
        </w:rPr>
        <w:drawing>
          <wp:inline distT="0" distB="0" distL="0" distR="0" wp14:anchorId="36A4AE08" wp14:editId="741B6343">
            <wp:extent cx="2464435" cy="1371600"/>
            <wp:effectExtent l="0" t="0" r="0" b="0"/>
            <wp:docPr id="1" name="Picture 1" descr="The Commonwealth Coat of Arms contains a shield with the symbols of the six Australia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64435" cy="1371600"/>
                    </a:xfrm>
                    <a:prstGeom prst="rect">
                      <a:avLst/>
                    </a:prstGeom>
                    <a:noFill/>
                    <a:ln>
                      <a:noFill/>
                    </a:ln>
                  </pic:spPr>
                </pic:pic>
              </a:graphicData>
            </a:graphic>
          </wp:inline>
        </w:drawing>
      </w:r>
      <w:bookmarkEnd w:id="0"/>
    </w:p>
    <w:p w14:paraId="1129433C" w14:textId="1EF8D565" w:rsidR="00B26831" w:rsidRPr="00E67030" w:rsidRDefault="00B26831" w:rsidP="00E67030">
      <w:pPr>
        <w:pStyle w:val="Title"/>
      </w:pPr>
      <w:r w:rsidRPr="00E67030">
        <w:t>Australian Government response to the Senate Community Affairs References Committee report:</w:t>
      </w:r>
      <w:r w:rsidR="00E67030" w:rsidRPr="00E67030">
        <w:t xml:space="preserve"> </w:t>
      </w:r>
      <w:r w:rsidRPr="00E67030">
        <w:t>Complaints mechanism administered under the Health Practitioner Regulation National Law</w:t>
      </w:r>
    </w:p>
    <w:p w14:paraId="35494610" w14:textId="3CB9C2D7" w:rsidR="00B26831" w:rsidRPr="00821024" w:rsidRDefault="0095512E" w:rsidP="00821024">
      <w:pPr>
        <w:spacing w:before="6000"/>
        <w:jc w:val="right"/>
      </w:pPr>
      <w:r w:rsidRPr="00821024">
        <w:t>August</w:t>
      </w:r>
      <w:r w:rsidR="00B90B2F" w:rsidRPr="00821024">
        <w:t xml:space="preserve"> 2018</w:t>
      </w:r>
    </w:p>
    <w:p w14:paraId="3591F866" w14:textId="51B42105" w:rsidR="00F47344" w:rsidRPr="006E42F2" w:rsidRDefault="00031D3B" w:rsidP="00821024">
      <w:pPr>
        <w:pStyle w:val="Heading1"/>
        <w:pageBreakBefore/>
        <w:spacing w:before="120"/>
      </w:pPr>
      <w:r w:rsidRPr="006E42F2">
        <w:lastRenderedPageBreak/>
        <w:t>Introduction</w:t>
      </w:r>
    </w:p>
    <w:p w14:paraId="0FEF4847" w14:textId="7BCF06BE" w:rsidR="001C3836" w:rsidRDefault="00065C28" w:rsidP="00821024">
      <w:pPr>
        <w:rPr>
          <w:rStyle w:val="IntenseReference"/>
          <w:b w:val="0"/>
          <w:bCs w:val="0"/>
          <w:i w:val="0"/>
          <w:smallCaps w:val="0"/>
          <w:color w:val="auto"/>
          <w:spacing w:val="0"/>
        </w:rPr>
      </w:pPr>
      <w:r w:rsidRPr="00483113">
        <w:rPr>
          <w:rStyle w:val="IntenseReference"/>
          <w:b w:val="0"/>
          <w:bCs w:val="0"/>
          <w:i w:val="0"/>
          <w:smallCaps w:val="0"/>
          <w:color w:val="auto"/>
          <w:spacing w:val="0"/>
        </w:rPr>
        <w:t>The Australian Government thanks the Senate Community Affairs References Committee (the Committee) for</w:t>
      </w:r>
      <w:r w:rsidR="005B2B2C">
        <w:rPr>
          <w:rStyle w:val="IntenseReference"/>
          <w:b w:val="0"/>
          <w:bCs w:val="0"/>
          <w:i w:val="0"/>
          <w:smallCaps w:val="0"/>
          <w:color w:val="auto"/>
          <w:spacing w:val="0"/>
        </w:rPr>
        <w:t xml:space="preserve"> their work during this inquiry investigating issues </w:t>
      </w:r>
      <w:r w:rsidR="001C3836">
        <w:rPr>
          <w:rStyle w:val="IntenseReference"/>
          <w:b w:val="0"/>
          <w:bCs w:val="0"/>
          <w:i w:val="0"/>
          <w:smallCaps w:val="0"/>
          <w:color w:val="auto"/>
          <w:spacing w:val="0"/>
        </w:rPr>
        <w:t xml:space="preserve">in </w:t>
      </w:r>
      <w:r w:rsidR="005B2B2C">
        <w:rPr>
          <w:rStyle w:val="IntenseReference"/>
          <w:b w:val="0"/>
          <w:bCs w:val="0"/>
          <w:i w:val="0"/>
          <w:smallCaps w:val="0"/>
          <w:color w:val="auto"/>
          <w:spacing w:val="0"/>
        </w:rPr>
        <w:t xml:space="preserve">the complaints mechanisms </w:t>
      </w:r>
      <w:r w:rsidR="00A44810">
        <w:rPr>
          <w:rStyle w:val="IntenseReference"/>
          <w:b w:val="0"/>
          <w:bCs w:val="0"/>
          <w:i w:val="0"/>
          <w:smallCaps w:val="0"/>
          <w:color w:val="auto"/>
          <w:spacing w:val="0"/>
        </w:rPr>
        <w:t xml:space="preserve">that are </w:t>
      </w:r>
      <w:r w:rsidR="005B2B2C">
        <w:rPr>
          <w:rStyle w:val="IntenseReference"/>
          <w:b w:val="0"/>
          <w:bCs w:val="0"/>
          <w:i w:val="0"/>
          <w:smallCaps w:val="0"/>
          <w:color w:val="auto"/>
          <w:spacing w:val="0"/>
        </w:rPr>
        <w:t xml:space="preserve">administered by </w:t>
      </w:r>
      <w:r w:rsidR="00C863A5">
        <w:rPr>
          <w:rStyle w:val="IntenseReference"/>
          <w:b w:val="0"/>
          <w:bCs w:val="0"/>
          <w:i w:val="0"/>
          <w:smallCaps w:val="0"/>
          <w:color w:val="auto"/>
          <w:spacing w:val="0"/>
        </w:rPr>
        <w:t>the Australian Health Practitioner Regulation Agency (</w:t>
      </w:r>
      <w:r w:rsidR="005B2B2C">
        <w:rPr>
          <w:rStyle w:val="IntenseReference"/>
          <w:b w:val="0"/>
          <w:bCs w:val="0"/>
          <w:i w:val="0"/>
          <w:smallCaps w:val="0"/>
          <w:color w:val="auto"/>
          <w:spacing w:val="0"/>
        </w:rPr>
        <w:t>AHPRA</w:t>
      </w:r>
      <w:r w:rsidR="00C863A5">
        <w:rPr>
          <w:rStyle w:val="IntenseReference"/>
          <w:b w:val="0"/>
          <w:bCs w:val="0"/>
          <w:i w:val="0"/>
          <w:smallCaps w:val="0"/>
          <w:color w:val="auto"/>
          <w:spacing w:val="0"/>
        </w:rPr>
        <w:t>)</w:t>
      </w:r>
      <w:r w:rsidR="00DC759C">
        <w:rPr>
          <w:rStyle w:val="IntenseReference"/>
          <w:b w:val="0"/>
          <w:bCs w:val="0"/>
          <w:i w:val="0"/>
          <w:smallCaps w:val="0"/>
          <w:color w:val="auto"/>
          <w:spacing w:val="0"/>
        </w:rPr>
        <w:t xml:space="preserve">. </w:t>
      </w:r>
      <w:r w:rsidR="00DA4798">
        <w:rPr>
          <w:rStyle w:val="IntenseReference"/>
          <w:b w:val="0"/>
          <w:bCs w:val="0"/>
          <w:i w:val="0"/>
          <w:smallCaps w:val="0"/>
          <w:color w:val="auto"/>
          <w:spacing w:val="0"/>
        </w:rPr>
        <w:t xml:space="preserve"> </w:t>
      </w:r>
      <w:r w:rsidR="00DC759C">
        <w:rPr>
          <w:rStyle w:val="IntenseReference"/>
          <w:b w:val="0"/>
          <w:bCs w:val="0"/>
          <w:i w:val="0"/>
          <w:smallCaps w:val="0"/>
          <w:color w:val="auto"/>
          <w:spacing w:val="0"/>
        </w:rPr>
        <w:t xml:space="preserve">This </w:t>
      </w:r>
      <w:r w:rsidR="00D4369E">
        <w:rPr>
          <w:rStyle w:val="IntenseReference"/>
          <w:b w:val="0"/>
          <w:bCs w:val="0"/>
          <w:i w:val="0"/>
          <w:smallCaps w:val="0"/>
          <w:color w:val="auto"/>
          <w:spacing w:val="0"/>
        </w:rPr>
        <w:t xml:space="preserve">inquiry </w:t>
      </w:r>
      <w:r w:rsidR="00DC759C">
        <w:rPr>
          <w:rStyle w:val="IntenseReference"/>
          <w:b w:val="0"/>
          <w:bCs w:val="0"/>
          <w:i w:val="0"/>
          <w:smallCaps w:val="0"/>
          <w:color w:val="auto"/>
          <w:spacing w:val="0"/>
        </w:rPr>
        <w:t>was initiated</w:t>
      </w:r>
      <w:r w:rsidR="001C3836">
        <w:rPr>
          <w:rStyle w:val="IntenseReference"/>
          <w:b w:val="0"/>
          <w:bCs w:val="0"/>
          <w:i w:val="0"/>
          <w:smallCaps w:val="0"/>
          <w:color w:val="auto"/>
          <w:spacing w:val="0"/>
        </w:rPr>
        <w:t xml:space="preserve"> following concerns expressed by both practitioners and complainants in the </w:t>
      </w:r>
      <w:r w:rsidR="00C863A5">
        <w:rPr>
          <w:rStyle w:val="IntenseReference"/>
          <w:b w:val="0"/>
          <w:bCs w:val="0"/>
          <w:i w:val="0"/>
          <w:smallCaps w:val="0"/>
          <w:color w:val="auto"/>
          <w:spacing w:val="0"/>
        </w:rPr>
        <w:t>Committee’s earlier inquiry into the ‘Medical complaints process in Australia’.</w:t>
      </w:r>
    </w:p>
    <w:p w14:paraId="01567CFA" w14:textId="022730C4" w:rsidR="00DA49A8" w:rsidRDefault="00065C28" w:rsidP="00821024">
      <w:pPr>
        <w:rPr>
          <w:rStyle w:val="IntenseReference"/>
          <w:b w:val="0"/>
          <w:bCs w:val="0"/>
          <w:i w:val="0"/>
          <w:smallCaps w:val="0"/>
          <w:color w:val="auto"/>
          <w:spacing w:val="0"/>
        </w:rPr>
      </w:pPr>
      <w:r w:rsidRPr="00483113">
        <w:rPr>
          <w:rStyle w:val="IntenseReference"/>
          <w:b w:val="0"/>
          <w:bCs w:val="0"/>
          <w:i w:val="0"/>
          <w:smallCaps w:val="0"/>
          <w:color w:val="auto"/>
          <w:spacing w:val="0"/>
        </w:rPr>
        <w:t>Regulation of health p</w:t>
      </w:r>
      <w:r w:rsidR="00B668B8">
        <w:rPr>
          <w:rStyle w:val="IntenseReference"/>
          <w:b w:val="0"/>
          <w:bCs w:val="0"/>
          <w:i w:val="0"/>
          <w:smallCaps w:val="0"/>
          <w:color w:val="auto"/>
          <w:spacing w:val="0"/>
        </w:rPr>
        <w:t>ractitioners</w:t>
      </w:r>
      <w:r w:rsidRPr="00483113">
        <w:rPr>
          <w:rStyle w:val="IntenseReference"/>
          <w:b w:val="0"/>
          <w:bCs w:val="0"/>
          <w:i w:val="0"/>
          <w:smallCaps w:val="0"/>
          <w:color w:val="auto"/>
          <w:spacing w:val="0"/>
        </w:rPr>
        <w:t xml:space="preserve"> under the National Registration and Accreditation Scheme (</w:t>
      </w:r>
      <w:r w:rsidR="008E497C">
        <w:rPr>
          <w:rStyle w:val="IntenseReference"/>
          <w:b w:val="0"/>
          <w:bCs w:val="0"/>
          <w:i w:val="0"/>
          <w:smallCaps w:val="0"/>
          <w:color w:val="auto"/>
          <w:spacing w:val="0"/>
        </w:rPr>
        <w:t>the Scheme</w:t>
      </w:r>
      <w:r w:rsidRPr="00483113">
        <w:rPr>
          <w:rStyle w:val="IntenseReference"/>
          <w:b w:val="0"/>
          <w:bCs w:val="0"/>
          <w:i w:val="0"/>
          <w:smallCaps w:val="0"/>
          <w:color w:val="auto"/>
          <w:spacing w:val="0"/>
        </w:rPr>
        <w:t>) is an essential part of ensuring that the Australian health care s</w:t>
      </w:r>
      <w:r w:rsidR="005B2B2C">
        <w:rPr>
          <w:rStyle w:val="IntenseReference"/>
          <w:b w:val="0"/>
          <w:bCs w:val="0"/>
          <w:i w:val="0"/>
          <w:smallCaps w:val="0"/>
          <w:color w:val="auto"/>
          <w:spacing w:val="0"/>
        </w:rPr>
        <w:t xml:space="preserve">ystem is safe and provides </w:t>
      </w:r>
      <w:r w:rsidRPr="00483113">
        <w:rPr>
          <w:rStyle w:val="IntenseReference"/>
          <w:b w:val="0"/>
          <w:bCs w:val="0"/>
          <w:i w:val="0"/>
          <w:smallCaps w:val="0"/>
          <w:color w:val="auto"/>
          <w:spacing w:val="0"/>
        </w:rPr>
        <w:t>quality care</w:t>
      </w:r>
      <w:r w:rsidR="00AF1DD0">
        <w:rPr>
          <w:rStyle w:val="IntenseReference"/>
          <w:b w:val="0"/>
          <w:bCs w:val="0"/>
          <w:i w:val="0"/>
          <w:smallCaps w:val="0"/>
          <w:color w:val="auto"/>
          <w:spacing w:val="0"/>
        </w:rPr>
        <w:t xml:space="preserve">. </w:t>
      </w:r>
      <w:r w:rsidR="004E0AEB" w:rsidRPr="00483113">
        <w:rPr>
          <w:rStyle w:val="IntenseReference"/>
          <w:b w:val="0"/>
          <w:bCs w:val="0"/>
          <w:i w:val="0"/>
          <w:smallCaps w:val="0"/>
          <w:color w:val="auto"/>
          <w:spacing w:val="0"/>
        </w:rPr>
        <w:t>The protect</w:t>
      </w:r>
      <w:r w:rsidR="004E0AEB">
        <w:rPr>
          <w:rStyle w:val="IntenseReference"/>
          <w:b w:val="0"/>
          <w:bCs w:val="0"/>
          <w:i w:val="0"/>
          <w:smallCaps w:val="0"/>
          <w:color w:val="auto"/>
          <w:spacing w:val="0"/>
        </w:rPr>
        <w:t>ion of the public is one of the key</w:t>
      </w:r>
      <w:r w:rsidR="004E0AEB" w:rsidRPr="00483113">
        <w:rPr>
          <w:rStyle w:val="IntenseReference"/>
          <w:b w:val="0"/>
          <w:bCs w:val="0"/>
          <w:i w:val="0"/>
          <w:smallCaps w:val="0"/>
          <w:color w:val="auto"/>
          <w:spacing w:val="0"/>
        </w:rPr>
        <w:t xml:space="preserve"> objective</w:t>
      </w:r>
      <w:r w:rsidR="004E0AEB">
        <w:rPr>
          <w:rStyle w:val="IntenseReference"/>
          <w:b w:val="0"/>
          <w:bCs w:val="0"/>
          <w:i w:val="0"/>
          <w:smallCaps w:val="0"/>
          <w:color w:val="auto"/>
          <w:spacing w:val="0"/>
        </w:rPr>
        <w:t>s</w:t>
      </w:r>
      <w:r w:rsidR="004E0AEB" w:rsidRPr="00483113">
        <w:rPr>
          <w:rStyle w:val="IntenseReference"/>
          <w:b w:val="0"/>
          <w:bCs w:val="0"/>
          <w:i w:val="0"/>
          <w:smallCaps w:val="0"/>
          <w:color w:val="auto"/>
          <w:spacing w:val="0"/>
        </w:rPr>
        <w:t xml:space="preserve"> of the </w:t>
      </w:r>
      <w:r w:rsidR="004E0AEB">
        <w:rPr>
          <w:rStyle w:val="IntenseReference"/>
          <w:b w:val="0"/>
          <w:bCs w:val="0"/>
          <w:i w:val="0"/>
          <w:smallCaps w:val="0"/>
          <w:color w:val="auto"/>
          <w:spacing w:val="0"/>
        </w:rPr>
        <w:t>Scheme</w:t>
      </w:r>
      <w:r w:rsidR="004E0AEB" w:rsidRPr="00483113">
        <w:rPr>
          <w:rStyle w:val="IntenseReference"/>
          <w:b w:val="0"/>
          <w:bCs w:val="0"/>
          <w:i w:val="0"/>
          <w:smallCaps w:val="0"/>
          <w:color w:val="auto"/>
          <w:spacing w:val="0"/>
        </w:rPr>
        <w:t>.</w:t>
      </w:r>
      <w:r w:rsidR="004E0AEB">
        <w:rPr>
          <w:rStyle w:val="IntenseReference"/>
          <w:b w:val="0"/>
          <w:bCs w:val="0"/>
          <w:i w:val="0"/>
          <w:smallCaps w:val="0"/>
          <w:color w:val="auto"/>
          <w:spacing w:val="0"/>
        </w:rPr>
        <w:t xml:space="preserve"> </w:t>
      </w:r>
      <w:r w:rsidR="00476427">
        <w:rPr>
          <w:rStyle w:val="IntenseReference"/>
          <w:b w:val="0"/>
          <w:bCs w:val="0"/>
          <w:i w:val="0"/>
          <w:smallCaps w:val="0"/>
          <w:color w:val="auto"/>
          <w:spacing w:val="0"/>
        </w:rPr>
        <w:t xml:space="preserve">The </w:t>
      </w:r>
      <w:r w:rsidR="007E2C3E">
        <w:rPr>
          <w:rStyle w:val="IntenseReference"/>
          <w:b w:val="0"/>
          <w:bCs w:val="0"/>
          <w:i w:val="0"/>
          <w:smallCaps w:val="0"/>
          <w:color w:val="auto"/>
          <w:spacing w:val="0"/>
        </w:rPr>
        <w:t xml:space="preserve">complaints (known as notifications except in Queensland) </w:t>
      </w:r>
      <w:r w:rsidR="00F57ADF">
        <w:rPr>
          <w:rStyle w:val="IntenseReference"/>
          <w:b w:val="0"/>
          <w:bCs w:val="0"/>
          <w:i w:val="0"/>
          <w:smallCaps w:val="0"/>
          <w:color w:val="auto"/>
          <w:spacing w:val="0"/>
        </w:rPr>
        <w:t xml:space="preserve">process </w:t>
      </w:r>
      <w:r w:rsidR="00AF1DD0">
        <w:rPr>
          <w:rStyle w:val="IntenseReference"/>
          <w:b w:val="0"/>
          <w:bCs w:val="0"/>
          <w:i w:val="0"/>
          <w:smallCaps w:val="0"/>
          <w:color w:val="auto"/>
          <w:spacing w:val="0"/>
        </w:rPr>
        <w:t xml:space="preserve">is a </w:t>
      </w:r>
      <w:r w:rsidR="00EE187B">
        <w:rPr>
          <w:rStyle w:val="IntenseReference"/>
          <w:b w:val="0"/>
          <w:bCs w:val="0"/>
          <w:i w:val="0"/>
          <w:smallCaps w:val="0"/>
          <w:color w:val="auto"/>
          <w:spacing w:val="0"/>
        </w:rPr>
        <w:t>critical part of the Scheme in</w:t>
      </w:r>
      <w:r w:rsidR="002A58F6">
        <w:rPr>
          <w:rStyle w:val="IntenseReference"/>
          <w:b w:val="0"/>
          <w:bCs w:val="0"/>
          <w:i w:val="0"/>
          <w:smallCaps w:val="0"/>
          <w:color w:val="auto"/>
          <w:spacing w:val="0"/>
        </w:rPr>
        <w:t xml:space="preserve"> ensuring</w:t>
      </w:r>
      <w:r w:rsidR="00AF1DD0">
        <w:rPr>
          <w:rStyle w:val="IntenseReference"/>
          <w:b w:val="0"/>
          <w:bCs w:val="0"/>
          <w:i w:val="0"/>
          <w:smallCaps w:val="0"/>
          <w:color w:val="auto"/>
          <w:spacing w:val="0"/>
        </w:rPr>
        <w:t xml:space="preserve"> that the Australian community feel</w:t>
      </w:r>
      <w:r w:rsidR="00C66EF9">
        <w:rPr>
          <w:rStyle w:val="IntenseReference"/>
          <w:b w:val="0"/>
          <w:bCs w:val="0"/>
          <w:i w:val="0"/>
          <w:smallCaps w:val="0"/>
          <w:color w:val="auto"/>
          <w:spacing w:val="0"/>
        </w:rPr>
        <w:t>s</w:t>
      </w:r>
      <w:r w:rsidR="00AF1DD0">
        <w:rPr>
          <w:rStyle w:val="IntenseReference"/>
          <w:b w:val="0"/>
          <w:bCs w:val="0"/>
          <w:i w:val="0"/>
          <w:smallCaps w:val="0"/>
          <w:color w:val="auto"/>
          <w:spacing w:val="0"/>
        </w:rPr>
        <w:t xml:space="preserve"> confident that only those practitioner</w:t>
      </w:r>
      <w:r w:rsidR="00E75DD8">
        <w:rPr>
          <w:rStyle w:val="IntenseReference"/>
          <w:b w:val="0"/>
          <w:bCs w:val="0"/>
          <w:i w:val="0"/>
          <w:smallCaps w:val="0"/>
          <w:color w:val="auto"/>
          <w:spacing w:val="0"/>
        </w:rPr>
        <w:t>s</w:t>
      </w:r>
      <w:r w:rsidR="00AF1DD0">
        <w:rPr>
          <w:rStyle w:val="IntenseReference"/>
          <w:b w:val="0"/>
          <w:bCs w:val="0"/>
          <w:i w:val="0"/>
          <w:smallCaps w:val="0"/>
          <w:color w:val="auto"/>
          <w:spacing w:val="0"/>
        </w:rPr>
        <w:t xml:space="preserve"> that are saf</w:t>
      </w:r>
      <w:r w:rsidR="00DA4798">
        <w:rPr>
          <w:rStyle w:val="IntenseReference"/>
          <w:b w:val="0"/>
          <w:bCs w:val="0"/>
          <w:i w:val="0"/>
          <w:smallCaps w:val="0"/>
          <w:color w:val="auto"/>
          <w:spacing w:val="0"/>
        </w:rPr>
        <w:t>e to practis</w:t>
      </w:r>
      <w:r w:rsidR="00821024">
        <w:rPr>
          <w:rStyle w:val="IntenseReference"/>
          <w:b w:val="0"/>
          <w:bCs w:val="0"/>
          <w:i w:val="0"/>
          <w:smallCaps w:val="0"/>
          <w:color w:val="auto"/>
          <w:spacing w:val="0"/>
        </w:rPr>
        <w:t>e are able to do so.</w:t>
      </w:r>
    </w:p>
    <w:p w14:paraId="04A14DE2" w14:textId="245DA5DB" w:rsidR="00360864" w:rsidRDefault="00360864" w:rsidP="00821024">
      <w:pPr>
        <w:rPr>
          <w:rStyle w:val="IntenseReference"/>
          <w:b w:val="0"/>
          <w:bCs w:val="0"/>
          <w:i w:val="0"/>
          <w:smallCaps w:val="0"/>
          <w:color w:val="auto"/>
          <w:spacing w:val="0"/>
        </w:rPr>
      </w:pPr>
      <w:r w:rsidRPr="00360864">
        <w:rPr>
          <w:rStyle w:val="IntenseReference"/>
          <w:b w:val="0"/>
          <w:bCs w:val="0"/>
          <w:i w:val="0"/>
          <w:smallCaps w:val="0"/>
          <w:color w:val="auto"/>
          <w:spacing w:val="0"/>
        </w:rPr>
        <w:t>The legislation underpin</w:t>
      </w:r>
      <w:r w:rsidR="00D71153">
        <w:rPr>
          <w:rStyle w:val="IntenseReference"/>
          <w:b w:val="0"/>
          <w:bCs w:val="0"/>
          <w:i w:val="0"/>
          <w:smallCaps w:val="0"/>
          <w:color w:val="auto"/>
          <w:spacing w:val="0"/>
        </w:rPr>
        <w:t>ning the Scheme is established by</w:t>
      </w:r>
      <w:r>
        <w:rPr>
          <w:rStyle w:val="IntenseReference"/>
          <w:b w:val="0"/>
          <w:bCs w:val="0"/>
          <w:i w:val="0"/>
          <w:smallCaps w:val="0"/>
          <w:color w:val="auto"/>
          <w:spacing w:val="0"/>
        </w:rPr>
        <w:t xml:space="preserve"> c</w:t>
      </w:r>
      <w:r w:rsidRPr="00360864">
        <w:rPr>
          <w:rStyle w:val="IntenseReference"/>
          <w:b w:val="0"/>
          <w:bCs w:val="0"/>
          <w:i w:val="0"/>
          <w:smallCaps w:val="0"/>
          <w:color w:val="auto"/>
          <w:spacing w:val="0"/>
        </w:rPr>
        <w:t xml:space="preserve">omplementary legislation in each state and territory. In regards to the notification processes, it is important to note that both Queensland and </w:t>
      </w:r>
      <w:r>
        <w:rPr>
          <w:rStyle w:val="IntenseReference"/>
          <w:b w:val="0"/>
          <w:bCs w:val="0"/>
          <w:i w:val="0"/>
          <w:smallCaps w:val="0"/>
          <w:color w:val="auto"/>
          <w:spacing w:val="0"/>
        </w:rPr>
        <w:t>NSW are co</w:t>
      </w:r>
      <w:r w:rsidRPr="00360864">
        <w:rPr>
          <w:rStyle w:val="IntenseReference"/>
          <w:b w:val="0"/>
          <w:bCs w:val="0"/>
          <w:i w:val="0"/>
          <w:smallCaps w:val="0"/>
          <w:color w:val="auto"/>
          <w:spacing w:val="0"/>
        </w:rPr>
        <w:t>-r</w:t>
      </w:r>
      <w:r>
        <w:rPr>
          <w:rStyle w:val="IntenseReference"/>
          <w:b w:val="0"/>
          <w:bCs w:val="0"/>
          <w:i w:val="0"/>
          <w:smallCaps w:val="0"/>
          <w:color w:val="auto"/>
          <w:spacing w:val="0"/>
        </w:rPr>
        <w:t>e</w:t>
      </w:r>
      <w:r w:rsidRPr="00360864">
        <w:rPr>
          <w:rStyle w:val="IntenseReference"/>
          <w:b w:val="0"/>
          <w:bCs w:val="0"/>
          <w:i w:val="0"/>
          <w:smallCaps w:val="0"/>
          <w:color w:val="auto"/>
          <w:spacing w:val="0"/>
        </w:rPr>
        <w:t>gulatory jurisdictions. While</w:t>
      </w:r>
      <w:r>
        <w:rPr>
          <w:rStyle w:val="IntenseReference"/>
          <w:b w:val="0"/>
          <w:bCs w:val="0"/>
          <w:i w:val="0"/>
          <w:smallCaps w:val="0"/>
          <w:color w:val="auto"/>
          <w:spacing w:val="0"/>
        </w:rPr>
        <w:t xml:space="preserve"> there are differences i</w:t>
      </w:r>
      <w:r w:rsidR="007E2C3E">
        <w:rPr>
          <w:rStyle w:val="IntenseReference"/>
          <w:b w:val="0"/>
          <w:bCs w:val="0"/>
          <w:i w:val="0"/>
          <w:smallCaps w:val="0"/>
          <w:color w:val="auto"/>
          <w:spacing w:val="0"/>
        </w:rPr>
        <w:t xml:space="preserve">n the way notification </w:t>
      </w:r>
      <w:r>
        <w:rPr>
          <w:rStyle w:val="IntenseReference"/>
          <w:b w:val="0"/>
          <w:bCs w:val="0"/>
          <w:i w:val="0"/>
          <w:smallCaps w:val="0"/>
          <w:color w:val="auto"/>
          <w:spacing w:val="0"/>
        </w:rPr>
        <w:t>processes are managed by both of these states,</w:t>
      </w:r>
      <w:r w:rsidRPr="00360864">
        <w:rPr>
          <w:rStyle w:val="IntenseReference"/>
          <w:b w:val="0"/>
          <w:bCs w:val="0"/>
          <w:i w:val="0"/>
          <w:smallCaps w:val="0"/>
          <w:color w:val="auto"/>
          <w:spacing w:val="0"/>
        </w:rPr>
        <w:t xml:space="preserve"> it is important </w:t>
      </w:r>
      <w:r>
        <w:rPr>
          <w:rStyle w:val="IntenseReference"/>
          <w:b w:val="0"/>
          <w:bCs w:val="0"/>
          <w:i w:val="0"/>
          <w:smallCaps w:val="0"/>
          <w:color w:val="auto"/>
          <w:spacing w:val="0"/>
        </w:rPr>
        <w:t>to note that AHPRA</w:t>
      </w:r>
      <w:r w:rsidRPr="00360864">
        <w:rPr>
          <w:rStyle w:val="IntenseReference"/>
          <w:b w:val="0"/>
          <w:bCs w:val="0"/>
          <w:i w:val="0"/>
          <w:smallCaps w:val="0"/>
          <w:color w:val="auto"/>
          <w:spacing w:val="0"/>
        </w:rPr>
        <w:t xml:space="preserve"> itself has a limited role in notification </w:t>
      </w:r>
      <w:r>
        <w:rPr>
          <w:rStyle w:val="IntenseReference"/>
          <w:b w:val="0"/>
          <w:bCs w:val="0"/>
          <w:i w:val="0"/>
          <w:smallCaps w:val="0"/>
          <w:color w:val="auto"/>
          <w:spacing w:val="0"/>
        </w:rPr>
        <w:t>processes in these jurisdictions.</w:t>
      </w:r>
    </w:p>
    <w:p w14:paraId="4B999331" w14:textId="54DB82BD" w:rsidR="00360864" w:rsidRDefault="00360864" w:rsidP="00821024">
      <w:pPr>
        <w:rPr>
          <w:rStyle w:val="IntenseReference"/>
          <w:b w:val="0"/>
          <w:bCs w:val="0"/>
          <w:i w:val="0"/>
          <w:smallCaps w:val="0"/>
          <w:color w:val="auto"/>
          <w:spacing w:val="0"/>
        </w:rPr>
      </w:pPr>
      <w:r>
        <w:rPr>
          <w:rStyle w:val="IntenseReference"/>
          <w:b w:val="0"/>
          <w:bCs w:val="0"/>
          <w:i w:val="0"/>
          <w:smallCaps w:val="0"/>
          <w:color w:val="auto"/>
          <w:spacing w:val="0"/>
        </w:rPr>
        <w:t>The legislation which established the Scheme provides a number of mechanism</w:t>
      </w:r>
      <w:r w:rsidR="00F57ADF">
        <w:rPr>
          <w:rStyle w:val="IntenseReference"/>
          <w:b w:val="0"/>
          <w:bCs w:val="0"/>
          <w:i w:val="0"/>
          <w:smallCaps w:val="0"/>
          <w:color w:val="auto"/>
          <w:spacing w:val="0"/>
        </w:rPr>
        <w:t>s</w:t>
      </w:r>
      <w:r>
        <w:rPr>
          <w:rStyle w:val="IntenseReference"/>
          <w:b w:val="0"/>
          <w:bCs w:val="0"/>
          <w:i w:val="0"/>
          <w:smallCaps w:val="0"/>
          <w:color w:val="auto"/>
          <w:spacing w:val="0"/>
        </w:rPr>
        <w:t xml:space="preserve"> to address issues that are identified with a practitioner</w:t>
      </w:r>
      <w:r w:rsidR="00F57ADF">
        <w:rPr>
          <w:rStyle w:val="IntenseReference"/>
          <w:b w:val="0"/>
          <w:bCs w:val="0"/>
          <w:i w:val="0"/>
          <w:smallCaps w:val="0"/>
          <w:color w:val="auto"/>
          <w:spacing w:val="0"/>
        </w:rPr>
        <w:t>’s</w:t>
      </w:r>
      <w:r>
        <w:rPr>
          <w:rStyle w:val="IntenseReference"/>
          <w:b w:val="0"/>
          <w:bCs w:val="0"/>
          <w:i w:val="0"/>
          <w:smallCaps w:val="0"/>
          <w:color w:val="auto"/>
          <w:spacing w:val="0"/>
        </w:rPr>
        <w:t xml:space="preserve"> practice</w:t>
      </w:r>
      <w:r w:rsidR="007E2C3E">
        <w:rPr>
          <w:rStyle w:val="IntenseReference"/>
          <w:b w:val="0"/>
          <w:bCs w:val="0"/>
          <w:i w:val="0"/>
          <w:smallCaps w:val="0"/>
          <w:color w:val="auto"/>
          <w:spacing w:val="0"/>
        </w:rPr>
        <w:t>,</w:t>
      </w:r>
      <w:r>
        <w:rPr>
          <w:rStyle w:val="IntenseReference"/>
          <w:b w:val="0"/>
          <w:bCs w:val="0"/>
          <w:i w:val="0"/>
          <w:smallCaps w:val="0"/>
          <w:color w:val="auto"/>
          <w:spacing w:val="0"/>
        </w:rPr>
        <w:t xml:space="preserve"> other than cancelling or suspending a practitioner’s registration. </w:t>
      </w:r>
      <w:r w:rsidR="007E2C3E">
        <w:rPr>
          <w:rStyle w:val="IntenseReference"/>
          <w:b w:val="0"/>
          <w:bCs w:val="0"/>
          <w:i w:val="0"/>
          <w:smallCaps w:val="0"/>
          <w:color w:val="auto"/>
          <w:spacing w:val="0"/>
        </w:rPr>
        <w:t xml:space="preserve">These mechanisms include cautions, reprimands and time-limited or permanent conditions on a practitioner’s practice. </w:t>
      </w:r>
      <w:r w:rsidR="00BE738F">
        <w:rPr>
          <w:rStyle w:val="IntenseReference"/>
          <w:b w:val="0"/>
          <w:bCs w:val="0"/>
          <w:i w:val="0"/>
          <w:smallCaps w:val="0"/>
          <w:color w:val="auto"/>
          <w:spacing w:val="0"/>
        </w:rPr>
        <w:t>Conditions can include requirements for supervised practice or the need to complete relevant education in an area of professional practice that has been identified as a concern. These</w:t>
      </w:r>
      <w:r>
        <w:rPr>
          <w:rStyle w:val="IntenseReference"/>
          <w:b w:val="0"/>
          <w:bCs w:val="0"/>
          <w:i w:val="0"/>
          <w:smallCaps w:val="0"/>
          <w:color w:val="auto"/>
          <w:spacing w:val="0"/>
        </w:rPr>
        <w:t xml:space="preserve"> </w:t>
      </w:r>
      <w:r w:rsidR="000E4943">
        <w:rPr>
          <w:rStyle w:val="IntenseReference"/>
          <w:b w:val="0"/>
          <w:bCs w:val="0"/>
          <w:i w:val="0"/>
          <w:smallCaps w:val="0"/>
          <w:color w:val="auto"/>
          <w:spacing w:val="0"/>
        </w:rPr>
        <w:t xml:space="preserve">mechanisms </w:t>
      </w:r>
      <w:r>
        <w:rPr>
          <w:rStyle w:val="IntenseReference"/>
          <w:b w:val="0"/>
          <w:bCs w:val="0"/>
          <w:i w:val="0"/>
          <w:smallCaps w:val="0"/>
          <w:color w:val="auto"/>
          <w:spacing w:val="0"/>
        </w:rPr>
        <w:t>are imp</w:t>
      </w:r>
      <w:r w:rsidR="007E2C3E">
        <w:rPr>
          <w:rStyle w:val="IntenseReference"/>
          <w:b w:val="0"/>
          <w:bCs w:val="0"/>
          <w:i w:val="0"/>
          <w:smallCaps w:val="0"/>
          <w:color w:val="auto"/>
          <w:spacing w:val="0"/>
        </w:rPr>
        <w:t xml:space="preserve">ortant in that while providing </w:t>
      </w:r>
      <w:r>
        <w:rPr>
          <w:rStyle w:val="IntenseReference"/>
          <w:b w:val="0"/>
          <w:bCs w:val="0"/>
          <w:i w:val="0"/>
          <w:smallCaps w:val="0"/>
          <w:color w:val="auto"/>
          <w:spacing w:val="0"/>
        </w:rPr>
        <w:t>public protection, practitioners can be supported to imp</w:t>
      </w:r>
      <w:r w:rsidR="00F57ADF">
        <w:rPr>
          <w:rStyle w:val="IntenseReference"/>
          <w:b w:val="0"/>
          <w:bCs w:val="0"/>
          <w:i w:val="0"/>
          <w:smallCaps w:val="0"/>
          <w:color w:val="auto"/>
          <w:spacing w:val="0"/>
        </w:rPr>
        <w:t>rove their practice</w:t>
      </w:r>
      <w:r w:rsidR="007E2C3E">
        <w:rPr>
          <w:rStyle w:val="IntenseReference"/>
          <w:b w:val="0"/>
          <w:bCs w:val="0"/>
          <w:i w:val="0"/>
          <w:smallCaps w:val="0"/>
          <w:color w:val="auto"/>
          <w:spacing w:val="0"/>
        </w:rPr>
        <w:t xml:space="preserve"> </w:t>
      </w:r>
      <w:r>
        <w:rPr>
          <w:rStyle w:val="IntenseReference"/>
          <w:b w:val="0"/>
          <w:bCs w:val="0"/>
          <w:i w:val="0"/>
          <w:smallCaps w:val="0"/>
          <w:color w:val="auto"/>
          <w:spacing w:val="0"/>
        </w:rPr>
        <w:t>follow</w:t>
      </w:r>
      <w:r w:rsidR="00821024">
        <w:rPr>
          <w:rStyle w:val="IntenseReference"/>
          <w:b w:val="0"/>
          <w:bCs w:val="0"/>
          <w:i w:val="0"/>
          <w:smallCaps w:val="0"/>
          <w:color w:val="auto"/>
          <w:spacing w:val="0"/>
        </w:rPr>
        <w:t>ing the investigation process.</w:t>
      </w:r>
    </w:p>
    <w:p w14:paraId="4A53B42C" w14:textId="1EAC6B89" w:rsidR="00EE187B" w:rsidRDefault="00BE738F" w:rsidP="00821024">
      <w:pPr>
        <w:rPr>
          <w:rStyle w:val="IntenseReference"/>
          <w:b w:val="0"/>
          <w:bCs w:val="0"/>
          <w:i w:val="0"/>
          <w:smallCaps w:val="0"/>
          <w:color w:val="auto"/>
          <w:spacing w:val="0"/>
        </w:rPr>
      </w:pPr>
      <w:r>
        <w:rPr>
          <w:rStyle w:val="IntenseReference"/>
          <w:b w:val="0"/>
          <w:bCs w:val="0"/>
          <w:i w:val="0"/>
          <w:smallCaps w:val="0"/>
          <w:color w:val="auto"/>
          <w:spacing w:val="0"/>
        </w:rPr>
        <w:t>H</w:t>
      </w:r>
      <w:r w:rsidR="00DA49A8">
        <w:rPr>
          <w:rStyle w:val="IntenseReference"/>
          <w:b w:val="0"/>
          <w:bCs w:val="0"/>
          <w:i w:val="0"/>
          <w:smallCaps w:val="0"/>
          <w:color w:val="auto"/>
          <w:spacing w:val="0"/>
        </w:rPr>
        <w:t>e</w:t>
      </w:r>
      <w:r w:rsidR="00AF1DD0">
        <w:rPr>
          <w:rStyle w:val="IntenseReference"/>
          <w:b w:val="0"/>
          <w:bCs w:val="0"/>
          <w:i w:val="0"/>
          <w:smallCaps w:val="0"/>
          <w:color w:val="auto"/>
          <w:spacing w:val="0"/>
        </w:rPr>
        <w:t xml:space="preserve">alth practitioners </w:t>
      </w:r>
      <w:r w:rsidR="00DC759C">
        <w:rPr>
          <w:rStyle w:val="IntenseReference"/>
          <w:b w:val="0"/>
          <w:bCs w:val="0"/>
          <w:i w:val="0"/>
          <w:smallCaps w:val="0"/>
          <w:color w:val="auto"/>
          <w:spacing w:val="0"/>
        </w:rPr>
        <w:t>must</w:t>
      </w:r>
      <w:r w:rsidR="00AF1DD0">
        <w:rPr>
          <w:rStyle w:val="IntenseReference"/>
          <w:b w:val="0"/>
          <w:bCs w:val="0"/>
          <w:i w:val="0"/>
          <w:smallCaps w:val="0"/>
          <w:color w:val="auto"/>
          <w:spacing w:val="0"/>
        </w:rPr>
        <w:t xml:space="preserve"> feel confident that when a complaint </w:t>
      </w:r>
      <w:r w:rsidR="00DC759C">
        <w:rPr>
          <w:rStyle w:val="IntenseReference"/>
          <w:b w:val="0"/>
          <w:bCs w:val="0"/>
          <w:i w:val="0"/>
          <w:smallCaps w:val="0"/>
          <w:color w:val="auto"/>
          <w:spacing w:val="0"/>
        </w:rPr>
        <w:t xml:space="preserve">is made </w:t>
      </w:r>
      <w:r w:rsidR="00AF1DD0">
        <w:rPr>
          <w:rStyle w:val="IntenseReference"/>
          <w:b w:val="0"/>
          <w:bCs w:val="0"/>
          <w:i w:val="0"/>
          <w:smallCaps w:val="0"/>
          <w:color w:val="auto"/>
          <w:spacing w:val="0"/>
        </w:rPr>
        <w:t>against them</w:t>
      </w:r>
      <w:r w:rsidR="00D52454">
        <w:rPr>
          <w:rStyle w:val="IntenseReference"/>
          <w:b w:val="0"/>
          <w:bCs w:val="0"/>
          <w:i w:val="0"/>
          <w:smallCaps w:val="0"/>
          <w:color w:val="auto"/>
          <w:spacing w:val="0"/>
        </w:rPr>
        <w:t>,</w:t>
      </w:r>
      <w:r w:rsidR="000E4943">
        <w:rPr>
          <w:rStyle w:val="IntenseReference"/>
          <w:b w:val="0"/>
          <w:bCs w:val="0"/>
          <w:i w:val="0"/>
          <w:smallCaps w:val="0"/>
          <w:color w:val="auto"/>
          <w:spacing w:val="0"/>
        </w:rPr>
        <w:t xml:space="preserve"> they will be treated fairly</w:t>
      </w:r>
      <w:r w:rsidR="00AF1DD0">
        <w:rPr>
          <w:rStyle w:val="IntenseReference"/>
          <w:b w:val="0"/>
          <w:bCs w:val="0"/>
          <w:i w:val="0"/>
          <w:smallCaps w:val="0"/>
          <w:color w:val="auto"/>
          <w:spacing w:val="0"/>
        </w:rPr>
        <w:t xml:space="preserve"> and that the matter will be resolved in a timely </w:t>
      </w:r>
      <w:r w:rsidR="000E4943">
        <w:rPr>
          <w:rStyle w:val="IntenseReference"/>
          <w:b w:val="0"/>
          <w:bCs w:val="0"/>
          <w:i w:val="0"/>
          <w:smallCaps w:val="0"/>
          <w:color w:val="auto"/>
          <w:spacing w:val="0"/>
        </w:rPr>
        <w:t xml:space="preserve">and transparent </w:t>
      </w:r>
      <w:r w:rsidR="00AF1DD0">
        <w:rPr>
          <w:rStyle w:val="IntenseReference"/>
          <w:b w:val="0"/>
          <w:bCs w:val="0"/>
          <w:i w:val="0"/>
          <w:smallCaps w:val="0"/>
          <w:color w:val="auto"/>
          <w:spacing w:val="0"/>
        </w:rPr>
        <w:t xml:space="preserve">manner. </w:t>
      </w:r>
      <w:r w:rsidR="00EE187B" w:rsidRPr="00483113">
        <w:rPr>
          <w:rStyle w:val="IntenseReference"/>
          <w:b w:val="0"/>
          <w:bCs w:val="0"/>
          <w:i w:val="0"/>
          <w:smallCaps w:val="0"/>
          <w:color w:val="auto"/>
          <w:spacing w:val="0"/>
        </w:rPr>
        <w:t>The Australian Gove</w:t>
      </w:r>
      <w:r w:rsidR="00EE187B">
        <w:rPr>
          <w:rStyle w:val="IntenseReference"/>
          <w:b w:val="0"/>
          <w:bCs w:val="0"/>
          <w:i w:val="0"/>
          <w:smallCaps w:val="0"/>
          <w:color w:val="auto"/>
          <w:spacing w:val="0"/>
        </w:rPr>
        <w:t xml:space="preserve">rnment recognises that being a recipient of a notification can have a significant impact on a practitioner and acknowledges the </w:t>
      </w:r>
      <w:r w:rsidR="007C2054">
        <w:rPr>
          <w:rStyle w:val="IntenseReference"/>
          <w:b w:val="0"/>
          <w:bCs w:val="0"/>
          <w:i w:val="0"/>
          <w:smallCaps w:val="0"/>
          <w:color w:val="auto"/>
          <w:spacing w:val="0"/>
        </w:rPr>
        <w:t xml:space="preserve">potential </w:t>
      </w:r>
      <w:r w:rsidR="00EE187B">
        <w:rPr>
          <w:rStyle w:val="IntenseReference"/>
          <w:b w:val="0"/>
          <w:bCs w:val="0"/>
          <w:i w:val="0"/>
          <w:smallCaps w:val="0"/>
          <w:color w:val="auto"/>
          <w:spacing w:val="0"/>
        </w:rPr>
        <w:t>ongoing stress while the matter is being considered. A nu</w:t>
      </w:r>
      <w:r w:rsidR="00F57ADF">
        <w:rPr>
          <w:rStyle w:val="IntenseReference"/>
          <w:b w:val="0"/>
          <w:bCs w:val="0"/>
          <w:i w:val="0"/>
          <w:smallCaps w:val="0"/>
          <w:color w:val="auto"/>
          <w:spacing w:val="0"/>
        </w:rPr>
        <w:t>mber of parties to the inquiry</w:t>
      </w:r>
      <w:r w:rsidR="00EE187B">
        <w:rPr>
          <w:rStyle w:val="IntenseReference"/>
          <w:b w:val="0"/>
          <w:bCs w:val="0"/>
          <w:i w:val="0"/>
          <w:smallCaps w:val="0"/>
          <w:color w:val="auto"/>
          <w:spacing w:val="0"/>
        </w:rPr>
        <w:t xml:space="preserve"> particularly noted the impact of vexatious complaints on practitioners</w:t>
      </w:r>
      <w:r w:rsidR="00821024">
        <w:rPr>
          <w:rStyle w:val="IntenseReference"/>
          <w:b w:val="0"/>
          <w:bCs w:val="0"/>
          <w:i w:val="0"/>
          <w:smallCaps w:val="0"/>
          <w:color w:val="auto"/>
          <w:spacing w:val="0"/>
        </w:rPr>
        <w:t>.</w:t>
      </w:r>
    </w:p>
    <w:p w14:paraId="24937F41" w14:textId="792B3F6E" w:rsidR="00EE187B" w:rsidRDefault="00EE187B" w:rsidP="00821024">
      <w:pPr>
        <w:rPr>
          <w:rStyle w:val="IntenseReference"/>
          <w:b w:val="0"/>
          <w:bCs w:val="0"/>
          <w:i w:val="0"/>
          <w:smallCaps w:val="0"/>
          <w:color w:val="auto"/>
          <w:spacing w:val="0"/>
        </w:rPr>
      </w:pPr>
      <w:r>
        <w:rPr>
          <w:rStyle w:val="IntenseReference"/>
          <w:b w:val="0"/>
          <w:bCs w:val="0"/>
          <w:i w:val="0"/>
          <w:smallCaps w:val="0"/>
          <w:color w:val="auto"/>
          <w:spacing w:val="0"/>
        </w:rPr>
        <w:t xml:space="preserve">A person making a notification must also </w:t>
      </w:r>
      <w:r w:rsidRPr="00483113">
        <w:rPr>
          <w:rStyle w:val="IntenseReference"/>
          <w:b w:val="0"/>
          <w:bCs w:val="0"/>
          <w:i w:val="0"/>
          <w:smallCaps w:val="0"/>
          <w:color w:val="auto"/>
          <w:spacing w:val="0"/>
        </w:rPr>
        <w:t>feel that their concern</w:t>
      </w:r>
      <w:r>
        <w:rPr>
          <w:rStyle w:val="IntenseReference"/>
          <w:b w:val="0"/>
          <w:bCs w:val="0"/>
          <w:i w:val="0"/>
          <w:smallCaps w:val="0"/>
          <w:color w:val="auto"/>
          <w:spacing w:val="0"/>
        </w:rPr>
        <w:t>s</w:t>
      </w:r>
      <w:r w:rsidRPr="00483113">
        <w:rPr>
          <w:rStyle w:val="IntenseReference"/>
          <w:b w:val="0"/>
          <w:bCs w:val="0"/>
          <w:i w:val="0"/>
          <w:smallCaps w:val="0"/>
          <w:color w:val="auto"/>
          <w:spacing w:val="0"/>
        </w:rPr>
        <w:t xml:space="preserve"> ha</w:t>
      </w:r>
      <w:r>
        <w:rPr>
          <w:rStyle w:val="IntenseReference"/>
          <w:b w:val="0"/>
          <w:bCs w:val="0"/>
          <w:i w:val="0"/>
          <w:smallCaps w:val="0"/>
          <w:color w:val="auto"/>
          <w:spacing w:val="0"/>
        </w:rPr>
        <w:t>ve</w:t>
      </w:r>
      <w:r w:rsidRPr="00483113">
        <w:rPr>
          <w:rStyle w:val="IntenseReference"/>
          <w:b w:val="0"/>
          <w:bCs w:val="0"/>
          <w:i w:val="0"/>
          <w:smallCaps w:val="0"/>
          <w:color w:val="auto"/>
          <w:spacing w:val="0"/>
        </w:rPr>
        <w:t xml:space="preserve"> been </w:t>
      </w:r>
      <w:r w:rsidR="00272039" w:rsidRPr="00483113">
        <w:rPr>
          <w:rStyle w:val="IntenseReference"/>
          <w:b w:val="0"/>
          <w:bCs w:val="0"/>
          <w:i w:val="0"/>
          <w:smallCaps w:val="0"/>
          <w:color w:val="auto"/>
          <w:spacing w:val="0"/>
        </w:rPr>
        <w:t>heard</w:t>
      </w:r>
      <w:r w:rsidRPr="00483113">
        <w:rPr>
          <w:rStyle w:val="IntenseReference"/>
          <w:b w:val="0"/>
          <w:bCs w:val="0"/>
          <w:i w:val="0"/>
          <w:smallCaps w:val="0"/>
          <w:color w:val="auto"/>
          <w:spacing w:val="0"/>
        </w:rPr>
        <w:t xml:space="preserve"> and that each notification is taken se</w:t>
      </w:r>
      <w:r w:rsidR="00272039">
        <w:rPr>
          <w:rStyle w:val="IntenseReference"/>
          <w:b w:val="0"/>
          <w:bCs w:val="0"/>
          <w:i w:val="0"/>
          <w:smallCaps w:val="0"/>
          <w:color w:val="auto"/>
          <w:spacing w:val="0"/>
        </w:rPr>
        <w:t>rious</w:t>
      </w:r>
      <w:r w:rsidR="00821024">
        <w:rPr>
          <w:rStyle w:val="IntenseReference"/>
          <w:b w:val="0"/>
          <w:bCs w:val="0"/>
          <w:i w:val="0"/>
          <w:smallCaps w:val="0"/>
          <w:color w:val="auto"/>
          <w:spacing w:val="0"/>
        </w:rPr>
        <w:t xml:space="preserve">ly and assessed appropriately. </w:t>
      </w:r>
      <w:r w:rsidR="00272039">
        <w:rPr>
          <w:rStyle w:val="IntenseReference"/>
          <w:b w:val="0"/>
          <w:bCs w:val="0"/>
          <w:i w:val="0"/>
          <w:smallCaps w:val="0"/>
          <w:color w:val="auto"/>
          <w:spacing w:val="0"/>
        </w:rPr>
        <w:t>This is part of t</w:t>
      </w:r>
      <w:r w:rsidR="00360864">
        <w:rPr>
          <w:rStyle w:val="IntenseReference"/>
          <w:b w:val="0"/>
          <w:bCs w:val="0"/>
          <w:i w:val="0"/>
          <w:smallCaps w:val="0"/>
          <w:color w:val="auto"/>
          <w:spacing w:val="0"/>
        </w:rPr>
        <w:t xml:space="preserve">he difficult balance that </w:t>
      </w:r>
      <w:r w:rsidR="00272039">
        <w:rPr>
          <w:rStyle w:val="IntenseReference"/>
          <w:b w:val="0"/>
          <w:bCs w:val="0"/>
          <w:i w:val="0"/>
          <w:smallCaps w:val="0"/>
          <w:color w:val="auto"/>
          <w:spacing w:val="0"/>
        </w:rPr>
        <w:t xml:space="preserve">must </w:t>
      </w:r>
      <w:r w:rsidR="00F57ADF">
        <w:rPr>
          <w:rStyle w:val="IntenseReference"/>
          <w:b w:val="0"/>
          <w:bCs w:val="0"/>
          <w:i w:val="0"/>
          <w:smallCaps w:val="0"/>
          <w:color w:val="auto"/>
          <w:spacing w:val="0"/>
        </w:rPr>
        <w:t xml:space="preserve">be </w:t>
      </w:r>
      <w:r w:rsidR="00272039">
        <w:rPr>
          <w:rStyle w:val="IntenseReference"/>
          <w:b w:val="0"/>
          <w:bCs w:val="0"/>
          <w:i w:val="0"/>
          <w:smallCaps w:val="0"/>
          <w:color w:val="auto"/>
          <w:spacing w:val="0"/>
        </w:rPr>
        <w:t>achieve</w:t>
      </w:r>
      <w:r w:rsidR="00BE738F">
        <w:rPr>
          <w:rStyle w:val="IntenseReference"/>
          <w:b w:val="0"/>
          <w:bCs w:val="0"/>
          <w:i w:val="0"/>
          <w:smallCaps w:val="0"/>
          <w:color w:val="auto"/>
          <w:spacing w:val="0"/>
        </w:rPr>
        <w:t>d</w:t>
      </w:r>
      <w:r w:rsidR="00272039">
        <w:rPr>
          <w:rStyle w:val="IntenseReference"/>
          <w:b w:val="0"/>
          <w:bCs w:val="0"/>
          <w:i w:val="0"/>
          <w:smallCaps w:val="0"/>
          <w:color w:val="auto"/>
          <w:spacing w:val="0"/>
        </w:rPr>
        <w:t xml:space="preserve"> </w:t>
      </w:r>
      <w:r w:rsidR="00D4369E">
        <w:rPr>
          <w:rStyle w:val="IntenseReference"/>
          <w:b w:val="0"/>
          <w:bCs w:val="0"/>
          <w:i w:val="0"/>
          <w:smallCaps w:val="0"/>
          <w:color w:val="auto"/>
          <w:spacing w:val="0"/>
        </w:rPr>
        <w:t>between the rights of the notifier (whether that be a pra</w:t>
      </w:r>
      <w:r w:rsidR="00F57ADF">
        <w:rPr>
          <w:rStyle w:val="IntenseReference"/>
          <w:b w:val="0"/>
          <w:bCs w:val="0"/>
          <w:i w:val="0"/>
          <w:smallCaps w:val="0"/>
          <w:color w:val="auto"/>
          <w:spacing w:val="0"/>
        </w:rPr>
        <w:t>ctitioner or a community member</w:t>
      </w:r>
      <w:r w:rsidR="00D4369E">
        <w:rPr>
          <w:rStyle w:val="IntenseReference"/>
          <w:b w:val="0"/>
          <w:bCs w:val="0"/>
          <w:i w:val="0"/>
          <w:smallCaps w:val="0"/>
          <w:color w:val="auto"/>
          <w:spacing w:val="0"/>
        </w:rPr>
        <w:t>) and the practitioner who has the notification made against them</w:t>
      </w:r>
      <w:r w:rsidR="00F57ADF">
        <w:rPr>
          <w:rStyle w:val="IntenseReference"/>
          <w:b w:val="0"/>
          <w:bCs w:val="0"/>
          <w:i w:val="0"/>
          <w:smallCaps w:val="0"/>
          <w:color w:val="auto"/>
          <w:spacing w:val="0"/>
        </w:rPr>
        <w:t>.</w:t>
      </w:r>
    </w:p>
    <w:p w14:paraId="188D16B9" w14:textId="78FCD0FB" w:rsidR="00910EAF" w:rsidRDefault="00B668B8" w:rsidP="00821024">
      <w:pPr>
        <w:rPr>
          <w:rStyle w:val="IntenseReference"/>
          <w:b w:val="0"/>
          <w:bCs w:val="0"/>
          <w:i w:val="0"/>
          <w:smallCaps w:val="0"/>
          <w:color w:val="auto"/>
          <w:spacing w:val="0"/>
        </w:rPr>
      </w:pPr>
      <w:r>
        <w:rPr>
          <w:rStyle w:val="IntenseReference"/>
          <w:b w:val="0"/>
          <w:bCs w:val="0"/>
          <w:i w:val="0"/>
          <w:smallCaps w:val="0"/>
          <w:color w:val="auto"/>
          <w:spacing w:val="0"/>
        </w:rPr>
        <w:t xml:space="preserve">Health Ministers, through the COAG Health Council </w:t>
      </w:r>
      <w:r w:rsidR="00C42318">
        <w:rPr>
          <w:rStyle w:val="IntenseReference"/>
          <w:b w:val="0"/>
          <w:bCs w:val="0"/>
          <w:i w:val="0"/>
          <w:smallCaps w:val="0"/>
          <w:color w:val="auto"/>
          <w:spacing w:val="0"/>
        </w:rPr>
        <w:t xml:space="preserve">have </w:t>
      </w:r>
      <w:r w:rsidR="00360864">
        <w:rPr>
          <w:rStyle w:val="IntenseReference"/>
          <w:b w:val="0"/>
          <w:bCs w:val="0"/>
          <w:i w:val="0"/>
          <w:smallCaps w:val="0"/>
          <w:color w:val="auto"/>
          <w:spacing w:val="0"/>
        </w:rPr>
        <w:t>the important ro</w:t>
      </w:r>
      <w:r w:rsidR="00D4369E">
        <w:rPr>
          <w:rStyle w:val="IntenseReference"/>
          <w:b w:val="0"/>
          <w:bCs w:val="0"/>
          <w:i w:val="0"/>
          <w:smallCaps w:val="0"/>
          <w:color w:val="auto"/>
          <w:spacing w:val="0"/>
        </w:rPr>
        <w:t xml:space="preserve">le of </w:t>
      </w:r>
      <w:r w:rsidR="00C42318">
        <w:rPr>
          <w:rStyle w:val="IntenseReference"/>
          <w:b w:val="0"/>
          <w:bCs w:val="0"/>
          <w:i w:val="0"/>
          <w:smallCaps w:val="0"/>
          <w:color w:val="auto"/>
          <w:spacing w:val="0"/>
        </w:rPr>
        <w:t xml:space="preserve">policy oversight of the Scheme. </w:t>
      </w:r>
      <w:r w:rsidR="0067402D">
        <w:rPr>
          <w:rStyle w:val="IntenseReference"/>
          <w:b w:val="0"/>
          <w:bCs w:val="0"/>
          <w:i w:val="0"/>
          <w:smallCaps w:val="0"/>
          <w:color w:val="auto"/>
          <w:spacing w:val="0"/>
        </w:rPr>
        <w:t>Following</w:t>
      </w:r>
      <w:r w:rsidR="009016C6">
        <w:rPr>
          <w:rStyle w:val="IntenseReference"/>
          <w:b w:val="0"/>
          <w:bCs w:val="0"/>
          <w:i w:val="0"/>
          <w:smallCaps w:val="0"/>
          <w:color w:val="auto"/>
          <w:spacing w:val="0"/>
        </w:rPr>
        <w:t xml:space="preserve"> the release of</w:t>
      </w:r>
      <w:r w:rsidR="0067402D">
        <w:rPr>
          <w:rStyle w:val="IntenseReference"/>
          <w:b w:val="0"/>
          <w:bCs w:val="0"/>
          <w:i w:val="0"/>
          <w:smallCaps w:val="0"/>
          <w:color w:val="auto"/>
          <w:spacing w:val="0"/>
        </w:rPr>
        <w:t xml:space="preserve"> </w:t>
      </w:r>
      <w:r w:rsidR="00D20178">
        <w:rPr>
          <w:rStyle w:val="IntenseReference"/>
          <w:b w:val="0"/>
          <w:bCs w:val="0"/>
          <w:i w:val="0"/>
          <w:smallCaps w:val="0"/>
          <w:color w:val="auto"/>
          <w:spacing w:val="0"/>
        </w:rPr>
        <w:t>the</w:t>
      </w:r>
      <w:r w:rsidR="00D20178" w:rsidRPr="00821024">
        <w:rPr>
          <w:rStyle w:val="Emphasis"/>
        </w:rPr>
        <w:t xml:space="preserve"> Independent Review of the National Registration and Accreditation Scheme for health professions </w:t>
      </w:r>
      <w:r w:rsidR="00D20178">
        <w:rPr>
          <w:rStyle w:val="IntenseReference"/>
          <w:b w:val="0"/>
          <w:bCs w:val="0"/>
          <w:i w:val="0"/>
          <w:smallCaps w:val="0"/>
          <w:color w:val="auto"/>
          <w:spacing w:val="0"/>
        </w:rPr>
        <w:t>(NRAS Review)</w:t>
      </w:r>
      <w:r w:rsidR="003C4C1D">
        <w:rPr>
          <w:rStyle w:val="IntenseReference"/>
          <w:b w:val="0"/>
          <w:bCs w:val="0"/>
          <w:i w:val="0"/>
          <w:smallCaps w:val="0"/>
          <w:color w:val="auto"/>
          <w:spacing w:val="0"/>
        </w:rPr>
        <w:t xml:space="preserve"> in August 201</w:t>
      </w:r>
      <w:r w:rsidR="009016C6">
        <w:rPr>
          <w:rStyle w:val="IntenseReference"/>
          <w:b w:val="0"/>
          <w:bCs w:val="0"/>
          <w:i w:val="0"/>
          <w:smallCaps w:val="0"/>
          <w:color w:val="auto"/>
          <w:spacing w:val="0"/>
        </w:rPr>
        <w:t>5</w:t>
      </w:r>
      <w:r w:rsidR="003C4C1D">
        <w:rPr>
          <w:rStyle w:val="IntenseReference"/>
          <w:b w:val="0"/>
          <w:bCs w:val="0"/>
          <w:i w:val="0"/>
          <w:smallCaps w:val="0"/>
          <w:color w:val="auto"/>
          <w:spacing w:val="0"/>
        </w:rPr>
        <w:t>,</w:t>
      </w:r>
      <w:r w:rsidR="0067402D">
        <w:rPr>
          <w:rStyle w:val="IntenseReference"/>
          <w:b w:val="0"/>
          <w:bCs w:val="0"/>
          <w:i w:val="0"/>
          <w:smallCaps w:val="0"/>
          <w:color w:val="auto"/>
          <w:spacing w:val="0"/>
        </w:rPr>
        <w:t xml:space="preserve"> Health Ministers requested immediate implementation of a number of recommendations including </w:t>
      </w:r>
      <w:r w:rsidR="002A58F6">
        <w:rPr>
          <w:rStyle w:val="IntenseReference"/>
          <w:b w:val="0"/>
          <w:bCs w:val="0"/>
          <w:i w:val="0"/>
          <w:smallCaps w:val="0"/>
          <w:color w:val="auto"/>
          <w:spacing w:val="0"/>
        </w:rPr>
        <w:t xml:space="preserve">those </w:t>
      </w:r>
      <w:r w:rsidR="0067402D">
        <w:rPr>
          <w:rStyle w:val="IntenseReference"/>
          <w:b w:val="0"/>
          <w:bCs w:val="0"/>
          <w:i w:val="0"/>
          <w:smallCaps w:val="0"/>
          <w:color w:val="auto"/>
          <w:spacing w:val="0"/>
        </w:rPr>
        <w:t>to improve the</w:t>
      </w:r>
      <w:r w:rsidR="00D52454">
        <w:rPr>
          <w:rStyle w:val="IntenseReference"/>
          <w:b w:val="0"/>
          <w:bCs w:val="0"/>
          <w:i w:val="0"/>
          <w:smallCaps w:val="0"/>
          <w:color w:val="auto"/>
          <w:spacing w:val="0"/>
        </w:rPr>
        <w:t xml:space="preserve"> notification process</w:t>
      </w:r>
      <w:r w:rsidR="0067402D">
        <w:rPr>
          <w:rStyle w:val="IntenseReference"/>
          <w:b w:val="0"/>
          <w:bCs w:val="0"/>
          <w:i w:val="0"/>
          <w:smallCaps w:val="0"/>
          <w:color w:val="auto"/>
          <w:spacing w:val="0"/>
        </w:rPr>
        <w:t xml:space="preserve">. </w:t>
      </w:r>
      <w:r w:rsidR="009016C6">
        <w:rPr>
          <w:rStyle w:val="IntenseReference"/>
          <w:b w:val="0"/>
          <w:bCs w:val="0"/>
          <w:i w:val="0"/>
          <w:smallCaps w:val="0"/>
          <w:color w:val="auto"/>
          <w:spacing w:val="0"/>
        </w:rPr>
        <w:t xml:space="preserve"> </w:t>
      </w:r>
      <w:r w:rsidR="0067402D">
        <w:rPr>
          <w:rStyle w:val="IntenseReference"/>
          <w:b w:val="0"/>
          <w:bCs w:val="0"/>
          <w:i w:val="0"/>
          <w:smallCaps w:val="0"/>
          <w:color w:val="auto"/>
          <w:spacing w:val="0"/>
        </w:rPr>
        <w:t>AHPRA has subsequently made and reported on a number of administrative improvements</w:t>
      </w:r>
      <w:r w:rsidR="00E75DD8">
        <w:rPr>
          <w:rStyle w:val="IntenseReference"/>
          <w:b w:val="0"/>
          <w:bCs w:val="0"/>
          <w:i w:val="0"/>
          <w:smallCaps w:val="0"/>
          <w:color w:val="auto"/>
          <w:spacing w:val="0"/>
        </w:rPr>
        <w:t xml:space="preserve"> and has consulted widely with consumers to gain feedback and to gauge </w:t>
      </w:r>
      <w:r w:rsidR="00D4369E">
        <w:rPr>
          <w:rStyle w:val="IntenseReference"/>
          <w:b w:val="0"/>
          <w:bCs w:val="0"/>
          <w:i w:val="0"/>
          <w:smallCaps w:val="0"/>
          <w:color w:val="auto"/>
          <w:spacing w:val="0"/>
        </w:rPr>
        <w:t xml:space="preserve">community </w:t>
      </w:r>
      <w:r w:rsidR="00E75DD8">
        <w:rPr>
          <w:rStyle w:val="IntenseReference"/>
          <w:b w:val="0"/>
          <w:bCs w:val="0"/>
          <w:i w:val="0"/>
          <w:smallCaps w:val="0"/>
          <w:color w:val="auto"/>
          <w:spacing w:val="0"/>
        </w:rPr>
        <w:t xml:space="preserve">expectations.  These improvements have included simplification of the interface for notifiers </w:t>
      </w:r>
      <w:r w:rsidR="009016C6">
        <w:rPr>
          <w:rStyle w:val="IntenseReference"/>
          <w:b w:val="0"/>
          <w:bCs w:val="0"/>
          <w:i w:val="0"/>
          <w:smallCaps w:val="0"/>
          <w:color w:val="auto"/>
          <w:spacing w:val="0"/>
        </w:rPr>
        <w:t>on</w:t>
      </w:r>
      <w:r w:rsidR="00E75DD8">
        <w:rPr>
          <w:rStyle w:val="IntenseReference"/>
          <w:b w:val="0"/>
          <w:bCs w:val="0"/>
          <w:i w:val="0"/>
          <w:smallCaps w:val="0"/>
          <w:color w:val="auto"/>
          <w:spacing w:val="0"/>
        </w:rPr>
        <w:t xml:space="preserve"> the AHPRA website and increased use of social media as a</w:t>
      </w:r>
      <w:r w:rsidR="00D52454">
        <w:rPr>
          <w:rStyle w:val="IntenseReference"/>
          <w:b w:val="0"/>
          <w:bCs w:val="0"/>
          <w:i w:val="0"/>
          <w:smallCaps w:val="0"/>
          <w:color w:val="auto"/>
          <w:spacing w:val="0"/>
        </w:rPr>
        <w:t>n</w:t>
      </w:r>
      <w:r w:rsidR="00E75DD8">
        <w:rPr>
          <w:rStyle w:val="IntenseReference"/>
          <w:b w:val="0"/>
          <w:bCs w:val="0"/>
          <w:i w:val="0"/>
          <w:smallCaps w:val="0"/>
          <w:color w:val="auto"/>
          <w:spacing w:val="0"/>
        </w:rPr>
        <w:t xml:space="preserve"> education t</w:t>
      </w:r>
      <w:r w:rsidR="002A58F6">
        <w:rPr>
          <w:rStyle w:val="IntenseReference"/>
          <w:b w:val="0"/>
          <w:bCs w:val="0"/>
          <w:i w:val="0"/>
          <w:smallCaps w:val="0"/>
          <w:color w:val="auto"/>
          <w:spacing w:val="0"/>
        </w:rPr>
        <w:t>ool and to promote awareness of</w:t>
      </w:r>
      <w:r w:rsidR="00E75DD8">
        <w:rPr>
          <w:rStyle w:val="IntenseReference"/>
          <w:b w:val="0"/>
          <w:bCs w:val="0"/>
          <w:i w:val="0"/>
          <w:smallCaps w:val="0"/>
          <w:color w:val="auto"/>
          <w:spacing w:val="0"/>
        </w:rPr>
        <w:t xml:space="preserve"> the notification mechanism</w:t>
      </w:r>
      <w:r w:rsidR="00D52454">
        <w:rPr>
          <w:rStyle w:val="IntenseReference"/>
          <w:b w:val="0"/>
          <w:bCs w:val="0"/>
          <w:i w:val="0"/>
          <w:smallCaps w:val="0"/>
          <w:color w:val="auto"/>
          <w:spacing w:val="0"/>
        </w:rPr>
        <w:t>s</w:t>
      </w:r>
      <w:r w:rsidR="00E75DD8">
        <w:rPr>
          <w:rStyle w:val="IntenseReference"/>
          <w:b w:val="0"/>
          <w:bCs w:val="0"/>
          <w:i w:val="0"/>
          <w:smallCaps w:val="0"/>
          <w:color w:val="auto"/>
          <w:spacing w:val="0"/>
        </w:rPr>
        <w:t xml:space="preserve"> for both notifiers and practitioners.</w:t>
      </w:r>
      <w:r w:rsidR="00910EAF" w:rsidRPr="00D4369E">
        <w:rPr>
          <w:rStyle w:val="IntenseReference"/>
          <w:b w:val="0"/>
          <w:bCs w:val="0"/>
          <w:i w:val="0"/>
          <w:smallCaps w:val="0"/>
          <w:color w:val="auto"/>
          <w:spacing w:val="0"/>
        </w:rPr>
        <w:t xml:space="preserve"> </w:t>
      </w:r>
      <w:r w:rsidR="00454619">
        <w:rPr>
          <w:rStyle w:val="IntenseReference"/>
          <w:b w:val="0"/>
          <w:bCs w:val="0"/>
          <w:i w:val="0"/>
          <w:smallCaps w:val="0"/>
          <w:color w:val="auto"/>
          <w:spacing w:val="0"/>
        </w:rPr>
        <w:t>AHPRA has</w:t>
      </w:r>
      <w:r w:rsidR="00910EAF" w:rsidRPr="00D4369E">
        <w:rPr>
          <w:rStyle w:val="IntenseReference"/>
          <w:b w:val="0"/>
          <w:bCs w:val="0"/>
          <w:i w:val="0"/>
          <w:smallCaps w:val="0"/>
          <w:color w:val="auto"/>
          <w:spacing w:val="0"/>
        </w:rPr>
        <w:t xml:space="preserve"> </w:t>
      </w:r>
      <w:r w:rsidR="00CB5BF1">
        <w:rPr>
          <w:rStyle w:val="IntenseReference"/>
          <w:b w:val="0"/>
          <w:bCs w:val="0"/>
          <w:i w:val="0"/>
          <w:smallCaps w:val="0"/>
          <w:color w:val="auto"/>
          <w:spacing w:val="0"/>
        </w:rPr>
        <w:t>commissioned</w:t>
      </w:r>
      <w:r w:rsidR="00D4369E">
        <w:rPr>
          <w:rStyle w:val="IntenseReference"/>
          <w:b w:val="0"/>
          <w:bCs w:val="0"/>
          <w:i w:val="0"/>
          <w:smallCaps w:val="0"/>
          <w:color w:val="auto"/>
          <w:spacing w:val="0"/>
        </w:rPr>
        <w:t xml:space="preserve"> </w:t>
      </w:r>
      <w:r w:rsidR="00910EAF" w:rsidRPr="00D4369E">
        <w:rPr>
          <w:rStyle w:val="IntenseReference"/>
          <w:b w:val="0"/>
          <w:bCs w:val="0"/>
          <w:i w:val="0"/>
          <w:smallCaps w:val="0"/>
          <w:color w:val="auto"/>
          <w:spacing w:val="0"/>
        </w:rPr>
        <w:t xml:space="preserve">research to </w:t>
      </w:r>
      <w:r w:rsidR="00CB5BF1">
        <w:rPr>
          <w:rStyle w:val="IntenseReference"/>
          <w:b w:val="0"/>
          <w:bCs w:val="0"/>
          <w:i w:val="0"/>
          <w:smallCaps w:val="0"/>
          <w:color w:val="auto"/>
          <w:spacing w:val="0"/>
        </w:rPr>
        <w:t xml:space="preserve">further understand the incidence of vexatious complaints and is </w:t>
      </w:r>
      <w:r w:rsidR="008C00FD">
        <w:rPr>
          <w:rStyle w:val="IntenseReference"/>
          <w:b w:val="0"/>
          <w:bCs w:val="0"/>
          <w:i w:val="0"/>
          <w:smallCaps w:val="0"/>
          <w:color w:val="auto"/>
          <w:spacing w:val="0"/>
        </w:rPr>
        <w:t>using the findings of this</w:t>
      </w:r>
      <w:r w:rsidR="00CB5BF1">
        <w:rPr>
          <w:rStyle w:val="IntenseReference"/>
          <w:b w:val="0"/>
          <w:bCs w:val="0"/>
          <w:i w:val="0"/>
          <w:smallCaps w:val="0"/>
          <w:color w:val="auto"/>
          <w:spacing w:val="0"/>
        </w:rPr>
        <w:t xml:space="preserve"> research to improve its processes</w:t>
      </w:r>
      <w:r w:rsidR="00910EAF" w:rsidRPr="00D4369E">
        <w:rPr>
          <w:rStyle w:val="IntenseReference"/>
          <w:b w:val="0"/>
          <w:bCs w:val="0"/>
          <w:i w:val="0"/>
          <w:smallCaps w:val="0"/>
          <w:color w:val="auto"/>
          <w:spacing w:val="0"/>
        </w:rPr>
        <w:t>.</w:t>
      </w:r>
      <w:r w:rsidR="00910EAF" w:rsidRPr="00EE187B">
        <w:rPr>
          <w:rStyle w:val="IntenseReference"/>
          <w:b w:val="0"/>
          <w:bCs w:val="0"/>
          <w:i w:val="0"/>
          <w:smallCaps w:val="0"/>
          <w:color w:val="auto"/>
          <w:spacing w:val="0"/>
        </w:rPr>
        <w:t xml:space="preserve"> </w:t>
      </w:r>
    </w:p>
    <w:p w14:paraId="0710B636" w14:textId="722676D3" w:rsidR="00C66EF9" w:rsidRDefault="00385FE3" w:rsidP="00821024">
      <w:pPr>
        <w:rPr>
          <w:rStyle w:val="IntenseReference"/>
          <w:b w:val="0"/>
          <w:bCs w:val="0"/>
          <w:i w:val="0"/>
          <w:smallCaps w:val="0"/>
          <w:color w:val="auto"/>
          <w:spacing w:val="0"/>
        </w:rPr>
      </w:pPr>
      <w:r w:rsidRPr="00483113">
        <w:rPr>
          <w:rStyle w:val="IntenseReference"/>
          <w:b w:val="0"/>
          <w:bCs w:val="0"/>
          <w:i w:val="0"/>
          <w:smallCaps w:val="0"/>
          <w:color w:val="auto"/>
          <w:spacing w:val="0"/>
        </w:rPr>
        <w:t>As detailed in the Australian Health Ministers’ Advi</w:t>
      </w:r>
      <w:r w:rsidR="00C66EF9">
        <w:rPr>
          <w:rStyle w:val="IntenseReference"/>
          <w:b w:val="0"/>
          <w:bCs w:val="0"/>
          <w:i w:val="0"/>
          <w:smallCaps w:val="0"/>
          <w:color w:val="auto"/>
          <w:spacing w:val="0"/>
        </w:rPr>
        <w:t>sory Council’s submission to this</w:t>
      </w:r>
      <w:r w:rsidRPr="00483113">
        <w:rPr>
          <w:rStyle w:val="IntenseReference"/>
          <w:b w:val="0"/>
          <w:bCs w:val="0"/>
          <w:i w:val="0"/>
          <w:smallCaps w:val="0"/>
          <w:color w:val="auto"/>
          <w:spacing w:val="0"/>
        </w:rPr>
        <w:t xml:space="preserve"> inquiry, </w:t>
      </w:r>
      <w:r w:rsidR="00E75DD8">
        <w:rPr>
          <w:rStyle w:val="IntenseReference"/>
          <w:b w:val="0"/>
          <w:bCs w:val="0"/>
          <w:i w:val="0"/>
          <w:smallCaps w:val="0"/>
          <w:color w:val="auto"/>
          <w:spacing w:val="0"/>
        </w:rPr>
        <w:t xml:space="preserve">legislative </w:t>
      </w:r>
      <w:r w:rsidRPr="00483113">
        <w:rPr>
          <w:rStyle w:val="IntenseReference"/>
          <w:b w:val="0"/>
          <w:bCs w:val="0"/>
          <w:i w:val="0"/>
          <w:smallCaps w:val="0"/>
          <w:color w:val="auto"/>
          <w:spacing w:val="0"/>
        </w:rPr>
        <w:t xml:space="preserve">reforms to the </w:t>
      </w:r>
      <w:r w:rsidRPr="00821024">
        <w:rPr>
          <w:rStyle w:val="Emphasis"/>
        </w:rPr>
        <w:t>Health Practitioner Regulation National Law</w:t>
      </w:r>
      <w:r w:rsidR="004728DF" w:rsidRPr="00821024">
        <w:rPr>
          <w:rStyle w:val="Emphasis"/>
        </w:rPr>
        <w:t xml:space="preserve"> Act</w:t>
      </w:r>
      <w:r w:rsidRPr="00821024">
        <w:rPr>
          <w:rStyle w:val="Emphasis"/>
        </w:rPr>
        <w:t xml:space="preserve"> </w:t>
      </w:r>
      <w:r w:rsidRPr="00483113">
        <w:rPr>
          <w:rStyle w:val="IntenseReference"/>
          <w:b w:val="0"/>
          <w:bCs w:val="0"/>
          <w:i w:val="0"/>
          <w:smallCaps w:val="0"/>
          <w:color w:val="auto"/>
          <w:spacing w:val="0"/>
        </w:rPr>
        <w:t xml:space="preserve">(the National Law) </w:t>
      </w:r>
      <w:r w:rsidR="00E75DD8">
        <w:rPr>
          <w:rStyle w:val="IntenseReference"/>
          <w:b w:val="0"/>
          <w:bCs w:val="0"/>
          <w:i w:val="0"/>
          <w:smallCaps w:val="0"/>
          <w:color w:val="auto"/>
          <w:spacing w:val="0"/>
        </w:rPr>
        <w:lastRenderedPageBreak/>
        <w:t xml:space="preserve">are also </w:t>
      </w:r>
      <w:r w:rsidRPr="00483113">
        <w:rPr>
          <w:rStyle w:val="IntenseReference"/>
          <w:b w:val="0"/>
          <w:bCs w:val="0"/>
          <w:i w:val="0"/>
          <w:smallCaps w:val="0"/>
          <w:color w:val="auto"/>
          <w:spacing w:val="0"/>
        </w:rPr>
        <w:t>currently underway</w:t>
      </w:r>
      <w:r w:rsidR="00D52454">
        <w:rPr>
          <w:rStyle w:val="IntenseReference"/>
          <w:b w:val="0"/>
          <w:bCs w:val="0"/>
          <w:i w:val="0"/>
          <w:smallCaps w:val="0"/>
          <w:color w:val="auto"/>
          <w:spacing w:val="0"/>
        </w:rPr>
        <w:t xml:space="preserve"> as a result of the NRAS review</w:t>
      </w:r>
      <w:r w:rsidRPr="00483113">
        <w:rPr>
          <w:rStyle w:val="IntenseReference"/>
          <w:b w:val="0"/>
          <w:bCs w:val="0"/>
          <w:i w:val="0"/>
          <w:smallCaps w:val="0"/>
          <w:color w:val="auto"/>
          <w:spacing w:val="0"/>
        </w:rPr>
        <w:t>.  This is a multi-stage process.</w:t>
      </w:r>
      <w:r w:rsidR="001B542C">
        <w:rPr>
          <w:rStyle w:val="IntenseReference"/>
          <w:b w:val="0"/>
          <w:bCs w:val="0"/>
          <w:i w:val="0"/>
          <w:smallCaps w:val="0"/>
          <w:color w:val="auto"/>
          <w:spacing w:val="0"/>
        </w:rPr>
        <w:t xml:space="preserve">  The first stage of legislative amendments, the </w:t>
      </w:r>
      <w:r w:rsidR="001B542C" w:rsidRPr="00821024">
        <w:rPr>
          <w:rStyle w:val="Emphasis"/>
        </w:rPr>
        <w:t>Health Practitioner Regulation National Law and Other Legislation Amendment Act 2017</w:t>
      </w:r>
      <w:r w:rsidR="001B542C">
        <w:rPr>
          <w:rStyle w:val="IntenseReference"/>
          <w:b w:val="0"/>
          <w:bCs w:val="0"/>
          <w:smallCaps w:val="0"/>
          <w:color w:val="auto"/>
          <w:spacing w:val="0"/>
        </w:rPr>
        <w:t xml:space="preserve"> </w:t>
      </w:r>
      <w:r w:rsidR="001B542C">
        <w:rPr>
          <w:rStyle w:val="IntenseReference"/>
          <w:b w:val="0"/>
          <w:bCs w:val="0"/>
          <w:i w:val="0"/>
          <w:smallCaps w:val="0"/>
          <w:color w:val="auto"/>
          <w:spacing w:val="0"/>
        </w:rPr>
        <w:t>(the Amendment Act)</w:t>
      </w:r>
      <w:r w:rsidR="002A58F6">
        <w:rPr>
          <w:rStyle w:val="IntenseReference"/>
          <w:b w:val="0"/>
          <w:bCs w:val="0"/>
          <w:i w:val="0"/>
          <w:smallCaps w:val="0"/>
          <w:color w:val="auto"/>
          <w:spacing w:val="0"/>
        </w:rPr>
        <w:t>,</w:t>
      </w:r>
      <w:r w:rsidR="001B542C">
        <w:rPr>
          <w:rStyle w:val="IntenseReference"/>
          <w:b w:val="0"/>
          <w:bCs w:val="0"/>
          <w:i w:val="0"/>
          <w:smallCaps w:val="0"/>
          <w:color w:val="auto"/>
          <w:spacing w:val="0"/>
        </w:rPr>
        <w:t xml:space="preserve"> </w:t>
      </w:r>
      <w:r w:rsidR="00A61433">
        <w:rPr>
          <w:rStyle w:val="IntenseReference"/>
          <w:b w:val="0"/>
          <w:bCs w:val="0"/>
          <w:i w:val="0"/>
          <w:smallCaps w:val="0"/>
          <w:color w:val="auto"/>
          <w:spacing w:val="0"/>
        </w:rPr>
        <w:t>has been passed and</w:t>
      </w:r>
      <w:r w:rsidRPr="00483113">
        <w:rPr>
          <w:rStyle w:val="IntenseReference"/>
          <w:b w:val="0"/>
          <w:bCs w:val="0"/>
          <w:i w:val="0"/>
          <w:smallCaps w:val="0"/>
          <w:color w:val="auto"/>
          <w:spacing w:val="0"/>
        </w:rPr>
        <w:t xml:space="preserve"> </w:t>
      </w:r>
      <w:r w:rsidR="009016C6">
        <w:rPr>
          <w:rStyle w:val="IntenseReference"/>
          <w:b w:val="0"/>
          <w:bCs w:val="0"/>
          <w:i w:val="0"/>
          <w:smallCaps w:val="0"/>
          <w:color w:val="auto"/>
          <w:spacing w:val="0"/>
        </w:rPr>
        <w:t>is</w:t>
      </w:r>
      <w:r w:rsidR="001B542C">
        <w:rPr>
          <w:rStyle w:val="IntenseReference"/>
          <w:b w:val="0"/>
          <w:bCs w:val="0"/>
          <w:i w:val="0"/>
          <w:smallCaps w:val="0"/>
          <w:color w:val="auto"/>
          <w:spacing w:val="0"/>
        </w:rPr>
        <w:t xml:space="preserve"> currently being implemented</w:t>
      </w:r>
      <w:r w:rsidR="00A61433">
        <w:rPr>
          <w:rStyle w:val="IntenseReference"/>
          <w:b w:val="0"/>
          <w:bCs w:val="0"/>
          <w:i w:val="0"/>
          <w:smallCaps w:val="0"/>
          <w:color w:val="auto"/>
          <w:spacing w:val="0"/>
        </w:rPr>
        <w:t xml:space="preserve">.  The Amendment Act </w:t>
      </w:r>
      <w:r w:rsidRPr="00483113">
        <w:rPr>
          <w:rStyle w:val="IntenseReference"/>
          <w:b w:val="0"/>
          <w:bCs w:val="0"/>
          <w:i w:val="0"/>
          <w:smallCaps w:val="0"/>
          <w:color w:val="auto"/>
          <w:spacing w:val="0"/>
        </w:rPr>
        <w:t>make</w:t>
      </w:r>
      <w:r w:rsidR="00742AD7">
        <w:rPr>
          <w:rStyle w:val="IntenseReference"/>
          <w:b w:val="0"/>
          <w:bCs w:val="0"/>
          <w:i w:val="0"/>
          <w:smallCaps w:val="0"/>
          <w:color w:val="auto"/>
          <w:spacing w:val="0"/>
        </w:rPr>
        <w:t>s</w:t>
      </w:r>
      <w:r w:rsidRPr="00483113">
        <w:rPr>
          <w:rStyle w:val="IntenseReference"/>
          <w:b w:val="0"/>
          <w:bCs w:val="0"/>
          <w:i w:val="0"/>
          <w:smallCaps w:val="0"/>
          <w:color w:val="auto"/>
          <w:spacing w:val="0"/>
        </w:rPr>
        <w:t xml:space="preserve"> a number of improvements to the operations of AHPRA and the National Boards, including improving the </w:t>
      </w:r>
      <w:r w:rsidR="00C66EF9">
        <w:rPr>
          <w:rStyle w:val="IntenseReference"/>
          <w:b w:val="0"/>
          <w:bCs w:val="0"/>
          <w:i w:val="0"/>
          <w:smallCaps w:val="0"/>
          <w:color w:val="auto"/>
          <w:spacing w:val="0"/>
        </w:rPr>
        <w:t>ability for AHPRA to communicate and engage</w:t>
      </w:r>
      <w:r w:rsidRPr="00483113">
        <w:rPr>
          <w:rStyle w:val="IntenseReference"/>
          <w:b w:val="0"/>
          <w:bCs w:val="0"/>
          <w:i w:val="0"/>
          <w:smallCaps w:val="0"/>
          <w:color w:val="auto"/>
          <w:spacing w:val="0"/>
        </w:rPr>
        <w:t xml:space="preserve"> </w:t>
      </w:r>
      <w:r w:rsidR="00C66EF9">
        <w:rPr>
          <w:rStyle w:val="IntenseReference"/>
          <w:b w:val="0"/>
          <w:bCs w:val="0"/>
          <w:i w:val="0"/>
          <w:smallCaps w:val="0"/>
          <w:color w:val="auto"/>
          <w:spacing w:val="0"/>
        </w:rPr>
        <w:t xml:space="preserve">with </w:t>
      </w:r>
      <w:r w:rsidRPr="002F286A">
        <w:rPr>
          <w:rStyle w:val="IntenseReference"/>
          <w:b w:val="0"/>
          <w:bCs w:val="0"/>
          <w:i w:val="0"/>
          <w:smallCaps w:val="0"/>
          <w:color w:val="auto"/>
          <w:spacing w:val="0"/>
        </w:rPr>
        <w:t>notifiers.</w:t>
      </w:r>
    </w:p>
    <w:p w14:paraId="76FF6303" w14:textId="64BDDE4E" w:rsidR="00476427" w:rsidRDefault="00476427" w:rsidP="00821024">
      <w:pPr>
        <w:rPr>
          <w:rStyle w:val="IntenseReference"/>
          <w:b w:val="0"/>
          <w:bCs w:val="0"/>
          <w:i w:val="0"/>
          <w:smallCaps w:val="0"/>
          <w:color w:val="auto"/>
          <w:spacing w:val="0"/>
        </w:rPr>
      </w:pPr>
      <w:r w:rsidRPr="00483113">
        <w:rPr>
          <w:rStyle w:val="IntenseReference"/>
          <w:b w:val="0"/>
          <w:bCs w:val="0"/>
          <w:i w:val="0"/>
          <w:smallCaps w:val="0"/>
          <w:color w:val="auto"/>
          <w:spacing w:val="0"/>
        </w:rPr>
        <w:t xml:space="preserve">Further stages of legislative reform are </w:t>
      </w:r>
      <w:r>
        <w:rPr>
          <w:rStyle w:val="IntenseReference"/>
          <w:b w:val="0"/>
          <w:bCs w:val="0"/>
          <w:i w:val="0"/>
          <w:smallCaps w:val="0"/>
          <w:color w:val="auto"/>
          <w:spacing w:val="0"/>
        </w:rPr>
        <w:t>underway with</w:t>
      </w:r>
      <w:r w:rsidRPr="00483113">
        <w:rPr>
          <w:rStyle w:val="IntenseReference"/>
          <w:b w:val="0"/>
          <w:bCs w:val="0"/>
          <w:i w:val="0"/>
          <w:smallCaps w:val="0"/>
          <w:color w:val="auto"/>
          <w:spacing w:val="0"/>
        </w:rPr>
        <w:t xml:space="preserve"> additional </w:t>
      </w:r>
      <w:r>
        <w:rPr>
          <w:rStyle w:val="IntenseReference"/>
          <w:b w:val="0"/>
          <w:bCs w:val="0"/>
          <w:i w:val="0"/>
          <w:smallCaps w:val="0"/>
          <w:color w:val="auto"/>
          <w:spacing w:val="0"/>
        </w:rPr>
        <w:t>public consultation to</w:t>
      </w:r>
      <w:r w:rsidRPr="00483113">
        <w:rPr>
          <w:rStyle w:val="IntenseReference"/>
          <w:b w:val="0"/>
          <w:bCs w:val="0"/>
          <w:i w:val="0"/>
          <w:smallCaps w:val="0"/>
          <w:color w:val="auto"/>
          <w:spacing w:val="0"/>
        </w:rPr>
        <w:t xml:space="preserve"> be undertaken</w:t>
      </w:r>
      <w:r>
        <w:rPr>
          <w:rStyle w:val="IntenseReference"/>
          <w:b w:val="0"/>
          <w:bCs w:val="0"/>
          <w:i w:val="0"/>
          <w:smallCaps w:val="0"/>
          <w:color w:val="auto"/>
          <w:spacing w:val="0"/>
        </w:rPr>
        <w:t xml:space="preserve"> on these proposals for reform</w:t>
      </w:r>
      <w:r w:rsidRPr="00483113">
        <w:rPr>
          <w:rStyle w:val="IntenseReference"/>
          <w:b w:val="0"/>
          <w:bCs w:val="0"/>
          <w:i w:val="0"/>
          <w:smallCaps w:val="0"/>
          <w:color w:val="auto"/>
          <w:spacing w:val="0"/>
        </w:rPr>
        <w:t>.</w:t>
      </w:r>
      <w:r>
        <w:rPr>
          <w:rStyle w:val="IntenseReference"/>
          <w:b w:val="0"/>
          <w:bCs w:val="0"/>
          <w:i w:val="0"/>
          <w:smallCaps w:val="0"/>
          <w:color w:val="auto"/>
          <w:spacing w:val="0"/>
        </w:rPr>
        <w:t xml:space="preserve"> Issues under consideration are wide ranging and will go to</w:t>
      </w:r>
      <w:r w:rsidR="007C2054">
        <w:rPr>
          <w:rStyle w:val="IntenseReference"/>
          <w:b w:val="0"/>
          <w:bCs w:val="0"/>
          <w:i w:val="0"/>
          <w:smallCaps w:val="0"/>
          <w:color w:val="auto"/>
          <w:spacing w:val="0"/>
        </w:rPr>
        <w:t xml:space="preserve"> further</w:t>
      </w:r>
      <w:r>
        <w:rPr>
          <w:rStyle w:val="IntenseReference"/>
          <w:b w:val="0"/>
          <w:bCs w:val="0"/>
          <w:i w:val="0"/>
          <w:smallCaps w:val="0"/>
          <w:color w:val="auto"/>
          <w:spacing w:val="0"/>
        </w:rPr>
        <w:t xml:space="preserve"> improving the operation of the entirety of the Scheme including the notification process.</w:t>
      </w:r>
    </w:p>
    <w:p w14:paraId="74C27B54" w14:textId="69511FE1" w:rsidR="00910EAF" w:rsidRPr="00483113" w:rsidRDefault="00910EAF" w:rsidP="00821024">
      <w:pPr>
        <w:rPr>
          <w:rStyle w:val="IntenseReference"/>
          <w:b w:val="0"/>
          <w:bCs w:val="0"/>
          <w:i w:val="0"/>
          <w:smallCaps w:val="0"/>
          <w:color w:val="auto"/>
          <w:spacing w:val="0"/>
        </w:rPr>
      </w:pPr>
      <w:r>
        <w:rPr>
          <w:rStyle w:val="IntenseReference"/>
          <w:b w:val="0"/>
          <w:bCs w:val="0"/>
          <w:i w:val="0"/>
          <w:smallCaps w:val="0"/>
          <w:color w:val="auto"/>
          <w:spacing w:val="0"/>
        </w:rPr>
        <w:t xml:space="preserve">While recognising that there have been issues with the implementation of the Scheme, its establishment has been a great achievement in realising a nationally consistent approach to </w:t>
      </w:r>
      <w:r w:rsidR="004728DF">
        <w:rPr>
          <w:rStyle w:val="IntenseReference"/>
          <w:b w:val="0"/>
          <w:bCs w:val="0"/>
          <w:i w:val="0"/>
          <w:smallCaps w:val="0"/>
          <w:color w:val="auto"/>
          <w:spacing w:val="0"/>
        </w:rPr>
        <w:t>health</w:t>
      </w:r>
      <w:r w:rsidR="00BE738F">
        <w:rPr>
          <w:rStyle w:val="IntenseReference"/>
          <w:b w:val="0"/>
          <w:bCs w:val="0"/>
          <w:i w:val="0"/>
          <w:smallCaps w:val="0"/>
          <w:color w:val="auto"/>
          <w:spacing w:val="0"/>
        </w:rPr>
        <w:t xml:space="preserve"> </w:t>
      </w:r>
      <w:r>
        <w:rPr>
          <w:rStyle w:val="IntenseReference"/>
          <w:b w:val="0"/>
          <w:bCs w:val="0"/>
          <w:i w:val="0"/>
          <w:smallCaps w:val="0"/>
          <w:color w:val="auto"/>
          <w:spacing w:val="0"/>
        </w:rPr>
        <w:t xml:space="preserve">practitioner regulation.  </w:t>
      </w:r>
      <w:r w:rsidRPr="00F94BBF">
        <w:rPr>
          <w:rStyle w:val="IntenseReference"/>
          <w:b w:val="0"/>
          <w:bCs w:val="0"/>
          <w:i w:val="0"/>
          <w:smallCaps w:val="0"/>
          <w:color w:val="auto"/>
          <w:spacing w:val="0"/>
        </w:rPr>
        <w:t>The Scheme has been recognised internationally by the Organisation for Economic Cooperation and Development (OECD) as an OECD leader in systems of regulation for health professionals</w:t>
      </w:r>
      <w:r w:rsidRPr="00F94BBF">
        <w:rPr>
          <w:rStyle w:val="FootnoteReference"/>
        </w:rPr>
        <w:footnoteReference w:id="1"/>
      </w:r>
      <w:r>
        <w:rPr>
          <w:rStyle w:val="IntenseReference"/>
          <w:b w:val="0"/>
          <w:bCs w:val="0"/>
          <w:i w:val="0"/>
          <w:smallCaps w:val="0"/>
          <w:color w:val="auto"/>
          <w:spacing w:val="0"/>
        </w:rPr>
        <w:t>.  All governments and AHPR</w:t>
      </w:r>
      <w:r w:rsidR="00742AD7">
        <w:rPr>
          <w:rStyle w:val="IntenseReference"/>
          <w:b w:val="0"/>
          <w:bCs w:val="0"/>
          <w:i w:val="0"/>
          <w:smallCaps w:val="0"/>
          <w:color w:val="auto"/>
          <w:spacing w:val="0"/>
        </w:rPr>
        <w:t>A are committed to working</w:t>
      </w:r>
      <w:r w:rsidR="00782A7F">
        <w:rPr>
          <w:rStyle w:val="IntenseReference"/>
          <w:b w:val="0"/>
          <w:bCs w:val="0"/>
          <w:i w:val="0"/>
          <w:smallCaps w:val="0"/>
          <w:color w:val="auto"/>
          <w:spacing w:val="0"/>
        </w:rPr>
        <w:t xml:space="preserve"> collaboratively </w:t>
      </w:r>
      <w:r>
        <w:rPr>
          <w:rStyle w:val="IntenseReference"/>
          <w:b w:val="0"/>
          <w:bCs w:val="0"/>
          <w:i w:val="0"/>
          <w:smallCaps w:val="0"/>
          <w:color w:val="auto"/>
          <w:spacing w:val="0"/>
        </w:rPr>
        <w:t>wit</w:t>
      </w:r>
      <w:r w:rsidR="00D4369E">
        <w:rPr>
          <w:rStyle w:val="IntenseReference"/>
          <w:b w:val="0"/>
          <w:bCs w:val="0"/>
          <w:i w:val="0"/>
          <w:smallCaps w:val="0"/>
          <w:color w:val="auto"/>
          <w:spacing w:val="0"/>
        </w:rPr>
        <w:t>h professions and with the community</w:t>
      </w:r>
      <w:r>
        <w:rPr>
          <w:rStyle w:val="IntenseReference"/>
          <w:b w:val="0"/>
          <w:bCs w:val="0"/>
          <w:i w:val="0"/>
          <w:smallCaps w:val="0"/>
          <w:color w:val="auto"/>
          <w:spacing w:val="0"/>
        </w:rPr>
        <w:t xml:space="preserve"> to ensure that the Scheme continues to evolve </w:t>
      </w:r>
      <w:r w:rsidR="00D4369E">
        <w:rPr>
          <w:rStyle w:val="IntenseReference"/>
          <w:b w:val="0"/>
          <w:bCs w:val="0"/>
          <w:i w:val="0"/>
          <w:smallCaps w:val="0"/>
          <w:color w:val="auto"/>
          <w:spacing w:val="0"/>
        </w:rPr>
        <w:t>on a national platform and provides</w:t>
      </w:r>
      <w:r w:rsidR="007C2054">
        <w:rPr>
          <w:rStyle w:val="IntenseReference"/>
          <w:b w:val="0"/>
          <w:bCs w:val="0"/>
          <w:i w:val="0"/>
          <w:smallCaps w:val="0"/>
          <w:color w:val="auto"/>
          <w:spacing w:val="0"/>
        </w:rPr>
        <w:t xml:space="preserve"> the</w:t>
      </w:r>
      <w:r w:rsidR="00B55F1A">
        <w:rPr>
          <w:rStyle w:val="IntenseReference"/>
          <w:b w:val="0"/>
          <w:bCs w:val="0"/>
          <w:i w:val="0"/>
          <w:smallCaps w:val="0"/>
          <w:color w:val="auto"/>
          <w:spacing w:val="0"/>
        </w:rPr>
        <w:t xml:space="preserve"> basis for a</w:t>
      </w:r>
      <w:r w:rsidR="00782A7F">
        <w:rPr>
          <w:rStyle w:val="IntenseReference"/>
          <w:b w:val="0"/>
          <w:bCs w:val="0"/>
          <w:i w:val="0"/>
          <w:smallCaps w:val="0"/>
          <w:color w:val="auto"/>
          <w:spacing w:val="0"/>
        </w:rPr>
        <w:t xml:space="preserve"> flexible</w:t>
      </w:r>
      <w:r w:rsidR="00B55F1A">
        <w:rPr>
          <w:rStyle w:val="IntenseReference"/>
          <w:b w:val="0"/>
          <w:bCs w:val="0"/>
          <w:i w:val="0"/>
          <w:smallCaps w:val="0"/>
          <w:color w:val="auto"/>
          <w:spacing w:val="0"/>
        </w:rPr>
        <w:t xml:space="preserve"> and </w:t>
      </w:r>
      <w:r w:rsidR="004728DF">
        <w:rPr>
          <w:rStyle w:val="IntenseReference"/>
          <w:b w:val="0"/>
          <w:bCs w:val="0"/>
          <w:i w:val="0"/>
          <w:smallCaps w:val="0"/>
          <w:color w:val="auto"/>
          <w:spacing w:val="0"/>
        </w:rPr>
        <w:t>responsive future</w:t>
      </w:r>
      <w:r w:rsidR="00782A7F">
        <w:rPr>
          <w:rStyle w:val="IntenseReference"/>
          <w:b w:val="0"/>
          <w:bCs w:val="0"/>
          <w:i w:val="0"/>
          <w:smallCaps w:val="0"/>
          <w:color w:val="auto"/>
          <w:spacing w:val="0"/>
        </w:rPr>
        <w:t xml:space="preserve"> health workforce.</w:t>
      </w:r>
    </w:p>
    <w:p w14:paraId="22AA63D8" w14:textId="646111C3" w:rsidR="00031D3B" w:rsidRPr="006E42F2" w:rsidRDefault="00F47344" w:rsidP="006E42F2">
      <w:pPr>
        <w:pStyle w:val="Heading1"/>
      </w:pPr>
      <w:r w:rsidRPr="006E42F2">
        <w:t>Recommendations and Australian Government responses</w:t>
      </w:r>
    </w:p>
    <w:p w14:paraId="7DC51215" w14:textId="013FB38C" w:rsidR="00031D3B" w:rsidRDefault="00031D3B" w:rsidP="00821024">
      <w:r w:rsidRPr="00031D3B">
        <w:t>The Australian</w:t>
      </w:r>
      <w:r>
        <w:t xml:space="preserve"> Government has considered the 14 recommendations made in the report and provides the following responses.</w:t>
      </w:r>
    </w:p>
    <w:p w14:paraId="79AC61DD" w14:textId="77777777" w:rsidR="00A61433" w:rsidRDefault="00A61433" w:rsidP="00821024">
      <w:pPr>
        <w:pStyle w:val="Heading2"/>
      </w:pPr>
      <w:r w:rsidRPr="00A02E00">
        <w:t>Recommendation 1</w:t>
      </w:r>
    </w:p>
    <w:p w14:paraId="68559EFE" w14:textId="280518DC" w:rsidR="00A61433" w:rsidRDefault="00A61433" w:rsidP="00A6143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review and amend the way it engages with notifiers throughout the process to ensure that all notifiers are aware of their rights and responsibilities and are informed about the progress and status of the notification.</w:t>
      </w:r>
    </w:p>
    <w:p w14:paraId="77DCD932" w14:textId="77777777" w:rsidR="00A61433" w:rsidRPr="00821024" w:rsidRDefault="00A61433" w:rsidP="00821024">
      <w:pPr>
        <w:pStyle w:val="Heading2"/>
      </w:pPr>
      <w:r w:rsidRPr="00821024">
        <w:t>Recommendation 14</w:t>
      </w:r>
    </w:p>
    <w:p w14:paraId="0D0E4795" w14:textId="403B7180" w:rsidR="00A61433" w:rsidRDefault="00A61433" w:rsidP="00A6143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institute a practice of providing monthly updates to complainants and medical professional</w:t>
      </w:r>
      <w:r w:rsidR="00872029">
        <w:t>s</w:t>
      </w:r>
      <w:r>
        <w:t xml:space="preserve"> whom are the subject of complaints.</w:t>
      </w:r>
    </w:p>
    <w:p w14:paraId="24893C5A" w14:textId="26AE5C4B" w:rsidR="00A61433" w:rsidRPr="00821024" w:rsidRDefault="00A61433" w:rsidP="00821024">
      <w:pPr>
        <w:pStyle w:val="Heading3"/>
      </w:pPr>
      <w:r w:rsidRPr="00821024">
        <w:t>Australian Government response to recommendations 1 and 14:</w:t>
      </w:r>
    </w:p>
    <w:p w14:paraId="35B6D758" w14:textId="4C7E096D" w:rsidR="00A61433" w:rsidRDefault="00A61433" w:rsidP="00A61433">
      <w:r w:rsidRPr="00821024">
        <w:t xml:space="preserve">The </w:t>
      </w:r>
      <w:r w:rsidR="002F286A" w:rsidRPr="00821024">
        <w:t xml:space="preserve">Australian </w:t>
      </w:r>
      <w:r w:rsidRPr="00821024">
        <w:t xml:space="preserve">Government notes that </w:t>
      </w:r>
      <w:r w:rsidR="00166944" w:rsidRPr="00821024">
        <w:t>the Amendment Act</w:t>
      </w:r>
      <w:r w:rsidR="002F286A" w:rsidRPr="00821024">
        <w:t xml:space="preserve"> </w:t>
      </w:r>
      <w:r w:rsidR="00663892" w:rsidRPr="00821024">
        <w:t xml:space="preserve">passed in the Queensland </w:t>
      </w:r>
      <w:r w:rsidR="00ED52FC" w:rsidRPr="00821024">
        <w:t xml:space="preserve">Parliament </w:t>
      </w:r>
      <w:r w:rsidR="00D171AD" w:rsidRPr="00821024">
        <w:t>on 6 September 2017</w:t>
      </w:r>
      <w:r w:rsidR="00663892" w:rsidRPr="00821024">
        <w:t xml:space="preserve"> </w:t>
      </w:r>
      <w:r w:rsidR="00D171AD" w:rsidRPr="00821024">
        <w:t>contains provisions which</w:t>
      </w:r>
      <w:r w:rsidRPr="00821024">
        <w:t xml:space="preserve"> enhance </w:t>
      </w:r>
      <w:r w:rsidR="00D171AD" w:rsidRPr="00821024">
        <w:t xml:space="preserve">AHPRA’s ability </w:t>
      </w:r>
      <w:r w:rsidR="00821024" w:rsidRPr="00821024">
        <w:t>to communicate with notifiers</w:t>
      </w:r>
      <w:r w:rsidR="00821024">
        <w:t>.</w:t>
      </w:r>
    </w:p>
    <w:p w14:paraId="5332DB31" w14:textId="3FB70C53" w:rsidR="00F94BBF" w:rsidRDefault="00A61433" w:rsidP="00A61433">
      <w:r>
        <w:t xml:space="preserve">The </w:t>
      </w:r>
      <w:r w:rsidR="00D171AD">
        <w:t xml:space="preserve">new </w:t>
      </w:r>
      <w:r>
        <w:t>provisions enhance the requirements in the National Law to provide regular communication with notifiers and health pr</w:t>
      </w:r>
      <w:r w:rsidR="00D17CA4">
        <w:t>actitioners</w:t>
      </w:r>
      <w:r>
        <w:t xml:space="preserve"> who are subject to a notification.  AHPRA</w:t>
      </w:r>
      <w:r w:rsidR="00433890">
        <w:t xml:space="preserve"> </w:t>
      </w:r>
      <w:r>
        <w:t xml:space="preserve">is required to communicate with practitioners at all key points, such as </w:t>
      </w:r>
      <w:r w:rsidR="007F3D23">
        <w:t xml:space="preserve">on </w:t>
      </w:r>
      <w:r>
        <w:t>receipt of the notification, decision to investigate or refer the matter, and to give notice of any proposed decision to take action in relation to the practitioner’s re</w:t>
      </w:r>
      <w:r w:rsidR="00990BD0">
        <w:t xml:space="preserve">gistration.  The Amendment Act </w:t>
      </w:r>
      <w:r>
        <w:t>also allow</w:t>
      </w:r>
      <w:r w:rsidR="00990BD0">
        <w:t>s</w:t>
      </w:r>
      <w:r>
        <w:t xml:space="preserve"> AHPRA to provide notice to notifiers at key decision points.  </w:t>
      </w:r>
      <w:r w:rsidR="007F3D23">
        <w:t>In addition, AHPRA is</w:t>
      </w:r>
      <w:r>
        <w:t xml:space="preserve"> required to provide progress updates every three months during the course of an investigation to both the practitioner being</w:t>
      </w:r>
      <w:r w:rsidR="00821024">
        <w:t xml:space="preserve"> investigated and the notifier.</w:t>
      </w:r>
    </w:p>
    <w:p w14:paraId="5962194A" w14:textId="16126AEC" w:rsidR="008F4E7F" w:rsidRDefault="008F4E7F" w:rsidP="00A61433">
      <w:r w:rsidRPr="008F4E7F">
        <w:lastRenderedPageBreak/>
        <w:t xml:space="preserve">AHPRA is preparing a protocol to support the amendments relating to improved communication with notifiers. </w:t>
      </w:r>
      <w:r>
        <w:t xml:space="preserve"> </w:t>
      </w:r>
      <w:r w:rsidRPr="008F4E7F">
        <w:t>The protocol is being prepared in consultation with key stakeholders representing consumers, notifiers and practitioners.</w:t>
      </w:r>
    </w:p>
    <w:p w14:paraId="6FBC0A34" w14:textId="7577F7F7" w:rsidR="00A609EE" w:rsidRDefault="00A609EE" w:rsidP="00A61433">
      <w:r>
        <w:t>Practitioners and notifiers are able to contact their notification</w:t>
      </w:r>
      <w:r w:rsidR="00B7792D">
        <w:t>s</w:t>
      </w:r>
      <w:r>
        <w:t xml:space="preserve"> officer within AHPRA at any time for an update on the progress of the</w:t>
      </w:r>
      <w:r w:rsidR="00B7792D">
        <w:t>ir</w:t>
      </w:r>
      <w:r>
        <w:t xml:space="preserve"> notification.</w:t>
      </w:r>
    </w:p>
    <w:p w14:paraId="5E9C0822" w14:textId="1BE0580A" w:rsidR="00B96160" w:rsidRDefault="00433890" w:rsidP="00A61433">
      <w:r>
        <w:t>It should be noted that different requirements and processes apply to notification and complaint management undertaken by the Health Care Complaints Commission (HCCC) in NSW and the Office of the Health Ombudsman (OHO) in Queensland.</w:t>
      </w:r>
    </w:p>
    <w:p w14:paraId="294EE80D" w14:textId="77777777" w:rsidR="00F47344" w:rsidRPr="00A02E00" w:rsidRDefault="00F47344" w:rsidP="00821024">
      <w:pPr>
        <w:pStyle w:val="Heading2"/>
      </w:pPr>
      <w:r w:rsidRPr="00A02E00">
        <w:t xml:space="preserve">Recommendation </w:t>
      </w:r>
      <w:r>
        <w:t>2</w:t>
      </w:r>
    </w:p>
    <w:p w14:paraId="53291097" w14:textId="3BEC8FB0" w:rsidR="00F47344" w:rsidRDefault="00F47344" w:rsidP="00F47344">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Committee recommends </w:t>
      </w:r>
      <w:r w:rsidR="006E593F">
        <w:t>that AHPRA and the national boards develop and publish a framework for identifying and dealing with vexatious complaints.</w:t>
      </w:r>
    </w:p>
    <w:p w14:paraId="6EB9B762" w14:textId="77777777" w:rsidR="00802173" w:rsidRPr="00A02E00" w:rsidRDefault="00802173" w:rsidP="00821024">
      <w:pPr>
        <w:pStyle w:val="Heading2"/>
      </w:pPr>
      <w:r>
        <w:t>Recommendation 4</w:t>
      </w:r>
    </w:p>
    <w:p w14:paraId="65BD117A" w14:textId="77777777" w:rsidR="00802173" w:rsidRDefault="00802173" w:rsidP="0080217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and the national boards institute mechanisms to ensure appropriate clinical peer advice is obtained at the earliest possible opportunity in the management of a notification.</w:t>
      </w:r>
    </w:p>
    <w:p w14:paraId="3CB24F71" w14:textId="77777777" w:rsidR="00802173" w:rsidRPr="00A02E00" w:rsidRDefault="00802173" w:rsidP="00821024">
      <w:pPr>
        <w:pStyle w:val="Heading2"/>
      </w:pPr>
      <w:r>
        <w:t>Recommendation 5</w:t>
      </w:r>
    </w:p>
    <w:p w14:paraId="1F9E86FB" w14:textId="36CD60F8" w:rsidR="00802173" w:rsidRDefault="00802173" w:rsidP="00802173">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Committee recommends that AHPRA immediately strengthen its conflicts of interest policy for members of boards and that the Chair of the board should make active inquiries of the other </w:t>
      </w:r>
      <w:r w:rsidR="00336EFD">
        <w:t>decisions makers about actual or</w:t>
      </w:r>
      <w:r>
        <w:t xml:space="preserve"> potential conflicts of interest prior to c</w:t>
      </w:r>
      <w:r w:rsidR="00C86DCE">
        <w:t>onsideration of a notification.</w:t>
      </w:r>
    </w:p>
    <w:p w14:paraId="4E8C5EB5" w14:textId="77777777" w:rsidR="00802173" w:rsidRPr="00A02E00" w:rsidRDefault="00802173" w:rsidP="00821024">
      <w:pPr>
        <w:pStyle w:val="Heading2"/>
      </w:pPr>
      <w:r>
        <w:t>Recommendation 6</w:t>
      </w:r>
    </w:p>
    <w:p w14:paraId="057C85DC" w14:textId="1670B785" w:rsidR="00CC0CBA" w:rsidRDefault="00802173" w:rsidP="0080217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develop a transparent independent method of determining when external advice is obtained and who provides that advice.</w:t>
      </w:r>
    </w:p>
    <w:p w14:paraId="7A26C54F" w14:textId="308550E1" w:rsidR="00802173" w:rsidRPr="00A02E00" w:rsidRDefault="00802173" w:rsidP="00821024">
      <w:pPr>
        <w:pStyle w:val="Heading2"/>
      </w:pPr>
      <w:r>
        <w:t>Recommendation 7</w:t>
      </w:r>
    </w:p>
    <w:p w14:paraId="2382159F" w14:textId="696E73CE" w:rsidR="006F353C" w:rsidRDefault="00802173" w:rsidP="000A4E6F">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consider providing greater remuneration to practitioners called upon to provide clinical peer advice.</w:t>
      </w:r>
    </w:p>
    <w:p w14:paraId="50843918" w14:textId="77777777" w:rsidR="00802173" w:rsidRPr="00A02E00" w:rsidRDefault="00802173" w:rsidP="00821024">
      <w:pPr>
        <w:pStyle w:val="Heading2"/>
      </w:pPr>
      <w:r>
        <w:t>Recommendation 8</w:t>
      </w:r>
    </w:p>
    <w:p w14:paraId="30A12239" w14:textId="77777777" w:rsidR="000A4E6F" w:rsidRDefault="00802173" w:rsidP="000A4E6F">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formally induct and educate board members on the way the regulatory powers of the board can be used to achieve results that both manages risk to the public and educates practitioners.</w:t>
      </w:r>
    </w:p>
    <w:p w14:paraId="148B2A6B" w14:textId="30AABA34" w:rsidR="00802173" w:rsidRPr="000A4E6F" w:rsidRDefault="00802173" w:rsidP="00821024">
      <w:pPr>
        <w:pStyle w:val="Heading2"/>
      </w:pPr>
      <w:r>
        <w:t>Recommendation 9</w:t>
      </w:r>
    </w:p>
    <w:p w14:paraId="39E6FD86" w14:textId="77777777" w:rsidR="00802173" w:rsidRDefault="00802173" w:rsidP="0080217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conduct additional training with staff to ensure an appropriately broad understanding of the policies it administers and provide staff with ongoing professional development related to the undertaking of investigations.</w:t>
      </w:r>
    </w:p>
    <w:p w14:paraId="6D625A3A" w14:textId="77777777" w:rsidR="00802173" w:rsidRPr="00A02E00" w:rsidRDefault="00802173" w:rsidP="00821024">
      <w:pPr>
        <w:pStyle w:val="Heading2"/>
      </w:pPr>
      <w:r>
        <w:t>Recommendation 13</w:t>
      </w:r>
    </w:p>
    <w:p w14:paraId="712C50B0" w14:textId="1E48A7FB" w:rsidR="000A4E6F" w:rsidRDefault="00802173" w:rsidP="007F3D23">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AHPRA take all necessary steps to improve the timeliness of the complaints process and calls on the Australian Government to consider avenues for ensuring AHPRA has the necessary additional resources to ensure this occurs.</w:t>
      </w:r>
    </w:p>
    <w:p w14:paraId="30ACD369" w14:textId="2805AA32" w:rsidR="00802173" w:rsidRPr="006E42F2" w:rsidRDefault="00802173" w:rsidP="00821024">
      <w:pPr>
        <w:pStyle w:val="Heading3"/>
      </w:pPr>
      <w:r w:rsidRPr="006E42F2">
        <w:t xml:space="preserve">Australian Government response to recommendations </w:t>
      </w:r>
      <w:r w:rsidR="00A61433" w:rsidRPr="006E42F2">
        <w:t>2</w:t>
      </w:r>
      <w:r w:rsidR="00B7792D" w:rsidRPr="006E42F2">
        <w:t>, 4-9</w:t>
      </w:r>
      <w:r w:rsidR="00A61433" w:rsidRPr="006E42F2">
        <w:t xml:space="preserve"> and</w:t>
      </w:r>
      <w:r w:rsidRPr="006E42F2">
        <w:t xml:space="preserve"> 13:</w:t>
      </w:r>
    </w:p>
    <w:p w14:paraId="002B8CE8" w14:textId="56F13A01" w:rsidR="00E81735" w:rsidRDefault="00802173" w:rsidP="009A4A3B">
      <w:r>
        <w:t xml:space="preserve">The Australian Government will recommend that the COAG Health Council write to AHPRA requesting advice on how AHPRA is addressing these recommendations.  AHPRA provides regular updates to the COAG </w:t>
      </w:r>
      <w:r w:rsidR="00351595">
        <w:t>Health Council on its operations and updates on progress can be provided to Health Ministers as part of this</w:t>
      </w:r>
      <w:r w:rsidR="001B542C">
        <w:t xml:space="preserve"> process</w:t>
      </w:r>
      <w:r w:rsidR="00351595">
        <w:t>.</w:t>
      </w:r>
    </w:p>
    <w:p w14:paraId="0D5BCB27" w14:textId="02A73724" w:rsidR="009A4A3B" w:rsidRDefault="00E81735" w:rsidP="009A4A3B">
      <w:r>
        <w:lastRenderedPageBreak/>
        <w:t>With regard to Recommendation 13, which calls on the Australian Government to consider avenues for ensuring AHPRA has the necessary additional resources to ensure that the timeliness of the complaints process is improved, under the Intergovernmental Agreement (IGA) which established the Scheme, AHPRA does not receive government funding for its operatio</w:t>
      </w:r>
      <w:r w:rsidR="00821024">
        <w:t>ns.</w:t>
      </w:r>
    </w:p>
    <w:p w14:paraId="1231E447" w14:textId="3AA4F821" w:rsidR="00F47344" w:rsidRPr="009A4A3B" w:rsidRDefault="00E81735" w:rsidP="000A4E6F">
      <w:pPr>
        <w:rPr>
          <w:rStyle w:val="IntenseReference"/>
          <w:b w:val="0"/>
          <w:bCs w:val="0"/>
          <w:i w:val="0"/>
          <w:smallCaps w:val="0"/>
          <w:color w:val="auto"/>
          <w:spacing w:val="0"/>
        </w:rPr>
      </w:pPr>
      <w:r>
        <w:t xml:space="preserve">While governments provided funding for the establishment of the Scheme and for reform projects such as the amendments to the </w:t>
      </w:r>
      <w:r w:rsidR="00CC0CBA">
        <w:t>National Law</w:t>
      </w:r>
      <w:r w:rsidR="007F3D23">
        <w:t>,</w:t>
      </w:r>
      <w:r>
        <w:t xml:space="preserve"> the IGA stipulates that the</w:t>
      </w:r>
      <w:r w:rsidR="00821024">
        <w:t xml:space="preserve"> Scheme is to be self-funding. </w:t>
      </w:r>
      <w:r>
        <w:t>National Boards set registration fees for practitioners to cover the costs</w:t>
      </w:r>
      <w:r w:rsidR="00C86DCE">
        <w:t xml:space="preserve"> of their regulatory functions.</w:t>
      </w:r>
      <w:r>
        <w:t xml:space="preserve"> If AHPRA requires additional resourcing to deal with increased numbers of complaints, </w:t>
      </w:r>
      <w:r w:rsidR="007F3D23">
        <w:t xml:space="preserve">this should be managed through the </w:t>
      </w:r>
      <w:r w:rsidR="00D774EE">
        <w:t>streamlining of National Board operations</w:t>
      </w:r>
      <w:r w:rsidR="007F3D23">
        <w:t xml:space="preserve"> or, if necessary, an increase in practitioner registration fees</w:t>
      </w:r>
      <w:r w:rsidR="00D774EE">
        <w:t>.</w:t>
      </w:r>
      <w:r w:rsidR="00697F83">
        <w:t xml:space="preserve">  It is important to note that AHPRA is continuing to make improvements to its processes </w:t>
      </w:r>
      <w:r w:rsidR="007F3D23">
        <w:t>with the aim of improving</w:t>
      </w:r>
      <w:r w:rsidR="00697F83">
        <w:t xml:space="preserve"> the timeliness of the notifications process.</w:t>
      </w:r>
    </w:p>
    <w:p w14:paraId="1F0F4220" w14:textId="77777777" w:rsidR="00F47344" w:rsidRPr="00A02E00" w:rsidRDefault="00F47344" w:rsidP="00821024">
      <w:pPr>
        <w:pStyle w:val="Heading2"/>
      </w:pPr>
      <w:r>
        <w:t>Recommendation 3</w:t>
      </w:r>
    </w:p>
    <w:p w14:paraId="2768804C" w14:textId="2FC7CD9A" w:rsidR="00F47344" w:rsidRDefault="00F47344" w:rsidP="00F47344">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Committee recommends </w:t>
      </w:r>
      <w:r w:rsidR="006E593F">
        <w:t>that the COAG Health Council consider whether recourse and compensation processes should be made available to health practitioners subjected to vexatious claims.</w:t>
      </w:r>
    </w:p>
    <w:p w14:paraId="11D2A8C8" w14:textId="68428432" w:rsidR="00756EF6" w:rsidRPr="006E42F2" w:rsidRDefault="00756EF6" w:rsidP="00821024">
      <w:pPr>
        <w:pStyle w:val="Heading3"/>
      </w:pPr>
      <w:r w:rsidRPr="006E42F2">
        <w:t xml:space="preserve">Australian Government response to </w:t>
      </w:r>
      <w:r w:rsidR="0071208D" w:rsidRPr="006E42F2">
        <w:t>r</w:t>
      </w:r>
      <w:r w:rsidRPr="006E42F2">
        <w:t>ecommendation 3:</w:t>
      </w:r>
    </w:p>
    <w:p w14:paraId="2D446724" w14:textId="40FFAB9A" w:rsidR="00B7792D" w:rsidRDefault="00756EF6" w:rsidP="00B7792D">
      <w:r>
        <w:t xml:space="preserve">The Australian Government does not support Recommendation 3.  </w:t>
      </w:r>
      <w:r w:rsidR="00B7792D">
        <w:t xml:space="preserve">Where a notification is clearly vexatious, the National Board has the ability under the National Law to take no further action following initial assessment.  Where legitimate public safety concerns are raised, AHPRA and the National Boards have a </w:t>
      </w:r>
      <w:r w:rsidR="00C86DCE">
        <w:t>responsibility to investigate.</w:t>
      </w:r>
    </w:p>
    <w:p w14:paraId="34359D2E" w14:textId="29B7229E" w:rsidR="00B7792D" w:rsidRDefault="00B7792D" w:rsidP="00B7792D">
      <w:r>
        <w:t xml:space="preserve">The proposed source of the compensation is not clear from the recommendation. The Australian Government does not support </w:t>
      </w:r>
      <w:r w:rsidR="00997535">
        <w:t>actions that could</w:t>
      </w:r>
      <w:r>
        <w:t xml:space="preserve"> discourage people from raising their concerns with AHPRA.</w:t>
      </w:r>
    </w:p>
    <w:p w14:paraId="09F5F63C" w14:textId="3171BE8C" w:rsidR="00B7792D" w:rsidRDefault="00B7792D" w:rsidP="009A491F">
      <w:r>
        <w:t>AHPRA ha</w:t>
      </w:r>
      <w:r w:rsidR="009A491F">
        <w:t xml:space="preserve">s </w:t>
      </w:r>
      <w:r>
        <w:t>commissioned</w:t>
      </w:r>
      <w:r w:rsidR="009A491F">
        <w:t xml:space="preserve"> research to</w:t>
      </w:r>
      <w:r w:rsidR="007F3D23">
        <w:t xml:space="preserve"> better</w:t>
      </w:r>
      <w:r w:rsidR="009A491F">
        <w:t xml:space="preserve"> understand the extent of </w:t>
      </w:r>
      <w:r>
        <w:t>vexatious complaints</w:t>
      </w:r>
      <w:r w:rsidR="00756EF6">
        <w:t>.</w:t>
      </w:r>
      <w:r>
        <w:t xml:space="preserve">  The currently available evidence suggests that the incidence of vexatious notifications is very low, and that greater risk is posed to the public from people not reporting their concerns</w:t>
      </w:r>
      <w:r w:rsidR="005E44A8">
        <w:t>.</w:t>
      </w:r>
      <w:r>
        <w:t xml:space="preserve">  It is acknowledged however that </w:t>
      </w:r>
      <w:r w:rsidR="005E44A8">
        <w:t>vexatious</w:t>
      </w:r>
      <w:r>
        <w:t xml:space="preserve"> notifications can have a significant impact on practitioners.  </w:t>
      </w:r>
      <w:r w:rsidRPr="00B7792D">
        <w:t>AHPRA will use the research to improve its processes and inform best practice for reducing, identifying, and managing vexatious complaints.</w:t>
      </w:r>
    </w:p>
    <w:p w14:paraId="0E92AA7A" w14:textId="77777777" w:rsidR="0071208D" w:rsidRPr="00A02E00" w:rsidRDefault="0071208D" w:rsidP="00627CA0">
      <w:pPr>
        <w:pStyle w:val="Heading2"/>
        <w:pBdr>
          <w:left w:val="single" w:sz="4" w:space="1" w:color="auto"/>
          <w:right w:val="single" w:sz="4" w:space="1" w:color="auto"/>
        </w:pBdr>
      </w:pPr>
      <w:r>
        <w:t>Recommendation 10</w:t>
      </w:r>
    </w:p>
    <w:p w14:paraId="2BA2B9D4" w14:textId="77777777" w:rsidR="0071208D" w:rsidRPr="00821024" w:rsidRDefault="0071208D" w:rsidP="00627CA0">
      <w:pPr>
        <w:pBdr>
          <w:top w:val="single" w:sz="4" w:space="1" w:color="auto"/>
          <w:left w:val="single" w:sz="4" w:space="1" w:color="auto"/>
          <w:bottom w:val="single" w:sz="4" w:space="1" w:color="auto"/>
          <w:right w:val="single" w:sz="4" w:space="1" w:color="auto"/>
        </w:pBdr>
        <w:shd w:val="clear" w:color="auto" w:fill="F2F2F2" w:themeFill="background1" w:themeFillShade="F2"/>
      </w:pPr>
      <w:r w:rsidRPr="00821024">
        <w:t>The Committee recommends that the COAG Health Council consider amending the National Law to reflect the Psychology Board of Australia’s policy on single expert witness psychologists acting in family law proceedings.</w:t>
      </w:r>
    </w:p>
    <w:p w14:paraId="5A56C521" w14:textId="3C26AA14" w:rsidR="0071208D" w:rsidRPr="006E42F2" w:rsidRDefault="0071208D" w:rsidP="00821024">
      <w:pPr>
        <w:pStyle w:val="Heading3"/>
      </w:pPr>
      <w:r w:rsidRPr="006E42F2">
        <w:t>Australian Government response to recommendation 10:</w:t>
      </w:r>
    </w:p>
    <w:p w14:paraId="29BB3951" w14:textId="724C061E" w:rsidR="0071208D" w:rsidRPr="00756EF6" w:rsidRDefault="0071208D" w:rsidP="0071208D">
      <w:r>
        <w:t>The Australian Government will recommend that the COAG Health Council seek advice from AHPRA on this matter, including how their current policies and processes operate when dealing with notifications about practitioners who are involved in legal proceedings as part of their practice.</w:t>
      </w:r>
      <w:r w:rsidR="00C86DCE">
        <w:t xml:space="preserve"> </w:t>
      </w:r>
      <w:r w:rsidR="008A18CE">
        <w:t>While the Government acknowledges that the AHPRA notification process could potentially be used vexatiously in the context of practitioners acting in legal proceedings, it is important that legitimate concerns about the practice of these practitioners can be assessed by AHPRA</w:t>
      </w:r>
      <w:r w:rsidR="005E44A8">
        <w:t>,</w:t>
      </w:r>
      <w:r w:rsidR="008A18CE">
        <w:t xml:space="preserve"> where appropriate.</w:t>
      </w:r>
    </w:p>
    <w:p w14:paraId="23C6364D" w14:textId="77777777" w:rsidR="00756EF6" w:rsidRPr="00A02E00" w:rsidRDefault="00756EF6" w:rsidP="00627CA0">
      <w:pPr>
        <w:pStyle w:val="Heading2"/>
        <w:pBdr>
          <w:left w:val="single" w:sz="4" w:space="1" w:color="auto"/>
          <w:right w:val="single" w:sz="4" w:space="1" w:color="auto"/>
        </w:pBdr>
      </w:pPr>
      <w:r>
        <w:t>Recommendation 11</w:t>
      </w:r>
    </w:p>
    <w:p w14:paraId="061DEAD0" w14:textId="77777777" w:rsidR="00756EF6" w:rsidRDefault="00756EF6" w:rsidP="00627CA0">
      <w:pPr>
        <w:pBdr>
          <w:top w:val="single" w:sz="4" w:space="1" w:color="auto"/>
          <w:left w:val="single" w:sz="4" w:space="1" w:color="auto"/>
          <w:bottom w:val="single" w:sz="4" w:space="1" w:color="auto"/>
          <w:right w:val="single" w:sz="4" w:space="1" w:color="auto"/>
        </w:pBdr>
        <w:shd w:val="clear" w:color="auto" w:fill="F2F2F2" w:themeFill="background1" w:themeFillShade="F2"/>
      </w:pPr>
      <w:r>
        <w:t xml:space="preserve">The Committee recommends that the COAG Health Council consider making a caution an </w:t>
      </w:r>
      <w:proofErr w:type="spellStart"/>
      <w:r>
        <w:t>appellable</w:t>
      </w:r>
      <w:proofErr w:type="spellEnd"/>
      <w:r>
        <w:t xml:space="preserve"> decision.</w:t>
      </w:r>
    </w:p>
    <w:p w14:paraId="44C5E1F0" w14:textId="77777777" w:rsidR="00756EF6" w:rsidRPr="00A02E00" w:rsidRDefault="00756EF6" w:rsidP="00627CA0">
      <w:pPr>
        <w:pStyle w:val="Heading2"/>
        <w:pBdr>
          <w:left w:val="single" w:sz="4" w:space="1" w:color="auto"/>
          <w:right w:val="single" w:sz="4" w:space="1" w:color="auto"/>
        </w:pBdr>
      </w:pPr>
      <w:r>
        <w:lastRenderedPageBreak/>
        <w:t>Recommendation 12</w:t>
      </w:r>
    </w:p>
    <w:p w14:paraId="76798CC0" w14:textId="77777777" w:rsidR="00756EF6" w:rsidRDefault="00756EF6" w:rsidP="00627CA0">
      <w:pPr>
        <w:pBdr>
          <w:top w:val="single" w:sz="4" w:space="1" w:color="auto"/>
          <w:left w:val="single" w:sz="4" w:space="1" w:color="auto"/>
          <w:bottom w:val="single" w:sz="4" w:space="1" w:color="auto"/>
          <w:right w:val="single" w:sz="4" w:space="1" w:color="auto"/>
        </w:pBdr>
        <w:shd w:val="clear" w:color="auto" w:fill="F2F2F2" w:themeFill="background1" w:themeFillShade="F2"/>
      </w:pPr>
      <w:r>
        <w:t>The Committee recommends that the COAG Health Council consider whether notifiers should be permitted to appeal board decisions to the relevant tribunal.</w:t>
      </w:r>
    </w:p>
    <w:p w14:paraId="61A9E02E" w14:textId="6CD4F583" w:rsidR="009A4A3B" w:rsidRPr="006E42F2" w:rsidRDefault="009A4A3B" w:rsidP="00821024">
      <w:pPr>
        <w:pStyle w:val="Heading3"/>
      </w:pPr>
      <w:r w:rsidRPr="006E42F2">
        <w:t xml:space="preserve">Australian Government response to recommendations </w:t>
      </w:r>
      <w:r w:rsidR="0071208D" w:rsidRPr="006E42F2">
        <w:t xml:space="preserve">11 and </w:t>
      </w:r>
      <w:r w:rsidRPr="006E42F2">
        <w:t>12:</w:t>
      </w:r>
    </w:p>
    <w:p w14:paraId="1A5A68F5" w14:textId="3C7155C5" w:rsidR="00802173" w:rsidRPr="002F4777" w:rsidRDefault="00DB07DF">
      <w:pPr>
        <w:rPr>
          <w:rStyle w:val="IntenseReference"/>
          <w:b w:val="0"/>
          <w:bCs w:val="0"/>
          <w:i w:val="0"/>
          <w:smallCaps w:val="0"/>
          <w:color w:val="auto"/>
          <w:spacing w:val="0"/>
        </w:rPr>
      </w:pPr>
      <w:r>
        <w:rPr>
          <w:rStyle w:val="IntenseReference"/>
          <w:b w:val="0"/>
          <w:bCs w:val="0"/>
          <w:i w:val="0"/>
          <w:smallCaps w:val="0"/>
          <w:color w:val="auto"/>
          <w:spacing w:val="0"/>
        </w:rPr>
        <w:t xml:space="preserve">The Australian Government is </w:t>
      </w:r>
      <w:r w:rsidR="00947307">
        <w:rPr>
          <w:rStyle w:val="IntenseReference"/>
          <w:b w:val="0"/>
          <w:bCs w:val="0"/>
          <w:i w:val="0"/>
          <w:smallCaps w:val="0"/>
          <w:color w:val="auto"/>
          <w:spacing w:val="0"/>
        </w:rPr>
        <w:t xml:space="preserve">currently </w:t>
      </w:r>
      <w:r>
        <w:rPr>
          <w:rStyle w:val="IntenseReference"/>
          <w:b w:val="0"/>
          <w:bCs w:val="0"/>
          <w:i w:val="0"/>
          <w:smallCaps w:val="0"/>
          <w:color w:val="auto"/>
          <w:spacing w:val="0"/>
        </w:rPr>
        <w:t>involved in scoping</w:t>
      </w:r>
      <w:r w:rsidR="002F4777">
        <w:rPr>
          <w:rStyle w:val="IntenseReference"/>
          <w:b w:val="0"/>
          <w:bCs w:val="0"/>
          <w:i w:val="0"/>
          <w:smallCaps w:val="0"/>
          <w:color w:val="auto"/>
          <w:spacing w:val="0"/>
        </w:rPr>
        <w:t xml:space="preserve"> work </w:t>
      </w:r>
      <w:r>
        <w:rPr>
          <w:rStyle w:val="IntenseReference"/>
          <w:b w:val="0"/>
          <w:bCs w:val="0"/>
          <w:i w:val="0"/>
          <w:smallCaps w:val="0"/>
          <w:color w:val="auto"/>
          <w:spacing w:val="0"/>
        </w:rPr>
        <w:t>which is underway for</w:t>
      </w:r>
      <w:r w:rsidR="002F4777">
        <w:rPr>
          <w:rStyle w:val="IntenseReference"/>
          <w:b w:val="0"/>
          <w:bCs w:val="0"/>
          <w:i w:val="0"/>
          <w:smallCaps w:val="0"/>
          <w:color w:val="auto"/>
          <w:spacing w:val="0"/>
        </w:rPr>
        <w:t xml:space="preserve"> the second stage of amendments </w:t>
      </w:r>
      <w:r>
        <w:rPr>
          <w:rStyle w:val="IntenseReference"/>
          <w:b w:val="0"/>
          <w:bCs w:val="0"/>
          <w:i w:val="0"/>
          <w:smallCaps w:val="0"/>
          <w:color w:val="auto"/>
          <w:spacing w:val="0"/>
        </w:rPr>
        <w:t>to the National Law</w:t>
      </w:r>
      <w:r w:rsidR="005A1AFE">
        <w:rPr>
          <w:rStyle w:val="IntenseReference"/>
          <w:b w:val="0"/>
          <w:bCs w:val="0"/>
          <w:i w:val="0"/>
          <w:smallCaps w:val="0"/>
          <w:color w:val="auto"/>
          <w:spacing w:val="0"/>
        </w:rPr>
        <w:t xml:space="preserve">.  The </w:t>
      </w:r>
      <w:r w:rsidR="008F4E7F">
        <w:rPr>
          <w:rStyle w:val="IntenseReference"/>
          <w:b w:val="0"/>
          <w:bCs w:val="0"/>
          <w:i w:val="0"/>
          <w:smallCaps w:val="0"/>
          <w:color w:val="auto"/>
          <w:spacing w:val="0"/>
        </w:rPr>
        <w:t>issues raised by</w:t>
      </w:r>
      <w:r w:rsidR="005A1AFE">
        <w:rPr>
          <w:rStyle w:val="IntenseReference"/>
          <w:b w:val="0"/>
          <w:bCs w:val="0"/>
          <w:i w:val="0"/>
          <w:smallCaps w:val="0"/>
          <w:color w:val="auto"/>
          <w:spacing w:val="0"/>
        </w:rPr>
        <w:t xml:space="preserve"> Recommendations </w:t>
      </w:r>
      <w:r w:rsidR="00DE45E0">
        <w:rPr>
          <w:rStyle w:val="IntenseReference"/>
          <w:b w:val="0"/>
          <w:bCs w:val="0"/>
          <w:i w:val="0"/>
          <w:smallCaps w:val="0"/>
          <w:color w:val="auto"/>
          <w:spacing w:val="0"/>
        </w:rPr>
        <w:t xml:space="preserve">11 and </w:t>
      </w:r>
      <w:r w:rsidR="005A1AFE">
        <w:rPr>
          <w:rStyle w:val="IntenseReference"/>
          <w:b w:val="0"/>
          <w:bCs w:val="0"/>
          <w:i w:val="0"/>
          <w:smallCaps w:val="0"/>
          <w:color w:val="auto"/>
          <w:spacing w:val="0"/>
        </w:rPr>
        <w:t xml:space="preserve">12 </w:t>
      </w:r>
      <w:r w:rsidR="0088160E">
        <w:rPr>
          <w:rStyle w:val="IntenseReference"/>
          <w:b w:val="0"/>
          <w:bCs w:val="0"/>
          <w:i w:val="0"/>
          <w:smallCaps w:val="0"/>
          <w:color w:val="auto"/>
          <w:spacing w:val="0"/>
        </w:rPr>
        <w:t>are being</w:t>
      </w:r>
      <w:r w:rsidR="005A1AFE">
        <w:rPr>
          <w:rStyle w:val="IntenseReference"/>
          <w:b w:val="0"/>
          <w:bCs w:val="0"/>
          <w:i w:val="0"/>
          <w:smallCaps w:val="0"/>
          <w:color w:val="auto"/>
          <w:spacing w:val="0"/>
        </w:rPr>
        <w:t xml:space="preserve"> considered </w:t>
      </w:r>
      <w:r w:rsidR="004C3BE5">
        <w:rPr>
          <w:rStyle w:val="IntenseReference"/>
          <w:b w:val="0"/>
          <w:bCs w:val="0"/>
          <w:i w:val="0"/>
          <w:smallCaps w:val="0"/>
          <w:color w:val="auto"/>
          <w:spacing w:val="0"/>
        </w:rPr>
        <w:t xml:space="preserve">by all jurisdictions </w:t>
      </w:r>
      <w:r w:rsidR="005A1AFE">
        <w:rPr>
          <w:rStyle w:val="IntenseReference"/>
          <w:b w:val="0"/>
          <w:bCs w:val="0"/>
          <w:i w:val="0"/>
          <w:smallCaps w:val="0"/>
          <w:color w:val="auto"/>
          <w:spacing w:val="0"/>
        </w:rPr>
        <w:t>as part of this process.</w:t>
      </w:r>
      <w:r w:rsidR="002F4777">
        <w:rPr>
          <w:rStyle w:val="IntenseReference"/>
          <w:b w:val="0"/>
          <w:bCs w:val="0"/>
          <w:i w:val="0"/>
          <w:smallCaps w:val="0"/>
          <w:color w:val="auto"/>
          <w:spacing w:val="0"/>
        </w:rPr>
        <w:t xml:space="preserve">  </w:t>
      </w:r>
      <w:r w:rsidR="00BD651E">
        <w:rPr>
          <w:rStyle w:val="IntenseReference"/>
          <w:b w:val="0"/>
          <w:bCs w:val="0"/>
          <w:i w:val="0"/>
          <w:smallCaps w:val="0"/>
          <w:color w:val="auto"/>
          <w:spacing w:val="0"/>
        </w:rPr>
        <w:t>The second stage of amendments will include a public consultation process</w:t>
      </w:r>
      <w:r w:rsidR="005A1AFE">
        <w:rPr>
          <w:rStyle w:val="IntenseReference"/>
          <w:b w:val="0"/>
          <w:bCs w:val="0"/>
          <w:i w:val="0"/>
          <w:smallCaps w:val="0"/>
          <w:color w:val="auto"/>
          <w:spacing w:val="0"/>
        </w:rPr>
        <w:t>, including stakeholder consultation forums and release of a consultation paper</w:t>
      </w:r>
      <w:r w:rsidR="00BD651E">
        <w:rPr>
          <w:rStyle w:val="IntenseReference"/>
          <w:b w:val="0"/>
          <w:bCs w:val="0"/>
          <w:i w:val="0"/>
          <w:smallCaps w:val="0"/>
          <w:color w:val="auto"/>
          <w:spacing w:val="0"/>
        </w:rPr>
        <w:t>.</w:t>
      </w:r>
    </w:p>
    <w:sectPr w:rsidR="00802173" w:rsidRPr="002F4777" w:rsidSect="001B542C">
      <w:footerReference w:type="default" r:id="rId11"/>
      <w:pgSz w:w="11906" w:h="16838"/>
      <w:pgMar w:top="1247" w:right="1247" w:bottom="1247"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32B4" w14:textId="77777777" w:rsidR="005F3AB7" w:rsidRDefault="005F3AB7">
      <w:r>
        <w:separator/>
      </w:r>
    </w:p>
  </w:endnote>
  <w:endnote w:type="continuationSeparator" w:id="0">
    <w:p w14:paraId="259E0644" w14:textId="77777777" w:rsidR="005F3AB7" w:rsidRDefault="005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61864"/>
      <w:docPartObj>
        <w:docPartGallery w:val="Page Numbers (Bottom of Page)"/>
        <w:docPartUnique/>
      </w:docPartObj>
    </w:sdtPr>
    <w:sdtEndPr>
      <w:rPr>
        <w:noProof/>
      </w:rPr>
    </w:sdtEndPr>
    <w:sdtContent>
      <w:p w14:paraId="711352E8" w14:textId="1DACEBC4" w:rsidR="000B4A5D" w:rsidRDefault="000B4A5D" w:rsidP="00A044FC">
        <w:pPr>
          <w:pStyle w:val="Footer"/>
          <w:jc w:val="center"/>
        </w:pPr>
        <w:r>
          <w:fldChar w:fldCharType="begin"/>
        </w:r>
        <w:r>
          <w:instrText xml:space="preserve"> PAGE   \* MERGEFORMAT </w:instrText>
        </w:r>
        <w:r>
          <w:fldChar w:fldCharType="separate"/>
        </w:r>
        <w:r w:rsidR="002345A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E5A49" w14:textId="77777777" w:rsidR="005F3AB7" w:rsidRDefault="005F3AB7" w:rsidP="00FE3994">
      <w:r>
        <w:separator/>
      </w:r>
    </w:p>
  </w:footnote>
  <w:footnote w:type="continuationSeparator" w:id="0">
    <w:p w14:paraId="24D2CB5D" w14:textId="77777777" w:rsidR="005F3AB7" w:rsidRDefault="005F3AB7" w:rsidP="00FE3994">
      <w:r>
        <w:continuationSeparator/>
      </w:r>
    </w:p>
  </w:footnote>
  <w:footnote w:id="1">
    <w:p w14:paraId="464D949C" w14:textId="08D5DFAD" w:rsidR="00910EAF" w:rsidRPr="00821024" w:rsidRDefault="00910EAF" w:rsidP="00821024">
      <w:pPr>
        <w:pStyle w:val="Default"/>
        <w:rPr>
          <w:rFonts w:ascii="Times New Roman" w:hAnsi="Times New Roman" w:cs="Times New Roman"/>
          <w:sz w:val="20"/>
          <w:szCs w:val="20"/>
        </w:rPr>
      </w:pPr>
      <w:r w:rsidRPr="005729E6">
        <w:rPr>
          <w:rStyle w:val="FootnoteReference"/>
          <w:rFonts w:ascii="Times New Roman" w:hAnsi="Times New Roman" w:cs="Times New Roman"/>
        </w:rPr>
        <w:footnoteRef/>
      </w:r>
      <w:r w:rsidRPr="005729E6">
        <w:rPr>
          <w:rFonts w:ascii="Times New Roman" w:hAnsi="Times New Roman" w:cs="Times New Roman"/>
        </w:rPr>
        <w:t xml:space="preserve"> </w:t>
      </w:r>
      <w:r w:rsidRPr="005729E6">
        <w:rPr>
          <w:rFonts w:ascii="Times New Roman" w:hAnsi="Times New Roman" w:cs="Times New Roman"/>
          <w:sz w:val="20"/>
          <w:szCs w:val="20"/>
        </w:rPr>
        <w:t xml:space="preserve">OECD. (2015) </w:t>
      </w:r>
      <w:r w:rsidRPr="005729E6">
        <w:rPr>
          <w:rFonts w:ascii="Times New Roman" w:hAnsi="Times New Roman" w:cs="Times New Roman"/>
          <w:i/>
          <w:iCs/>
          <w:sz w:val="20"/>
          <w:szCs w:val="20"/>
        </w:rPr>
        <w:t>OECD Reviews of Health Care Quality: Australia 2015; Raising Standards</w:t>
      </w:r>
      <w:r w:rsidR="00821024">
        <w:rPr>
          <w:rFonts w:ascii="Times New Roman" w:hAnsi="Times New Roman" w:cs="Times New Roman"/>
          <w:sz w:val="20"/>
          <w:szCs w:val="20"/>
        </w:rPr>
        <w:t>, OECD Publishing, Paris.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C1"/>
    <w:rsid w:val="00031D3B"/>
    <w:rsid w:val="00040EDD"/>
    <w:rsid w:val="00065C28"/>
    <w:rsid w:val="00091CF6"/>
    <w:rsid w:val="000A4E6F"/>
    <w:rsid w:val="000B4025"/>
    <w:rsid w:val="000B4A5D"/>
    <w:rsid w:val="000B6B11"/>
    <w:rsid w:val="000E4943"/>
    <w:rsid w:val="000F042A"/>
    <w:rsid w:val="00130012"/>
    <w:rsid w:val="0014021A"/>
    <w:rsid w:val="00166944"/>
    <w:rsid w:val="00196FFA"/>
    <w:rsid w:val="001B0321"/>
    <w:rsid w:val="001B542C"/>
    <w:rsid w:val="001C3836"/>
    <w:rsid w:val="001E29F1"/>
    <w:rsid w:val="00205FC2"/>
    <w:rsid w:val="00230971"/>
    <w:rsid w:val="002345A8"/>
    <w:rsid w:val="00237C43"/>
    <w:rsid w:val="00241A9A"/>
    <w:rsid w:val="00245BAC"/>
    <w:rsid w:val="00272039"/>
    <w:rsid w:val="002A58F6"/>
    <w:rsid w:val="002B0BB1"/>
    <w:rsid w:val="002B499F"/>
    <w:rsid w:val="002B5A2A"/>
    <w:rsid w:val="002D0B9D"/>
    <w:rsid w:val="002E45D5"/>
    <w:rsid w:val="002F1AB8"/>
    <w:rsid w:val="002F286A"/>
    <w:rsid w:val="002F3458"/>
    <w:rsid w:val="002F4777"/>
    <w:rsid w:val="00336EFD"/>
    <w:rsid w:val="00351595"/>
    <w:rsid w:val="00351A36"/>
    <w:rsid w:val="00360864"/>
    <w:rsid w:val="00375B96"/>
    <w:rsid w:val="0037624C"/>
    <w:rsid w:val="00385FE3"/>
    <w:rsid w:val="003B4B36"/>
    <w:rsid w:val="003C4C1D"/>
    <w:rsid w:val="003D219A"/>
    <w:rsid w:val="003D73A9"/>
    <w:rsid w:val="003D7E12"/>
    <w:rsid w:val="004056BE"/>
    <w:rsid w:val="00424506"/>
    <w:rsid w:val="00433890"/>
    <w:rsid w:val="00450AA4"/>
    <w:rsid w:val="00454619"/>
    <w:rsid w:val="004728DF"/>
    <w:rsid w:val="00476427"/>
    <w:rsid w:val="00483113"/>
    <w:rsid w:val="004C3BE5"/>
    <w:rsid w:val="004E0AEB"/>
    <w:rsid w:val="004F28FD"/>
    <w:rsid w:val="005176C1"/>
    <w:rsid w:val="00535578"/>
    <w:rsid w:val="00552082"/>
    <w:rsid w:val="005729E6"/>
    <w:rsid w:val="005A1AFE"/>
    <w:rsid w:val="005B2B2C"/>
    <w:rsid w:val="005D6A90"/>
    <w:rsid w:val="005E4143"/>
    <w:rsid w:val="005E44A8"/>
    <w:rsid w:val="005F3AB7"/>
    <w:rsid w:val="00627CA0"/>
    <w:rsid w:val="00663892"/>
    <w:rsid w:val="0066479C"/>
    <w:rsid w:val="0067402D"/>
    <w:rsid w:val="00697F83"/>
    <w:rsid w:val="006C3998"/>
    <w:rsid w:val="006D13F0"/>
    <w:rsid w:val="006D6502"/>
    <w:rsid w:val="006E3210"/>
    <w:rsid w:val="006E42F2"/>
    <w:rsid w:val="006E4C84"/>
    <w:rsid w:val="006E593F"/>
    <w:rsid w:val="006F353C"/>
    <w:rsid w:val="006F47A0"/>
    <w:rsid w:val="0070547E"/>
    <w:rsid w:val="00707A94"/>
    <w:rsid w:val="0071208D"/>
    <w:rsid w:val="00742AD7"/>
    <w:rsid w:val="00756EF6"/>
    <w:rsid w:val="00777F55"/>
    <w:rsid w:val="00782A7F"/>
    <w:rsid w:val="007939B5"/>
    <w:rsid w:val="007B7A84"/>
    <w:rsid w:val="007C2054"/>
    <w:rsid w:val="007C54D9"/>
    <w:rsid w:val="007E2C3E"/>
    <w:rsid w:val="007E2D20"/>
    <w:rsid w:val="007F3D23"/>
    <w:rsid w:val="00802173"/>
    <w:rsid w:val="0081130C"/>
    <w:rsid w:val="00821024"/>
    <w:rsid w:val="00872029"/>
    <w:rsid w:val="0088160E"/>
    <w:rsid w:val="008A18CE"/>
    <w:rsid w:val="008C00FD"/>
    <w:rsid w:val="008C50C3"/>
    <w:rsid w:val="008C61D7"/>
    <w:rsid w:val="008D41AB"/>
    <w:rsid w:val="008D6E64"/>
    <w:rsid w:val="008E497C"/>
    <w:rsid w:val="008F4E7F"/>
    <w:rsid w:val="009016C6"/>
    <w:rsid w:val="00903A5B"/>
    <w:rsid w:val="00910EAF"/>
    <w:rsid w:val="00934589"/>
    <w:rsid w:val="009443CC"/>
    <w:rsid w:val="00947307"/>
    <w:rsid w:val="0095512E"/>
    <w:rsid w:val="00962AA6"/>
    <w:rsid w:val="00990BD0"/>
    <w:rsid w:val="00997535"/>
    <w:rsid w:val="009A491F"/>
    <w:rsid w:val="009A4A3B"/>
    <w:rsid w:val="009A51E8"/>
    <w:rsid w:val="009A6194"/>
    <w:rsid w:val="00A038AD"/>
    <w:rsid w:val="00A044FC"/>
    <w:rsid w:val="00A11C9E"/>
    <w:rsid w:val="00A44810"/>
    <w:rsid w:val="00A609EE"/>
    <w:rsid w:val="00A61433"/>
    <w:rsid w:val="00A63EAD"/>
    <w:rsid w:val="00A66290"/>
    <w:rsid w:val="00A821A3"/>
    <w:rsid w:val="00AA643A"/>
    <w:rsid w:val="00AD1170"/>
    <w:rsid w:val="00AE36F3"/>
    <w:rsid w:val="00AF1DD0"/>
    <w:rsid w:val="00B00BA0"/>
    <w:rsid w:val="00B26831"/>
    <w:rsid w:val="00B55F1A"/>
    <w:rsid w:val="00B607A8"/>
    <w:rsid w:val="00B668B8"/>
    <w:rsid w:val="00B66C59"/>
    <w:rsid w:val="00B7792D"/>
    <w:rsid w:val="00B90B2F"/>
    <w:rsid w:val="00B96160"/>
    <w:rsid w:val="00BA5A63"/>
    <w:rsid w:val="00BB5B2E"/>
    <w:rsid w:val="00BD4484"/>
    <w:rsid w:val="00BD651E"/>
    <w:rsid w:val="00BE738F"/>
    <w:rsid w:val="00BE7CB9"/>
    <w:rsid w:val="00C054C9"/>
    <w:rsid w:val="00C42318"/>
    <w:rsid w:val="00C64D48"/>
    <w:rsid w:val="00C66EF9"/>
    <w:rsid w:val="00C863A5"/>
    <w:rsid w:val="00C86DCE"/>
    <w:rsid w:val="00CB5BF1"/>
    <w:rsid w:val="00CB6F25"/>
    <w:rsid w:val="00CC0CBA"/>
    <w:rsid w:val="00CE5925"/>
    <w:rsid w:val="00CF04AA"/>
    <w:rsid w:val="00CF0F60"/>
    <w:rsid w:val="00D05E46"/>
    <w:rsid w:val="00D171AD"/>
    <w:rsid w:val="00D17CA4"/>
    <w:rsid w:val="00D20178"/>
    <w:rsid w:val="00D4369E"/>
    <w:rsid w:val="00D52454"/>
    <w:rsid w:val="00D71153"/>
    <w:rsid w:val="00D774EE"/>
    <w:rsid w:val="00DA07C3"/>
    <w:rsid w:val="00DA477B"/>
    <w:rsid w:val="00DA4798"/>
    <w:rsid w:val="00DA49A8"/>
    <w:rsid w:val="00DB07DF"/>
    <w:rsid w:val="00DC759C"/>
    <w:rsid w:val="00DE45E0"/>
    <w:rsid w:val="00E03069"/>
    <w:rsid w:val="00E24AE3"/>
    <w:rsid w:val="00E57D39"/>
    <w:rsid w:val="00E67030"/>
    <w:rsid w:val="00E75DD8"/>
    <w:rsid w:val="00E81735"/>
    <w:rsid w:val="00EC1241"/>
    <w:rsid w:val="00ED52FC"/>
    <w:rsid w:val="00EE187B"/>
    <w:rsid w:val="00F47344"/>
    <w:rsid w:val="00F57ADF"/>
    <w:rsid w:val="00F94BBF"/>
    <w:rsid w:val="00FF4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2F82F5E"/>
  <w15:docId w15:val="{E7CAE98F-1057-4C49-8BBC-42FF742C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024"/>
    <w:pPr>
      <w:spacing w:before="120" w:after="120"/>
    </w:pPr>
    <w:rPr>
      <w:sz w:val="24"/>
      <w:szCs w:val="24"/>
      <w:lang w:eastAsia="en-US"/>
    </w:rPr>
  </w:style>
  <w:style w:type="paragraph" w:styleId="Heading1">
    <w:name w:val="heading 1"/>
    <w:basedOn w:val="Normal"/>
    <w:next w:val="Normal"/>
    <w:qFormat/>
    <w:rsid w:val="006E42F2"/>
    <w:pPr>
      <w:keepNext/>
      <w:spacing w:before="240" w:after="60"/>
      <w:outlineLvl w:val="0"/>
    </w:pPr>
    <w:rPr>
      <w:rFonts w:cs="Arial"/>
      <w:b/>
      <w:bCs/>
      <w:kern w:val="28"/>
      <w:sz w:val="28"/>
      <w:szCs w:val="32"/>
    </w:rPr>
  </w:style>
  <w:style w:type="paragraph" w:styleId="Heading2">
    <w:name w:val="heading 2"/>
    <w:basedOn w:val="Normal"/>
    <w:next w:val="Normal"/>
    <w:qFormat/>
    <w:rsid w:val="00821024"/>
    <w:pPr>
      <w:pBdr>
        <w:top w:val="single" w:sz="4" w:space="1" w:color="auto"/>
        <w:left w:val="single" w:sz="4" w:space="4" w:color="auto"/>
        <w:bottom w:val="single" w:sz="4" w:space="1" w:color="auto"/>
        <w:right w:val="single" w:sz="4" w:space="4" w:color="auto"/>
      </w:pBdr>
      <w:shd w:val="clear" w:color="auto" w:fill="F2F2F2" w:themeFill="background1" w:themeFillShade="F2"/>
      <w:outlineLvl w:val="1"/>
    </w:pPr>
    <w:rPr>
      <w:b/>
    </w:rPr>
  </w:style>
  <w:style w:type="paragraph" w:styleId="Heading3">
    <w:name w:val="heading 3"/>
    <w:basedOn w:val="Heading2"/>
    <w:next w:val="Normal"/>
    <w:qFormat/>
    <w:rsid w:val="00821024"/>
    <w:pPr>
      <w:keepNext/>
      <w:pBdr>
        <w:top w:val="none" w:sz="0" w:space="0" w:color="auto"/>
        <w:left w:val="none" w:sz="0" w:space="0" w:color="auto"/>
        <w:bottom w:val="none" w:sz="0" w:space="0" w:color="auto"/>
        <w:right w:val="none" w:sz="0" w:space="0" w:color="auto"/>
      </w:pBdr>
      <w:shd w:val="clear" w:color="auto" w:fill="auto"/>
      <w:outlineLvl w:val="2"/>
    </w:pPr>
    <w:rPr>
      <w:b w:val="0"/>
      <w:i/>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BodyText"/>
    <w:next w:val="Normal"/>
    <w:link w:val="SubtitleChar"/>
    <w:qFormat/>
    <w:rsid w:val="008C61D7"/>
    <w:pPr>
      <w:kinsoku w:val="0"/>
      <w:overflowPunct w:val="0"/>
      <w:spacing w:before="2400" w:after="1080" w:line="412" w:lineRule="exact"/>
      <w:ind w:left="1673" w:right="1672"/>
      <w:jc w:val="center"/>
    </w:pPr>
  </w:style>
  <w:style w:type="character" w:customStyle="1" w:styleId="SubtitleChar">
    <w:name w:val="Subtitle Char"/>
    <w:basedOn w:val="DefaultParagraphFont"/>
    <w:link w:val="Subtitle"/>
    <w:rsid w:val="008C61D7"/>
    <w:rPr>
      <w:rFonts w:eastAsiaTheme="minorEastAsia"/>
      <w:sz w:val="36"/>
      <w:szCs w:val="36"/>
    </w:rPr>
  </w:style>
  <w:style w:type="paragraph" w:styleId="Title">
    <w:name w:val="Title"/>
    <w:basedOn w:val="BodyText"/>
    <w:next w:val="Normal"/>
    <w:link w:val="TitleChar"/>
    <w:qFormat/>
    <w:rsid w:val="00E67030"/>
    <w:pPr>
      <w:keepNext/>
      <w:widowControl/>
      <w:kinsoku w:val="0"/>
      <w:overflowPunct w:val="0"/>
      <w:spacing w:before="2000"/>
      <w:ind w:left="567" w:right="340"/>
      <w:contextualSpacing/>
      <w:jc w:val="center"/>
    </w:pPr>
    <w:rPr>
      <w:sz w:val="40"/>
    </w:rPr>
  </w:style>
  <w:style w:type="character" w:customStyle="1" w:styleId="TitleChar">
    <w:name w:val="Title Char"/>
    <w:basedOn w:val="DefaultParagraphFont"/>
    <w:link w:val="Title"/>
    <w:rsid w:val="00E67030"/>
    <w:rPr>
      <w:rFonts w:eastAsiaTheme="minorEastAsia"/>
      <w:sz w:val="40"/>
      <w:szCs w:val="36"/>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noteText">
    <w:name w:val="footnote text"/>
    <w:basedOn w:val="Normal"/>
    <w:link w:val="FootnoteTextChar"/>
    <w:rsid w:val="00FE3994"/>
    <w:rPr>
      <w:sz w:val="20"/>
      <w:szCs w:val="20"/>
    </w:rPr>
  </w:style>
  <w:style w:type="character" w:customStyle="1" w:styleId="FootnoteTextChar">
    <w:name w:val="Footnote Text Char"/>
    <w:basedOn w:val="DefaultParagraphFont"/>
    <w:link w:val="FootnoteText"/>
    <w:rsid w:val="00FE3994"/>
    <w:rPr>
      <w:lang w:eastAsia="en-US"/>
    </w:rPr>
  </w:style>
  <w:style w:type="character" w:styleId="FootnoteReference">
    <w:name w:val="footnote reference"/>
    <w:basedOn w:val="DefaultParagraphFont"/>
    <w:rsid w:val="00FE3994"/>
    <w:rPr>
      <w:vertAlign w:val="superscript"/>
    </w:rPr>
  </w:style>
  <w:style w:type="character" w:styleId="Hyperlink">
    <w:name w:val="Hyperlink"/>
    <w:basedOn w:val="DefaultParagraphFont"/>
    <w:rsid w:val="00FE3994"/>
    <w:rPr>
      <w:color w:val="0000FF" w:themeColor="hyperlink"/>
      <w:u w:val="single"/>
    </w:rPr>
  </w:style>
  <w:style w:type="paragraph" w:styleId="BodyText">
    <w:name w:val="Body Text"/>
    <w:basedOn w:val="Normal"/>
    <w:link w:val="BodyTextChar"/>
    <w:uiPriority w:val="1"/>
    <w:qFormat/>
    <w:rsid w:val="0072603A"/>
    <w:pPr>
      <w:widowControl w:val="0"/>
      <w:autoSpaceDE w:val="0"/>
      <w:autoSpaceDN w:val="0"/>
      <w:adjustRightInd w:val="0"/>
      <w:ind w:left="886"/>
    </w:pPr>
    <w:rPr>
      <w:rFonts w:eastAsiaTheme="minorEastAsia"/>
      <w:sz w:val="36"/>
      <w:szCs w:val="36"/>
      <w:lang w:eastAsia="en-AU"/>
    </w:rPr>
  </w:style>
  <w:style w:type="character" w:customStyle="1" w:styleId="BodyTextChar">
    <w:name w:val="Body Text Char"/>
    <w:basedOn w:val="DefaultParagraphFont"/>
    <w:link w:val="BodyText"/>
    <w:uiPriority w:val="1"/>
    <w:rsid w:val="0072603A"/>
    <w:rPr>
      <w:rFonts w:eastAsiaTheme="minorEastAsia"/>
      <w:sz w:val="36"/>
      <w:szCs w:val="36"/>
    </w:rPr>
  </w:style>
  <w:style w:type="paragraph" w:styleId="BalloonText">
    <w:name w:val="Balloon Text"/>
    <w:basedOn w:val="Normal"/>
    <w:link w:val="BalloonTextChar"/>
    <w:rsid w:val="0072603A"/>
    <w:rPr>
      <w:rFonts w:ascii="Tahoma" w:hAnsi="Tahoma" w:cs="Tahoma"/>
      <w:sz w:val="16"/>
      <w:szCs w:val="16"/>
    </w:rPr>
  </w:style>
  <w:style w:type="character" w:customStyle="1" w:styleId="BalloonTextChar">
    <w:name w:val="Balloon Text Char"/>
    <w:basedOn w:val="DefaultParagraphFont"/>
    <w:link w:val="BalloonText"/>
    <w:rsid w:val="0072603A"/>
    <w:rPr>
      <w:rFonts w:ascii="Tahoma" w:hAnsi="Tahoma" w:cs="Tahoma"/>
      <w:sz w:val="16"/>
      <w:szCs w:val="16"/>
      <w:lang w:eastAsia="en-US"/>
    </w:rPr>
  </w:style>
  <w:style w:type="paragraph" w:customStyle="1" w:styleId="Default">
    <w:name w:val="Default"/>
    <w:rsid w:val="00A11C9E"/>
    <w:pPr>
      <w:autoSpaceDE w:val="0"/>
      <w:autoSpaceDN w:val="0"/>
      <w:adjustRightInd w:val="0"/>
    </w:pPr>
    <w:rPr>
      <w:rFonts w:ascii="Arial" w:hAnsi="Arial" w:cs="Arial"/>
      <w:color w:val="000000"/>
      <w:sz w:val="24"/>
      <w:szCs w:val="24"/>
    </w:rPr>
  </w:style>
  <w:style w:type="paragraph" w:customStyle="1" w:styleId="Pa5">
    <w:name w:val="Pa5"/>
    <w:basedOn w:val="Default"/>
    <w:next w:val="Default"/>
    <w:uiPriority w:val="99"/>
    <w:rsid w:val="00385FE3"/>
    <w:pPr>
      <w:spacing w:line="191" w:lineRule="atLeast"/>
    </w:pPr>
    <w:rPr>
      <w:rFonts w:ascii="Helvetica 45 Light" w:hAnsi="Helvetica 45 Light" w:cs="Times New Roman"/>
      <w:color w:val="auto"/>
    </w:rPr>
  </w:style>
  <w:style w:type="paragraph" w:styleId="Header">
    <w:name w:val="header"/>
    <w:basedOn w:val="Normal"/>
    <w:link w:val="HeaderChar"/>
    <w:rsid w:val="000B4A5D"/>
    <w:pPr>
      <w:tabs>
        <w:tab w:val="center" w:pos="4513"/>
        <w:tab w:val="right" w:pos="9026"/>
      </w:tabs>
    </w:pPr>
  </w:style>
  <w:style w:type="character" w:customStyle="1" w:styleId="HeaderChar">
    <w:name w:val="Header Char"/>
    <w:basedOn w:val="DefaultParagraphFont"/>
    <w:link w:val="Header"/>
    <w:rsid w:val="000B4A5D"/>
    <w:rPr>
      <w:sz w:val="24"/>
      <w:szCs w:val="24"/>
      <w:lang w:eastAsia="en-US"/>
    </w:rPr>
  </w:style>
  <w:style w:type="paragraph" w:styleId="Footer">
    <w:name w:val="footer"/>
    <w:basedOn w:val="Normal"/>
    <w:link w:val="FooterChar"/>
    <w:uiPriority w:val="99"/>
    <w:rsid w:val="000B4A5D"/>
    <w:pPr>
      <w:tabs>
        <w:tab w:val="center" w:pos="4513"/>
        <w:tab w:val="right" w:pos="9026"/>
      </w:tabs>
    </w:pPr>
  </w:style>
  <w:style w:type="character" w:customStyle="1" w:styleId="FooterChar">
    <w:name w:val="Footer Char"/>
    <w:basedOn w:val="DefaultParagraphFont"/>
    <w:link w:val="Footer"/>
    <w:uiPriority w:val="99"/>
    <w:rsid w:val="000B4A5D"/>
    <w:rPr>
      <w:sz w:val="24"/>
      <w:szCs w:val="24"/>
      <w:lang w:eastAsia="en-US"/>
    </w:rPr>
  </w:style>
  <w:style w:type="character" w:styleId="CommentReference">
    <w:name w:val="annotation reference"/>
    <w:basedOn w:val="DefaultParagraphFont"/>
    <w:rsid w:val="00663892"/>
    <w:rPr>
      <w:sz w:val="16"/>
      <w:szCs w:val="16"/>
    </w:rPr>
  </w:style>
  <w:style w:type="paragraph" w:styleId="CommentText">
    <w:name w:val="annotation text"/>
    <w:basedOn w:val="Normal"/>
    <w:link w:val="CommentTextChar"/>
    <w:rsid w:val="00663892"/>
    <w:rPr>
      <w:sz w:val="20"/>
      <w:szCs w:val="20"/>
    </w:rPr>
  </w:style>
  <w:style w:type="character" w:customStyle="1" w:styleId="CommentTextChar">
    <w:name w:val="Comment Text Char"/>
    <w:basedOn w:val="DefaultParagraphFont"/>
    <w:link w:val="CommentText"/>
    <w:rsid w:val="00663892"/>
    <w:rPr>
      <w:lang w:eastAsia="en-US"/>
    </w:rPr>
  </w:style>
  <w:style w:type="paragraph" w:styleId="CommentSubject">
    <w:name w:val="annotation subject"/>
    <w:basedOn w:val="CommentText"/>
    <w:next w:val="CommentText"/>
    <w:link w:val="CommentSubjectChar"/>
    <w:rsid w:val="00663892"/>
    <w:rPr>
      <w:b/>
      <w:bCs/>
    </w:rPr>
  </w:style>
  <w:style w:type="character" w:customStyle="1" w:styleId="CommentSubjectChar">
    <w:name w:val="Comment Subject Char"/>
    <w:basedOn w:val="CommentTextChar"/>
    <w:link w:val="CommentSubject"/>
    <w:rsid w:val="0066389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8AF7-9EA4-48D2-A271-8E1DD1870156}">
  <ds:schemaRefs>
    <ds:schemaRef ds:uri="http://schemas.microsoft.com/sharepoint/v3/contenttype/forms"/>
  </ds:schemaRefs>
</ds:datastoreItem>
</file>

<file path=customXml/itemProps2.xml><?xml version="1.0" encoding="utf-8"?>
<ds:datastoreItem xmlns:ds="http://schemas.openxmlformats.org/officeDocument/2006/customXml" ds:itemID="{8935CE08-B8F0-43EC-B3CD-BB1BEE4C2F4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2F746A-E705-4EBF-AE0C-2F6D18AA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EFE6B9-4355-4F06-B16B-6513238F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Complaints mechanism administered under the Health Practitioner Regulation National Law</vt:lpstr>
    </vt:vector>
  </TitlesOfParts>
  <Company>Dept Health And Ageing</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Complaints mechanism administered under the Health Practitioner Regulation National Law</dc:title>
  <dc:subject>Government Response</dc:subject>
  <dc:creator>Department of Health</dc:creator>
  <cp:keywords>Senate Community Affairs References Committee; Health Practitioner Regulation National Law; Government response;</cp:keywords>
  <cp:lastModifiedBy>Maschke, Elvia</cp:lastModifiedBy>
  <cp:revision>2</cp:revision>
  <cp:lastPrinted>2017-12-06T03:49:00Z</cp:lastPrinted>
  <dcterms:created xsi:type="dcterms:W3CDTF">2019-06-13T10:49:00Z</dcterms:created>
  <dcterms:modified xsi:type="dcterms:W3CDTF">2019-06-13T10:49:00Z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02 November 2016</vt:lpwstr>
  </property>
  <property fmtid="{D5CDD505-2E9C-101B-9397-08002B2CF9AE}" pid="4" name="ClearanceDueDate">
    <vt:lpwstr>09 November 2016</vt:lpwstr>
  </property>
  <property fmtid="{D5CDD505-2E9C-101B-9397-08002B2CF9AE}" pid="5" name="Electorates">
    <vt:lpwstr> </vt:lpwstr>
  </property>
  <property fmtid="{D5CDD505-2E9C-101B-9397-08002B2CF9AE}" pid="6" name="GroupResponsible">
    <vt:lpwstr>Health Workforce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WENDY SOUTHERN</vt:lpwstr>
  </property>
  <property fmtid="{D5CDD505-2E9C-101B-9397-08002B2CF9AE}" pid="10" name="Ministers">
    <vt:lpwstr>Sussan Ley</vt:lpwstr>
  </property>
  <property fmtid="{D5CDD505-2E9C-101B-9397-08002B2CF9AE}" pid="11" name="PdrId">
    <vt:lpwstr>MS16-002259</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18 October 2016</vt:lpwstr>
  </property>
  <property fmtid="{D5CDD505-2E9C-101B-9397-08002B2CF9AE}" pid="15" name="RequestedAction">
    <vt:lpwstr>Signature</vt:lpwstr>
  </property>
  <property fmtid="{D5CDD505-2E9C-101B-9397-08002B2CF9AE}" pid="16" name="ResponsibleMinister">
    <vt:lpwstr>Sussan Ley</vt:lpwstr>
  </property>
  <property fmtid="{D5CDD505-2E9C-101B-9397-08002B2CF9AE}" pid="17" name="SecurityClassification">
    <vt:lpwstr>For Official Use Only (FOUO)  </vt:lpwstr>
  </property>
  <property fmtid="{D5CDD505-2E9C-101B-9397-08002B2CF9AE}" pid="18" name="Subject">
    <vt:lpwstr>Australian Government Response to the Senate Legal and Constitutional Affairs References Committee report on the establishment of a national registration system for Australian paramedics to improve and ensure patient and community safety</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Ministerial Submission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0x010100E0627BD2E77EA4458DC41A270DF2E32B</vt:lpwstr>
  </property>
</Properties>
</file>