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8A3C5" w14:textId="77777777" w:rsidR="00324426" w:rsidRDefault="00072BD9" w:rsidP="002D2CB7">
      <w:pPr>
        <w:jc w:val="center"/>
      </w:pPr>
      <w:r w:rsidRPr="00324426">
        <w:rPr>
          <w:noProof/>
          <w:lang w:eastAsia="en-AU"/>
        </w:rPr>
        <w:drawing>
          <wp:inline distT="0" distB="0" distL="0" distR="0" wp14:anchorId="40752A7C" wp14:editId="40752A7D">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407528D8" w14:textId="2DFDE6B6" w:rsidR="00FC21B5" w:rsidRDefault="00072BD9" w:rsidP="002D2CB7">
      <w:pPr>
        <w:pStyle w:val="Title"/>
        <w:spacing w:before="1200"/>
      </w:pPr>
      <w:r>
        <w:t xml:space="preserve">Australian Government response to </w:t>
      </w:r>
      <w:r w:rsidRPr="00BC7484">
        <w:t xml:space="preserve">the </w:t>
      </w:r>
      <w:r>
        <w:t>Senate</w:t>
      </w:r>
      <w:r w:rsidRPr="00BC7484">
        <w:t xml:space="preserve"> Community Affairs References Committee Inquiry </w:t>
      </w:r>
      <w:r w:rsidR="00C24A8B">
        <w:t>report</w:t>
      </w:r>
      <w:r w:rsidR="003F301A">
        <w:t>:</w:t>
      </w:r>
      <w:r w:rsidRPr="00BC7484">
        <w:t xml:space="preserve"> Accessibility and quality of mental health services in rural and remote Australia</w:t>
      </w:r>
      <w:r w:rsidR="00FC21B5">
        <w:t>.</w:t>
      </w:r>
    </w:p>
    <w:p w14:paraId="407528D9" w14:textId="77777777" w:rsidR="00072BD9" w:rsidRPr="00324426" w:rsidRDefault="00072BD9" w:rsidP="00324426">
      <w:pPr>
        <w:spacing w:before="6000"/>
        <w:jc w:val="right"/>
      </w:pPr>
      <w:r w:rsidRPr="00324426">
        <w:t>April 2019</w:t>
      </w:r>
    </w:p>
    <w:p w14:paraId="407528DA" w14:textId="77777777" w:rsidR="00713206" w:rsidRDefault="00713206" w:rsidP="00072BD9">
      <w:pPr>
        <w:pStyle w:val="Default"/>
        <w:spacing w:before="80" w:after="80"/>
        <w:ind w:left="33"/>
        <w:jc w:val="right"/>
        <w:rPr>
          <w:rFonts w:ascii="Times New Roman" w:hAnsi="Times New Roman" w:cs="Times New Roman"/>
          <w:sz w:val="28"/>
          <w:szCs w:val="28"/>
        </w:rPr>
        <w:sectPr w:rsidR="00713206" w:rsidSect="00F95310">
          <w:pgSz w:w="11906" w:h="16838"/>
          <w:pgMar w:top="1440" w:right="1440" w:bottom="1440" w:left="1440" w:header="708" w:footer="708" w:gutter="0"/>
          <w:pgNumType w:start="1"/>
          <w:cols w:space="708"/>
          <w:docGrid w:linePitch="360"/>
        </w:sectPr>
      </w:pPr>
    </w:p>
    <w:p w14:paraId="407528DC" w14:textId="2C3578DF" w:rsidR="008B780B" w:rsidRPr="00324426" w:rsidRDefault="00796F77" w:rsidP="00324426">
      <w:pPr>
        <w:pStyle w:val="Subtitle"/>
      </w:pPr>
      <w:r w:rsidRPr="00324426">
        <w:lastRenderedPageBreak/>
        <w:t>Australian Government response to the</w:t>
      </w:r>
      <w:r w:rsidR="00A504C1" w:rsidRPr="00324426">
        <w:t xml:space="preserve"> Senate</w:t>
      </w:r>
      <w:r w:rsidRPr="00324426">
        <w:t xml:space="preserve"> Community Affairs References Committee Inquiry </w:t>
      </w:r>
      <w:r w:rsidR="00C24A8B" w:rsidRPr="00324426">
        <w:t xml:space="preserve">report </w:t>
      </w:r>
      <w:r w:rsidRPr="00324426">
        <w:t>into</w:t>
      </w:r>
      <w:r w:rsidR="006F0B00" w:rsidRPr="00324426">
        <w:t xml:space="preserve"> </w:t>
      </w:r>
      <w:r w:rsidRPr="00324426">
        <w:t>the Accessibility and quality of mental health services in rural and remote Australia</w:t>
      </w:r>
    </w:p>
    <w:sdt>
      <w:sdtPr>
        <w:rPr>
          <w:rFonts w:eastAsiaTheme="minorHAnsi" w:cstheme="minorBidi"/>
          <w:b w:val="0"/>
          <w:bCs w:val="0"/>
          <w:sz w:val="22"/>
          <w:szCs w:val="22"/>
          <w:lang w:val="en-AU" w:eastAsia="en-US"/>
        </w:rPr>
        <w:id w:val="-2132242816"/>
        <w:docPartObj>
          <w:docPartGallery w:val="Table of Contents"/>
          <w:docPartUnique/>
        </w:docPartObj>
      </w:sdtPr>
      <w:sdtEndPr>
        <w:rPr>
          <w:noProof/>
          <w:sz w:val="24"/>
        </w:rPr>
      </w:sdtEndPr>
      <w:sdtContent>
        <w:p w14:paraId="265E2A12" w14:textId="76A203AF" w:rsidR="00AC6BA8" w:rsidRDefault="00AC6BA8">
          <w:pPr>
            <w:pStyle w:val="TOCHeading"/>
          </w:pPr>
          <w:r>
            <w:t>Contents</w:t>
          </w:r>
        </w:p>
        <w:p w14:paraId="21742B51" w14:textId="1B3F8E9F" w:rsidR="001518E2" w:rsidRDefault="001518E2">
          <w:pPr>
            <w:pStyle w:val="TOC1"/>
            <w:tabs>
              <w:tab w:val="right" w:leader="dot" w:pos="9016"/>
            </w:tabs>
            <w:rPr>
              <w:rFonts w:eastAsiaTheme="minorEastAsia"/>
              <w:noProof/>
              <w:sz w:val="22"/>
              <w:lang w:eastAsia="en-AU"/>
            </w:rPr>
          </w:pPr>
          <w:r>
            <w:fldChar w:fldCharType="begin"/>
          </w:r>
          <w:r>
            <w:instrText xml:space="preserve"> TOC \o "1-2" \h \z \u </w:instrText>
          </w:r>
          <w:r>
            <w:fldChar w:fldCharType="separate"/>
          </w:r>
          <w:hyperlink w:anchor="_Toc11401965" w:history="1">
            <w:r w:rsidRPr="000E43E7">
              <w:rPr>
                <w:rStyle w:val="Hyperlink"/>
                <w:noProof/>
              </w:rPr>
              <w:t>Glossary of key terms</w:t>
            </w:r>
            <w:r>
              <w:rPr>
                <w:noProof/>
                <w:webHidden/>
              </w:rPr>
              <w:tab/>
            </w:r>
            <w:r>
              <w:rPr>
                <w:noProof/>
                <w:webHidden/>
              </w:rPr>
              <w:fldChar w:fldCharType="begin"/>
            </w:r>
            <w:r>
              <w:rPr>
                <w:noProof/>
                <w:webHidden/>
              </w:rPr>
              <w:instrText xml:space="preserve"> PAGEREF _Toc11401965 \h </w:instrText>
            </w:r>
            <w:r>
              <w:rPr>
                <w:noProof/>
                <w:webHidden/>
              </w:rPr>
            </w:r>
            <w:r>
              <w:rPr>
                <w:noProof/>
                <w:webHidden/>
              </w:rPr>
              <w:fldChar w:fldCharType="separate"/>
            </w:r>
            <w:r>
              <w:rPr>
                <w:noProof/>
                <w:webHidden/>
              </w:rPr>
              <w:t>1</w:t>
            </w:r>
            <w:r>
              <w:rPr>
                <w:noProof/>
                <w:webHidden/>
              </w:rPr>
              <w:fldChar w:fldCharType="end"/>
            </w:r>
          </w:hyperlink>
        </w:p>
        <w:p w14:paraId="00AE8CC2" w14:textId="26E44850" w:rsidR="001518E2" w:rsidRDefault="001518E2">
          <w:pPr>
            <w:pStyle w:val="TOC1"/>
            <w:tabs>
              <w:tab w:val="left" w:pos="440"/>
              <w:tab w:val="right" w:leader="dot" w:pos="9016"/>
            </w:tabs>
            <w:rPr>
              <w:rFonts w:eastAsiaTheme="minorEastAsia"/>
              <w:noProof/>
              <w:sz w:val="22"/>
              <w:lang w:eastAsia="en-AU"/>
            </w:rPr>
          </w:pPr>
          <w:hyperlink w:anchor="_Toc11401966" w:history="1">
            <w:r w:rsidRPr="000E43E7">
              <w:rPr>
                <w:rStyle w:val="Hyperlink"/>
                <w:noProof/>
              </w:rPr>
              <w:t>1.</w:t>
            </w:r>
            <w:r>
              <w:rPr>
                <w:rFonts w:eastAsiaTheme="minorEastAsia"/>
                <w:noProof/>
                <w:sz w:val="22"/>
                <w:lang w:eastAsia="en-AU"/>
              </w:rPr>
              <w:tab/>
            </w:r>
            <w:r w:rsidRPr="000E43E7">
              <w:rPr>
                <w:rStyle w:val="Hyperlink"/>
                <w:noProof/>
              </w:rPr>
              <w:t>Overview</w:t>
            </w:r>
            <w:r>
              <w:rPr>
                <w:noProof/>
                <w:webHidden/>
              </w:rPr>
              <w:tab/>
            </w:r>
            <w:r>
              <w:rPr>
                <w:noProof/>
                <w:webHidden/>
              </w:rPr>
              <w:fldChar w:fldCharType="begin"/>
            </w:r>
            <w:r>
              <w:rPr>
                <w:noProof/>
                <w:webHidden/>
              </w:rPr>
              <w:instrText xml:space="preserve"> PAGEREF _Toc11401966 \h </w:instrText>
            </w:r>
            <w:r>
              <w:rPr>
                <w:noProof/>
                <w:webHidden/>
              </w:rPr>
            </w:r>
            <w:r>
              <w:rPr>
                <w:noProof/>
                <w:webHidden/>
              </w:rPr>
              <w:fldChar w:fldCharType="separate"/>
            </w:r>
            <w:r>
              <w:rPr>
                <w:noProof/>
                <w:webHidden/>
              </w:rPr>
              <w:t>1</w:t>
            </w:r>
            <w:r>
              <w:rPr>
                <w:noProof/>
                <w:webHidden/>
              </w:rPr>
              <w:fldChar w:fldCharType="end"/>
            </w:r>
          </w:hyperlink>
        </w:p>
        <w:p w14:paraId="435AA925" w14:textId="2116DC39" w:rsidR="001518E2" w:rsidRDefault="001518E2">
          <w:pPr>
            <w:pStyle w:val="TOC2"/>
            <w:tabs>
              <w:tab w:val="right" w:leader="dot" w:pos="9016"/>
            </w:tabs>
            <w:rPr>
              <w:rFonts w:eastAsiaTheme="minorEastAsia"/>
              <w:noProof/>
              <w:sz w:val="22"/>
              <w:lang w:eastAsia="en-AU"/>
            </w:rPr>
          </w:pPr>
          <w:hyperlink w:anchor="_Toc11401967" w:history="1">
            <w:r w:rsidRPr="000E43E7">
              <w:rPr>
                <w:rStyle w:val="Hyperlink"/>
                <w:noProof/>
              </w:rPr>
              <w:t>Committee recommendation</w:t>
            </w:r>
            <w:r>
              <w:rPr>
                <w:noProof/>
                <w:webHidden/>
              </w:rPr>
              <w:tab/>
            </w:r>
            <w:r>
              <w:rPr>
                <w:noProof/>
                <w:webHidden/>
              </w:rPr>
              <w:fldChar w:fldCharType="begin"/>
            </w:r>
            <w:r>
              <w:rPr>
                <w:noProof/>
                <w:webHidden/>
              </w:rPr>
              <w:instrText xml:space="preserve"> PAGEREF _Toc11401967 \h </w:instrText>
            </w:r>
            <w:r>
              <w:rPr>
                <w:noProof/>
                <w:webHidden/>
              </w:rPr>
            </w:r>
            <w:r>
              <w:rPr>
                <w:noProof/>
                <w:webHidden/>
              </w:rPr>
              <w:fldChar w:fldCharType="separate"/>
            </w:r>
            <w:r>
              <w:rPr>
                <w:noProof/>
                <w:webHidden/>
              </w:rPr>
              <w:t>2</w:t>
            </w:r>
            <w:r>
              <w:rPr>
                <w:noProof/>
                <w:webHidden/>
              </w:rPr>
              <w:fldChar w:fldCharType="end"/>
            </w:r>
          </w:hyperlink>
        </w:p>
        <w:p w14:paraId="0817D2E7" w14:textId="68629EC9" w:rsidR="001518E2" w:rsidRDefault="001518E2">
          <w:pPr>
            <w:pStyle w:val="TOC1"/>
            <w:tabs>
              <w:tab w:val="left" w:pos="440"/>
              <w:tab w:val="right" w:leader="dot" w:pos="9016"/>
            </w:tabs>
            <w:rPr>
              <w:rFonts w:eastAsiaTheme="minorEastAsia"/>
              <w:noProof/>
              <w:sz w:val="22"/>
              <w:lang w:eastAsia="en-AU"/>
            </w:rPr>
          </w:pPr>
          <w:hyperlink w:anchor="_Toc11401968" w:history="1">
            <w:r w:rsidRPr="000E43E7">
              <w:rPr>
                <w:rStyle w:val="Hyperlink"/>
                <w:noProof/>
              </w:rPr>
              <w:t>2.</w:t>
            </w:r>
            <w:r>
              <w:rPr>
                <w:rFonts w:eastAsiaTheme="minorEastAsia"/>
                <w:noProof/>
                <w:sz w:val="22"/>
                <w:lang w:eastAsia="en-AU"/>
              </w:rPr>
              <w:tab/>
            </w:r>
            <w:r w:rsidRPr="000E43E7">
              <w:rPr>
                <w:rStyle w:val="Hyperlink"/>
                <w:noProof/>
              </w:rPr>
              <w:t>Background</w:t>
            </w:r>
            <w:r>
              <w:rPr>
                <w:noProof/>
                <w:webHidden/>
              </w:rPr>
              <w:tab/>
            </w:r>
            <w:r>
              <w:rPr>
                <w:noProof/>
                <w:webHidden/>
              </w:rPr>
              <w:fldChar w:fldCharType="begin"/>
            </w:r>
            <w:r>
              <w:rPr>
                <w:noProof/>
                <w:webHidden/>
              </w:rPr>
              <w:instrText xml:space="preserve"> PAGEREF _Toc11401968 \h </w:instrText>
            </w:r>
            <w:r>
              <w:rPr>
                <w:noProof/>
                <w:webHidden/>
              </w:rPr>
            </w:r>
            <w:r>
              <w:rPr>
                <w:noProof/>
                <w:webHidden/>
              </w:rPr>
              <w:fldChar w:fldCharType="separate"/>
            </w:r>
            <w:r>
              <w:rPr>
                <w:noProof/>
                <w:webHidden/>
              </w:rPr>
              <w:t>3</w:t>
            </w:r>
            <w:r>
              <w:rPr>
                <w:noProof/>
                <w:webHidden/>
              </w:rPr>
              <w:fldChar w:fldCharType="end"/>
            </w:r>
          </w:hyperlink>
        </w:p>
        <w:p w14:paraId="15029A6C" w14:textId="2E433BDA" w:rsidR="001518E2" w:rsidRDefault="001518E2">
          <w:pPr>
            <w:pStyle w:val="TOC1"/>
            <w:tabs>
              <w:tab w:val="left" w:pos="440"/>
              <w:tab w:val="right" w:leader="dot" w:pos="9016"/>
            </w:tabs>
            <w:rPr>
              <w:rFonts w:eastAsiaTheme="minorEastAsia"/>
              <w:noProof/>
              <w:sz w:val="22"/>
              <w:lang w:eastAsia="en-AU"/>
            </w:rPr>
          </w:pPr>
          <w:hyperlink w:anchor="_Toc11401969" w:history="1">
            <w:r w:rsidRPr="000E43E7">
              <w:rPr>
                <w:rStyle w:val="Hyperlink"/>
                <w:noProof/>
              </w:rPr>
              <w:t>3.</w:t>
            </w:r>
            <w:r>
              <w:rPr>
                <w:rFonts w:eastAsiaTheme="minorEastAsia"/>
                <w:noProof/>
                <w:sz w:val="22"/>
                <w:lang w:eastAsia="en-AU"/>
              </w:rPr>
              <w:tab/>
            </w:r>
            <w:r w:rsidRPr="000E43E7">
              <w:rPr>
                <w:rStyle w:val="Hyperlink"/>
                <w:noProof/>
              </w:rPr>
              <w:t>The Australian Government’s response to the committee’s recommendations</w:t>
            </w:r>
            <w:r>
              <w:rPr>
                <w:noProof/>
                <w:webHidden/>
              </w:rPr>
              <w:tab/>
            </w:r>
            <w:r>
              <w:rPr>
                <w:noProof/>
                <w:webHidden/>
              </w:rPr>
              <w:fldChar w:fldCharType="begin"/>
            </w:r>
            <w:r>
              <w:rPr>
                <w:noProof/>
                <w:webHidden/>
              </w:rPr>
              <w:instrText xml:space="preserve"> PAGEREF _Toc11401969 \h </w:instrText>
            </w:r>
            <w:r>
              <w:rPr>
                <w:noProof/>
                <w:webHidden/>
              </w:rPr>
            </w:r>
            <w:r>
              <w:rPr>
                <w:noProof/>
                <w:webHidden/>
              </w:rPr>
              <w:fldChar w:fldCharType="separate"/>
            </w:r>
            <w:r>
              <w:rPr>
                <w:noProof/>
                <w:webHidden/>
              </w:rPr>
              <w:t>5</w:t>
            </w:r>
            <w:r>
              <w:rPr>
                <w:noProof/>
                <w:webHidden/>
              </w:rPr>
              <w:fldChar w:fldCharType="end"/>
            </w:r>
          </w:hyperlink>
        </w:p>
        <w:p w14:paraId="1FEAE50C" w14:textId="0858BF1D" w:rsidR="001518E2" w:rsidRDefault="001518E2">
          <w:pPr>
            <w:pStyle w:val="TOC2"/>
            <w:tabs>
              <w:tab w:val="left" w:pos="880"/>
              <w:tab w:val="right" w:leader="dot" w:pos="9016"/>
            </w:tabs>
            <w:rPr>
              <w:rFonts w:eastAsiaTheme="minorEastAsia"/>
              <w:noProof/>
              <w:sz w:val="22"/>
              <w:lang w:eastAsia="en-AU"/>
            </w:rPr>
          </w:pPr>
          <w:hyperlink w:anchor="_Toc11401970" w:history="1">
            <w:r w:rsidRPr="000E43E7">
              <w:rPr>
                <w:rStyle w:val="Hyperlink"/>
                <w:noProof/>
              </w:rPr>
              <w:t>3.1.</w:t>
            </w:r>
            <w:r>
              <w:rPr>
                <w:rFonts w:eastAsiaTheme="minorEastAsia"/>
                <w:noProof/>
                <w:sz w:val="22"/>
                <w:lang w:eastAsia="en-AU"/>
              </w:rPr>
              <w:tab/>
            </w:r>
            <w:r w:rsidRPr="000E43E7">
              <w:rPr>
                <w:rStyle w:val="Hyperlink"/>
                <w:noProof/>
              </w:rPr>
              <w:t>The need for a rural and remote mental health strategy</w:t>
            </w:r>
            <w:r>
              <w:rPr>
                <w:noProof/>
                <w:webHidden/>
              </w:rPr>
              <w:tab/>
            </w:r>
            <w:r>
              <w:rPr>
                <w:noProof/>
                <w:webHidden/>
              </w:rPr>
              <w:fldChar w:fldCharType="begin"/>
            </w:r>
            <w:r>
              <w:rPr>
                <w:noProof/>
                <w:webHidden/>
              </w:rPr>
              <w:instrText xml:space="preserve"> PAGEREF _Toc11401970 \h </w:instrText>
            </w:r>
            <w:r>
              <w:rPr>
                <w:noProof/>
                <w:webHidden/>
              </w:rPr>
            </w:r>
            <w:r>
              <w:rPr>
                <w:noProof/>
                <w:webHidden/>
              </w:rPr>
              <w:fldChar w:fldCharType="separate"/>
            </w:r>
            <w:r>
              <w:rPr>
                <w:noProof/>
                <w:webHidden/>
              </w:rPr>
              <w:t>5</w:t>
            </w:r>
            <w:r>
              <w:rPr>
                <w:noProof/>
                <w:webHidden/>
              </w:rPr>
              <w:fldChar w:fldCharType="end"/>
            </w:r>
          </w:hyperlink>
        </w:p>
        <w:p w14:paraId="1161BF99" w14:textId="125F865E" w:rsidR="001518E2" w:rsidRDefault="001518E2">
          <w:pPr>
            <w:pStyle w:val="TOC2"/>
            <w:tabs>
              <w:tab w:val="left" w:pos="880"/>
              <w:tab w:val="right" w:leader="dot" w:pos="9016"/>
            </w:tabs>
            <w:rPr>
              <w:rFonts w:eastAsiaTheme="minorEastAsia"/>
              <w:noProof/>
              <w:sz w:val="22"/>
              <w:lang w:eastAsia="en-AU"/>
            </w:rPr>
          </w:pPr>
          <w:hyperlink w:anchor="_Toc11401971" w:history="1">
            <w:r w:rsidRPr="000E43E7">
              <w:rPr>
                <w:rStyle w:val="Hyperlink"/>
                <w:noProof/>
              </w:rPr>
              <w:t>3.2.</w:t>
            </w:r>
            <w:r>
              <w:rPr>
                <w:rFonts w:eastAsiaTheme="minorEastAsia"/>
                <w:noProof/>
                <w:sz w:val="22"/>
                <w:lang w:eastAsia="en-AU"/>
              </w:rPr>
              <w:tab/>
            </w:r>
            <w:r w:rsidRPr="000E43E7">
              <w:rPr>
                <w:rStyle w:val="Hyperlink"/>
                <w:noProof/>
              </w:rPr>
              <w:t>All parties should take a place-based, local approach to mental health</w:t>
            </w:r>
            <w:r>
              <w:rPr>
                <w:noProof/>
                <w:webHidden/>
              </w:rPr>
              <w:tab/>
            </w:r>
            <w:r>
              <w:rPr>
                <w:noProof/>
                <w:webHidden/>
              </w:rPr>
              <w:fldChar w:fldCharType="begin"/>
            </w:r>
            <w:r>
              <w:rPr>
                <w:noProof/>
                <w:webHidden/>
              </w:rPr>
              <w:instrText xml:space="preserve"> PAGEREF _Toc11401971 \h </w:instrText>
            </w:r>
            <w:r>
              <w:rPr>
                <w:noProof/>
                <w:webHidden/>
              </w:rPr>
            </w:r>
            <w:r>
              <w:rPr>
                <w:noProof/>
                <w:webHidden/>
              </w:rPr>
              <w:fldChar w:fldCharType="separate"/>
            </w:r>
            <w:r>
              <w:rPr>
                <w:noProof/>
                <w:webHidden/>
              </w:rPr>
              <w:t>5</w:t>
            </w:r>
            <w:r>
              <w:rPr>
                <w:noProof/>
                <w:webHidden/>
              </w:rPr>
              <w:fldChar w:fldCharType="end"/>
            </w:r>
          </w:hyperlink>
        </w:p>
        <w:p w14:paraId="6E0019EF" w14:textId="48F56E19" w:rsidR="001518E2" w:rsidRDefault="001518E2">
          <w:pPr>
            <w:pStyle w:val="TOC2"/>
            <w:tabs>
              <w:tab w:val="left" w:pos="880"/>
              <w:tab w:val="right" w:leader="dot" w:pos="9016"/>
            </w:tabs>
            <w:rPr>
              <w:rFonts w:eastAsiaTheme="minorEastAsia"/>
              <w:noProof/>
              <w:sz w:val="22"/>
              <w:lang w:eastAsia="en-AU"/>
            </w:rPr>
          </w:pPr>
          <w:hyperlink w:anchor="_Toc11401972" w:history="1">
            <w:r w:rsidRPr="000E43E7">
              <w:rPr>
                <w:rStyle w:val="Hyperlink"/>
                <w:noProof/>
              </w:rPr>
              <w:t>3.3.</w:t>
            </w:r>
            <w:r>
              <w:rPr>
                <w:rFonts w:eastAsiaTheme="minorEastAsia"/>
                <w:noProof/>
                <w:sz w:val="22"/>
                <w:lang w:eastAsia="en-AU"/>
              </w:rPr>
              <w:tab/>
            </w:r>
            <w:r w:rsidRPr="000E43E7">
              <w:rPr>
                <w:rStyle w:val="Hyperlink"/>
                <w:noProof/>
              </w:rPr>
              <w:t>Making the NDIS work better</w:t>
            </w:r>
            <w:r>
              <w:rPr>
                <w:noProof/>
                <w:webHidden/>
              </w:rPr>
              <w:tab/>
            </w:r>
            <w:r>
              <w:rPr>
                <w:noProof/>
                <w:webHidden/>
              </w:rPr>
              <w:fldChar w:fldCharType="begin"/>
            </w:r>
            <w:r>
              <w:rPr>
                <w:noProof/>
                <w:webHidden/>
              </w:rPr>
              <w:instrText xml:space="preserve"> PAGEREF _Toc11401972 \h </w:instrText>
            </w:r>
            <w:r>
              <w:rPr>
                <w:noProof/>
                <w:webHidden/>
              </w:rPr>
            </w:r>
            <w:r>
              <w:rPr>
                <w:noProof/>
                <w:webHidden/>
              </w:rPr>
              <w:fldChar w:fldCharType="separate"/>
            </w:r>
            <w:r>
              <w:rPr>
                <w:noProof/>
                <w:webHidden/>
              </w:rPr>
              <w:t>7</w:t>
            </w:r>
            <w:r>
              <w:rPr>
                <w:noProof/>
                <w:webHidden/>
              </w:rPr>
              <w:fldChar w:fldCharType="end"/>
            </w:r>
          </w:hyperlink>
        </w:p>
        <w:p w14:paraId="14EFDF5C" w14:textId="326AFE53" w:rsidR="001518E2" w:rsidRDefault="001518E2">
          <w:pPr>
            <w:pStyle w:val="TOC2"/>
            <w:tabs>
              <w:tab w:val="left" w:pos="880"/>
              <w:tab w:val="right" w:leader="dot" w:pos="9016"/>
            </w:tabs>
            <w:rPr>
              <w:rFonts w:eastAsiaTheme="minorEastAsia"/>
              <w:noProof/>
              <w:sz w:val="22"/>
              <w:lang w:eastAsia="en-AU"/>
            </w:rPr>
          </w:pPr>
          <w:hyperlink w:anchor="_Toc11401973" w:history="1">
            <w:r w:rsidRPr="000E43E7">
              <w:rPr>
                <w:rStyle w:val="Hyperlink"/>
                <w:noProof/>
              </w:rPr>
              <w:t>3.4.</w:t>
            </w:r>
            <w:r>
              <w:rPr>
                <w:rFonts w:eastAsiaTheme="minorEastAsia"/>
                <w:noProof/>
                <w:sz w:val="22"/>
                <w:lang w:eastAsia="en-AU"/>
              </w:rPr>
              <w:tab/>
            </w:r>
            <w:r w:rsidRPr="000E43E7">
              <w:rPr>
                <w:rStyle w:val="Hyperlink"/>
                <w:noProof/>
              </w:rPr>
              <w:t>Changing the way government commissions mental health services</w:t>
            </w:r>
            <w:r>
              <w:rPr>
                <w:noProof/>
                <w:webHidden/>
              </w:rPr>
              <w:tab/>
            </w:r>
            <w:r>
              <w:rPr>
                <w:noProof/>
                <w:webHidden/>
              </w:rPr>
              <w:fldChar w:fldCharType="begin"/>
            </w:r>
            <w:r>
              <w:rPr>
                <w:noProof/>
                <w:webHidden/>
              </w:rPr>
              <w:instrText xml:space="preserve"> PAGEREF _Toc11401973 \h </w:instrText>
            </w:r>
            <w:r>
              <w:rPr>
                <w:noProof/>
                <w:webHidden/>
              </w:rPr>
            </w:r>
            <w:r>
              <w:rPr>
                <w:noProof/>
                <w:webHidden/>
              </w:rPr>
              <w:fldChar w:fldCharType="separate"/>
            </w:r>
            <w:r>
              <w:rPr>
                <w:noProof/>
                <w:webHidden/>
              </w:rPr>
              <w:t>8</w:t>
            </w:r>
            <w:r>
              <w:rPr>
                <w:noProof/>
                <w:webHidden/>
              </w:rPr>
              <w:fldChar w:fldCharType="end"/>
            </w:r>
          </w:hyperlink>
        </w:p>
        <w:p w14:paraId="515897E0" w14:textId="082E2CDE" w:rsidR="001518E2" w:rsidRDefault="001518E2">
          <w:pPr>
            <w:pStyle w:val="TOC2"/>
            <w:tabs>
              <w:tab w:val="left" w:pos="880"/>
              <w:tab w:val="right" w:leader="dot" w:pos="9016"/>
            </w:tabs>
            <w:rPr>
              <w:rFonts w:eastAsiaTheme="minorEastAsia"/>
              <w:noProof/>
              <w:sz w:val="22"/>
              <w:lang w:eastAsia="en-AU"/>
            </w:rPr>
          </w:pPr>
          <w:hyperlink w:anchor="_Toc11401974" w:history="1">
            <w:r w:rsidRPr="000E43E7">
              <w:rPr>
                <w:rStyle w:val="Hyperlink"/>
                <w:noProof/>
              </w:rPr>
              <w:t>3.5.</w:t>
            </w:r>
            <w:r>
              <w:rPr>
                <w:rFonts w:eastAsiaTheme="minorEastAsia"/>
                <w:noProof/>
                <w:sz w:val="22"/>
                <w:lang w:eastAsia="en-AU"/>
              </w:rPr>
              <w:tab/>
            </w:r>
            <w:r w:rsidRPr="000E43E7">
              <w:rPr>
                <w:rStyle w:val="Hyperlink"/>
                <w:noProof/>
              </w:rPr>
              <w:t>Strengthening the rural and remote mental health services workforce</w:t>
            </w:r>
            <w:r>
              <w:rPr>
                <w:noProof/>
                <w:webHidden/>
              </w:rPr>
              <w:tab/>
            </w:r>
            <w:r>
              <w:rPr>
                <w:noProof/>
                <w:webHidden/>
              </w:rPr>
              <w:fldChar w:fldCharType="begin"/>
            </w:r>
            <w:r>
              <w:rPr>
                <w:noProof/>
                <w:webHidden/>
              </w:rPr>
              <w:instrText xml:space="preserve"> PAGEREF _Toc11401974 \h </w:instrText>
            </w:r>
            <w:r>
              <w:rPr>
                <w:noProof/>
                <w:webHidden/>
              </w:rPr>
            </w:r>
            <w:r>
              <w:rPr>
                <w:noProof/>
                <w:webHidden/>
              </w:rPr>
              <w:fldChar w:fldCharType="separate"/>
            </w:r>
            <w:r>
              <w:rPr>
                <w:noProof/>
                <w:webHidden/>
              </w:rPr>
              <w:t>14</w:t>
            </w:r>
            <w:r>
              <w:rPr>
                <w:noProof/>
                <w:webHidden/>
              </w:rPr>
              <w:fldChar w:fldCharType="end"/>
            </w:r>
          </w:hyperlink>
        </w:p>
        <w:p w14:paraId="4EC742D7" w14:textId="47D2EBA5" w:rsidR="001518E2" w:rsidRDefault="001518E2">
          <w:pPr>
            <w:pStyle w:val="TOC2"/>
            <w:tabs>
              <w:tab w:val="left" w:pos="880"/>
              <w:tab w:val="right" w:leader="dot" w:pos="9016"/>
            </w:tabs>
            <w:rPr>
              <w:rFonts w:eastAsiaTheme="minorEastAsia"/>
              <w:noProof/>
              <w:sz w:val="22"/>
              <w:lang w:eastAsia="en-AU"/>
            </w:rPr>
          </w:pPr>
          <w:hyperlink w:anchor="_Toc11401975" w:history="1">
            <w:r w:rsidRPr="000E43E7">
              <w:rPr>
                <w:rStyle w:val="Hyperlink"/>
                <w:noProof/>
              </w:rPr>
              <w:t>3.6.</w:t>
            </w:r>
            <w:r>
              <w:rPr>
                <w:rFonts w:eastAsiaTheme="minorEastAsia"/>
                <w:noProof/>
                <w:sz w:val="22"/>
                <w:lang w:eastAsia="en-AU"/>
              </w:rPr>
              <w:tab/>
            </w:r>
            <w:r w:rsidRPr="000E43E7">
              <w:rPr>
                <w:rStyle w:val="Hyperlink"/>
                <w:noProof/>
              </w:rPr>
              <w:t>Reducing the stigma associated with seeking help</w:t>
            </w:r>
            <w:r>
              <w:rPr>
                <w:noProof/>
                <w:webHidden/>
              </w:rPr>
              <w:tab/>
            </w:r>
            <w:r>
              <w:rPr>
                <w:noProof/>
                <w:webHidden/>
              </w:rPr>
              <w:fldChar w:fldCharType="begin"/>
            </w:r>
            <w:r>
              <w:rPr>
                <w:noProof/>
                <w:webHidden/>
              </w:rPr>
              <w:instrText xml:space="preserve"> PAGEREF _Toc11401975 \h </w:instrText>
            </w:r>
            <w:r>
              <w:rPr>
                <w:noProof/>
                <w:webHidden/>
              </w:rPr>
            </w:r>
            <w:r>
              <w:rPr>
                <w:noProof/>
                <w:webHidden/>
              </w:rPr>
              <w:fldChar w:fldCharType="separate"/>
            </w:r>
            <w:r>
              <w:rPr>
                <w:noProof/>
                <w:webHidden/>
              </w:rPr>
              <w:t>18</w:t>
            </w:r>
            <w:r>
              <w:rPr>
                <w:noProof/>
                <w:webHidden/>
              </w:rPr>
              <w:fldChar w:fldCharType="end"/>
            </w:r>
          </w:hyperlink>
        </w:p>
        <w:p w14:paraId="0580BA27" w14:textId="7358E05E" w:rsidR="00AC6BA8" w:rsidRDefault="001518E2">
          <w:r>
            <w:fldChar w:fldCharType="end"/>
          </w:r>
        </w:p>
      </w:sdtContent>
    </w:sdt>
    <w:p w14:paraId="407528EB" w14:textId="77777777" w:rsidR="00842CB0" w:rsidRDefault="006F0B00" w:rsidP="00293FAE">
      <w:pPr>
        <w:pStyle w:val="Heading1"/>
        <w:pageBreakBefore/>
        <w:spacing w:before="120"/>
      </w:pPr>
      <w:bookmarkStart w:id="0" w:name="_Toc5262020"/>
      <w:bookmarkStart w:id="1" w:name="_Toc11401965"/>
      <w:r w:rsidRPr="00841561">
        <w:lastRenderedPageBreak/>
        <w:t>Glossary of key terms</w:t>
      </w:r>
      <w:bookmarkStart w:id="2" w:name="_GoBack"/>
      <w:bookmarkEnd w:id="0"/>
      <w:bookmarkEnd w:id="1"/>
      <w:bookmarkEnd w:id="2"/>
    </w:p>
    <w:p w14:paraId="407528ED" w14:textId="5EBEAD10" w:rsidR="00842CB0" w:rsidRPr="00BA6EC1" w:rsidRDefault="00CD06F3" w:rsidP="00C055BD">
      <w:hyperlink r:id="rId12" w:anchor="i" w:history="1">
        <w:r w:rsidR="00842CB0" w:rsidRPr="00842CB0">
          <w:rPr>
            <w:rStyle w:val="Hyperlink"/>
          </w:rPr>
          <w:t>This glossary</w:t>
        </w:r>
      </w:hyperlink>
      <w:r w:rsidR="00842CB0">
        <w:t xml:space="preserve"> explains terms and </w:t>
      </w:r>
      <w:r w:rsidR="002D2CB7">
        <w:t>acronyms used in this response.</w:t>
      </w:r>
    </w:p>
    <w:p w14:paraId="407528EE" w14:textId="5156AB57" w:rsidR="00796F77" w:rsidRPr="00324426" w:rsidRDefault="00360AC8" w:rsidP="00E559FE">
      <w:pPr>
        <w:pStyle w:val="Heading1"/>
        <w:numPr>
          <w:ilvl w:val="0"/>
          <w:numId w:val="30"/>
        </w:numPr>
      </w:pPr>
      <w:bookmarkStart w:id="3" w:name="_Toc5262021"/>
      <w:bookmarkStart w:id="4" w:name="_Toc11401966"/>
      <w:r w:rsidRPr="00324426">
        <w:t>Overview</w:t>
      </w:r>
      <w:bookmarkEnd w:id="3"/>
      <w:bookmarkEnd w:id="4"/>
    </w:p>
    <w:p w14:paraId="407528F0" w14:textId="1D83B9DA" w:rsidR="00360AC8" w:rsidRDefault="00360AC8" w:rsidP="00796F77">
      <w:pPr>
        <w:spacing w:after="0"/>
        <w:rPr>
          <w:i/>
        </w:rPr>
      </w:pPr>
      <w:r>
        <w:t>The Australian Government welcomes the report by the Senate Community Affairs References Committee on the ‘</w:t>
      </w:r>
      <w:r w:rsidRPr="00360AC8">
        <w:t>Accessibility and quality of mental health services in rural and remote Australia</w:t>
      </w:r>
      <w:r>
        <w:t>’</w:t>
      </w:r>
      <w:r w:rsidR="00293FAE">
        <w:rPr>
          <w:i/>
        </w:rPr>
        <w:t>.</w:t>
      </w:r>
    </w:p>
    <w:p w14:paraId="407528F2" w14:textId="77777777" w:rsidR="00360AC8" w:rsidRDefault="00683ECA" w:rsidP="00796F77">
      <w:pPr>
        <w:spacing w:after="0"/>
      </w:pPr>
      <w:r>
        <w:t xml:space="preserve">The </w:t>
      </w:r>
      <w:r w:rsidR="00842CB0">
        <w:t>g</w:t>
      </w:r>
      <w:r>
        <w:t>overnment</w:t>
      </w:r>
      <w:r w:rsidR="00360AC8">
        <w:t xml:space="preserve"> acknowledge</w:t>
      </w:r>
      <w:r>
        <w:t>s</w:t>
      </w:r>
      <w:r w:rsidR="00360AC8">
        <w:t xml:space="preserve"> the detailed </w:t>
      </w:r>
      <w:r w:rsidR="00244758">
        <w:t xml:space="preserve">and extremely valuable </w:t>
      </w:r>
      <w:r w:rsidR="00360AC8">
        <w:t xml:space="preserve">written submissions </w:t>
      </w:r>
      <w:r w:rsidR="00F5589B">
        <w:t xml:space="preserve">to the Inquiry </w:t>
      </w:r>
      <w:r w:rsidR="00360AC8">
        <w:t xml:space="preserve">made by nearly </w:t>
      </w:r>
      <w:r w:rsidR="00F5589B">
        <w:t xml:space="preserve">140 </w:t>
      </w:r>
      <w:r w:rsidR="00360AC8">
        <w:t xml:space="preserve">individuals and organisations </w:t>
      </w:r>
      <w:r w:rsidR="00F5589B">
        <w:t>across Australia</w:t>
      </w:r>
      <w:r w:rsidR="00360AC8">
        <w:t xml:space="preserve">. </w:t>
      </w:r>
      <w:r w:rsidR="00F5589B">
        <w:t xml:space="preserve">The many hours of </w:t>
      </w:r>
      <w:r w:rsidR="00530BEE">
        <w:t>verbal</w:t>
      </w:r>
      <w:r w:rsidR="00F5589B">
        <w:t xml:space="preserve"> feedback </w:t>
      </w:r>
      <w:r w:rsidR="00D00405">
        <w:t>people gave</w:t>
      </w:r>
      <w:r w:rsidR="00F5589B">
        <w:t xml:space="preserve"> at the </w:t>
      </w:r>
      <w:r w:rsidR="00244758">
        <w:t>c</w:t>
      </w:r>
      <w:r w:rsidR="00D00405">
        <w:t xml:space="preserve">ommittee’s </w:t>
      </w:r>
      <w:r w:rsidR="00F5589B">
        <w:t xml:space="preserve">public hearings were also of great use to the </w:t>
      </w:r>
      <w:r w:rsidR="00244758">
        <w:t>c</w:t>
      </w:r>
      <w:r w:rsidR="00F5589B">
        <w:t xml:space="preserve">ommittee and the </w:t>
      </w:r>
      <w:r>
        <w:t>g</w:t>
      </w:r>
      <w:r w:rsidR="00F5589B">
        <w:t>overnment</w:t>
      </w:r>
      <w:r w:rsidR="00D00405">
        <w:t xml:space="preserve"> in framing the Inquiry report and this response.</w:t>
      </w:r>
    </w:p>
    <w:p w14:paraId="407528F4" w14:textId="77777777" w:rsidR="002C52C9" w:rsidRDefault="0046792D" w:rsidP="002C52C9">
      <w:pPr>
        <w:spacing w:after="0"/>
      </w:pPr>
      <w:r>
        <w:t xml:space="preserve">Approximately 10 per cent of Australia's population, or 2.6 million people, live in outer regional, remote and very remote areas. </w:t>
      </w:r>
      <w:r w:rsidR="00244758">
        <w:t>Nearly two-thirds of</w:t>
      </w:r>
      <w:r>
        <w:t xml:space="preserve"> </w:t>
      </w:r>
      <w:r w:rsidR="00244758">
        <w:t>Aboriginal and Torres Strait</w:t>
      </w:r>
      <w:r>
        <w:t xml:space="preserve"> </w:t>
      </w:r>
      <w:r w:rsidR="00244758">
        <w:t>Islander peoples</w:t>
      </w:r>
      <w:r>
        <w:t xml:space="preserve"> live in these areas. Their psycho-social wellbeing is therefore a major </w:t>
      </w:r>
      <w:r w:rsidR="00530BEE">
        <w:t>concern</w:t>
      </w:r>
      <w:r>
        <w:t xml:space="preserve"> for </w:t>
      </w:r>
      <w:r w:rsidR="000337FA">
        <w:t xml:space="preserve">all </w:t>
      </w:r>
      <w:r>
        <w:t>government</w:t>
      </w:r>
      <w:r w:rsidR="000337FA">
        <w:t>s, and provides an ongoing challenge due to the disparate population and the delivery and accessibility of services</w:t>
      </w:r>
      <w:r>
        <w:t xml:space="preserve">. </w:t>
      </w:r>
      <w:r w:rsidR="002C52C9">
        <w:t xml:space="preserve">In 2016–17, </w:t>
      </w:r>
      <w:r w:rsidR="00774607">
        <w:t>people living in very remote areas accessed Medicare-funded mental health services at a rate of 81 encounters per 1000 people.</w:t>
      </w:r>
      <w:r w:rsidR="002C52C9">
        <w:t xml:space="preserve"> </w:t>
      </w:r>
      <w:r w:rsidR="00774607">
        <w:t xml:space="preserve">This compares to </w:t>
      </w:r>
      <w:r w:rsidR="002C52C9">
        <w:t>major cities</w:t>
      </w:r>
      <w:r w:rsidR="00774607">
        <w:t xml:space="preserve">, where the rate of access was </w:t>
      </w:r>
      <w:r w:rsidR="002C52C9">
        <w:t>495 encounters per 1000 people. The more remote the location, the fewer Medicare-funded encounters occurred</w:t>
      </w:r>
      <w:r w:rsidR="00774607">
        <w:t>.</w:t>
      </w:r>
    </w:p>
    <w:p w14:paraId="407528F6" w14:textId="77777777" w:rsidR="00774607" w:rsidRDefault="006951AC" w:rsidP="00774607">
      <w:pPr>
        <w:spacing w:after="0"/>
      </w:pPr>
      <w:r w:rsidRPr="00525894">
        <w:t>Australia is recognised by many as a leader in treating and caring for people with mental illness, and the release of t</w:t>
      </w:r>
      <w:r>
        <w:t xml:space="preserve">he </w:t>
      </w:r>
      <w:hyperlink r:id="rId13" w:history="1">
        <w:r w:rsidRPr="006951AC">
          <w:rPr>
            <w:rStyle w:val="Hyperlink"/>
          </w:rPr>
          <w:t>Fifth National Mental Health and Suicide</w:t>
        </w:r>
        <w:r w:rsidR="000449D3">
          <w:rPr>
            <w:rStyle w:val="Hyperlink"/>
          </w:rPr>
          <w:t xml:space="preserve"> Prevention</w:t>
        </w:r>
        <w:r w:rsidRPr="006951AC">
          <w:rPr>
            <w:rStyle w:val="Hyperlink"/>
          </w:rPr>
          <w:t xml:space="preserve"> Plan</w:t>
        </w:r>
      </w:hyperlink>
      <w:r w:rsidRPr="00525894">
        <w:t xml:space="preserve"> in 2017 reinforced the commitment of the Australian Government </w:t>
      </w:r>
      <w:r w:rsidR="009876F9">
        <w:t>to</w:t>
      </w:r>
      <w:r w:rsidRPr="00525894">
        <w:t xml:space="preserve"> improve</w:t>
      </w:r>
      <w:r w:rsidR="00B97051">
        <w:t xml:space="preserve"> </w:t>
      </w:r>
      <w:r w:rsidRPr="00525894">
        <w:t xml:space="preserve">the treatment of the mental health of all Australians. </w:t>
      </w:r>
      <w:r w:rsidR="00774607">
        <w:t xml:space="preserve">This is the first mental health plan to focus specifically on social and emotional wellbeing and on mental illness amongst Aboriginal and Torres Strait Islander peoples. It is also the first to emphasise the physical health needs of people who live with mental illness and to deal with the stigma and discrimination that sometimes accompanies having a mental or behavioural disorder. </w:t>
      </w:r>
    </w:p>
    <w:p w14:paraId="407528F8" w14:textId="77777777" w:rsidR="00D00405" w:rsidRPr="00E559FE" w:rsidRDefault="00D00405" w:rsidP="00324426">
      <w:r>
        <w:t>Th</w:t>
      </w:r>
      <w:r w:rsidR="0005477B">
        <w:t>e Inquiry addresse</w:t>
      </w:r>
      <w:r w:rsidR="000337FA">
        <w:t>d</w:t>
      </w:r>
      <w:r w:rsidR="0005477B">
        <w:t xml:space="preserve"> </w:t>
      </w:r>
      <w:r w:rsidR="00E72907">
        <w:t>in detail th</w:t>
      </w:r>
      <w:r>
        <w:t xml:space="preserve">ree of the eight priorities in the </w:t>
      </w:r>
      <w:r w:rsidR="00683ECA">
        <w:t>g</w:t>
      </w:r>
      <w:r>
        <w:t xml:space="preserve">overnment’s </w:t>
      </w:r>
      <w:r w:rsidR="009876F9">
        <w:t>plan</w:t>
      </w:r>
      <w:r w:rsidR="00E72907">
        <w:t>.</w:t>
      </w:r>
      <w:r>
        <w:t xml:space="preserve"> These are:</w:t>
      </w:r>
    </w:p>
    <w:p w14:paraId="407528F9" w14:textId="77777777" w:rsidR="00E95521" w:rsidRPr="00E559FE" w:rsidRDefault="00D00405" w:rsidP="00E559FE">
      <w:pPr>
        <w:pStyle w:val="ListParagraph"/>
      </w:pPr>
      <w:r w:rsidRPr="00E559FE">
        <w:t xml:space="preserve">Regional </w:t>
      </w:r>
      <w:r w:rsidR="00E95521" w:rsidRPr="00E559FE">
        <w:t>planning and service delivery</w:t>
      </w:r>
    </w:p>
    <w:p w14:paraId="407528FA" w14:textId="77777777" w:rsidR="00E95521" w:rsidRPr="00E559FE" w:rsidRDefault="00E95521" w:rsidP="00E559FE">
      <w:pPr>
        <w:pStyle w:val="ListParagraph"/>
      </w:pPr>
      <w:r w:rsidRPr="00E559FE">
        <w:t>E</w:t>
      </w:r>
      <w:r w:rsidR="00D00405" w:rsidRPr="00E559FE">
        <w:t>ffective suicide prevention</w:t>
      </w:r>
    </w:p>
    <w:p w14:paraId="407528FB" w14:textId="77777777" w:rsidR="00E95521" w:rsidRDefault="00E95521" w:rsidP="00E559FE">
      <w:pPr>
        <w:pStyle w:val="ListParagraph"/>
      </w:pPr>
      <w:r w:rsidRPr="00E559FE">
        <w:t>Improving Aboriginal and Torres</w:t>
      </w:r>
      <w:r>
        <w:t xml:space="preserve"> Strait Islander mental health and suicide prevention</w:t>
      </w:r>
    </w:p>
    <w:p w14:paraId="407528FD" w14:textId="59AE41AF" w:rsidR="00E25326" w:rsidRDefault="00683ECA" w:rsidP="00796F77">
      <w:pPr>
        <w:spacing w:after="0"/>
      </w:pPr>
      <w:r>
        <w:t>The</w:t>
      </w:r>
      <w:r w:rsidR="00E25326">
        <w:t xml:space="preserve"> </w:t>
      </w:r>
      <w:r w:rsidR="000449D3">
        <w:t>Fifth P</w:t>
      </w:r>
      <w:r w:rsidR="00E25326">
        <w:t xml:space="preserve">lan is being implemented </w:t>
      </w:r>
      <w:r w:rsidR="009876F9">
        <w:t xml:space="preserve">progressively </w:t>
      </w:r>
      <w:r w:rsidR="00E25326">
        <w:t xml:space="preserve">over a five-year period from 2017 to 2022 and the Inquiry’s findings and recommendations will </w:t>
      </w:r>
      <w:r w:rsidR="002F7ABB">
        <w:t>help guide</w:t>
      </w:r>
      <w:r w:rsidR="00E559FE">
        <w:t xml:space="preserve"> this process.</w:t>
      </w:r>
    </w:p>
    <w:p w14:paraId="407528FF" w14:textId="280F8915" w:rsidR="00E25326" w:rsidRDefault="00774607" w:rsidP="00796F77">
      <w:pPr>
        <w:spacing w:after="0"/>
      </w:pPr>
      <w:r>
        <w:t>The Australian Government and all</w:t>
      </w:r>
      <w:r w:rsidR="004803E3">
        <w:t xml:space="preserve"> state and territory governments are involved in enacting t</w:t>
      </w:r>
      <w:r w:rsidR="00E25326">
        <w:t xml:space="preserve">he Fifth Plan </w:t>
      </w:r>
      <w:r w:rsidR="004803E3">
        <w:t xml:space="preserve">and there are likewise many parties which are responsible </w:t>
      </w:r>
      <w:r w:rsidR="00683ECA">
        <w:t>for the actions identified in</w:t>
      </w:r>
      <w:r w:rsidR="004803E3">
        <w:t xml:space="preserve"> the </w:t>
      </w:r>
      <w:r w:rsidR="0063028E">
        <w:t>c</w:t>
      </w:r>
      <w:r w:rsidR="004803E3">
        <w:t>ommittee’s report.</w:t>
      </w:r>
      <w:r w:rsidR="00940DDF">
        <w:t xml:space="preserve"> </w:t>
      </w:r>
      <w:r w:rsidR="004803E3">
        <w:t>The</w:t>
      </w:r>
      <w:r w:rsidR="00683ECA">
        <w:t xml:space="preserve">y </w:t>
      </w:r>
      <w:r w:rsidR="004803E3">
        <w:t xml:space="preserve">include funding bodies like the Primary Health Networks, government agencies </w:t>
      </w:r>
      <w:r w:rsidR="009876F9">
        <w:t>such as</w:t>
      </w:r>
      <w:r w:rsidR="004803E3">
        <w:t xml:space="preserve"> the National Disability Insurance Agency, private </w:t>
      </w:r>
      <w:r w:rsidR="002F7ABB">
        <w:t xml:space="preserve">providers, </w:t>
      </w:r>
      <w:r w:rsidR="004803E3">
        <w:t xml:space="preserve">community sector organisations </w:t>
      </w:r>
      <w:r w:rsidR="002C52C9">
        <w:t xml:space="preserve">including </w:t>
      </w:r>
      <w:r w:rsidR="0066554B">
        <w:t xml:space="preserve">Aboriginal community </w:t>
      </w:r>
      <w:r w:rsidR="004803E3">
        <w:t>controlled health care organisation</w:t>
      </w:r>
      <w:r w:rsidR="00683ECA">
        <w:t xml:space="preserve">s, </w:t>
      </w:r>
      <w:r w:rsidR="004803E3">
        <w:t>families and carers</w:t>
      </w:r>
      <w:r w:rsidR="00683ECA">
        <w:t>, and people with mental illnesses themselves</w:t>
      </w:r>
      <w:r w:rsidR="00E559FE">
        <w:t>.</w:t>
      </w:r>
    </w:p>
    <w:p w14:paraId="40752901" w14:textId="14703E4C" w:rsidR="002F7ABB" w:rsidRDefault="004803E3" w:rsidP="00796F77">
      <w:pPr>
        <w:spacing w:after="0"/>
      </w:pPr>
      <w:r>
        <w:lastRenderedPageBreak/>
        <w:t>T</w:t>
      </w:r>
      <w:r w:rsidR="002F7ABB">
        <w:t xml:space="preserve">his response </w:t>
      </w:r>
      <w:r>
        <w:t>indicate</w:t>
      </w:r>
      <w:r w:rsidR="002F7ABB">
        <w:t>s</w:t>
      </w:r>
      <w:r>
        <w:t xml:space="preserve"> </w:t>
      </w:r>
      <w:r w:rsidR="002F7ABB">
        <w:t xml:space="preserve">what the Australian Government </w:t>
      </w:r>
      <w:r w:rsidR="002F7ABB">
        <w:rPr>
          <w:rFonts w:cstheme="minorHAnsi"/>
        </w:rPr>
        <w:t xml:space="preserve">is doing and will do in the future regarding the </w:t>
      </w:r>
      <w:r w:rsidR="002F7ABB">
        <w:t xml:space="preserve">18 recommendations the </w:t>
      </w:r>
      <w:r w:rsidR="00774607">
        <w:t>c</w:t>
      </w:r>
      <w:r w:rsidR="002F7ABB">
        <w:t xml:space="preserve">ommittee has made, as well as </w:t>
      </w:r>
      <w:r>
        <w:t xml:space="preserve">where primary responsibility </w:t>
      </w:r>
      <w:r w:rsidR="002F7ABB">
        <w:t>lies for taking action</w:t>
      </w:r>
      <w:r>
        <w:t>.</w:t>
      </w:r>
    </w:p>
    <w:p w14:paraId="40752903" w14:textId="77777777" w:rsidR="00683ECA" w:rsidRDefault="004803E3" w:rsidP="0031117D">
      <w:pPr>
        <w:spacing w:after="0"/>
      </w:pPr>
      <w:r>
        <w:t xml:space="preserve">The </w:t>
      </w:r>
      <w:r w:rsidR="008D1923">
        <w:t>G</w:t>
      </w:r>
      <w:r>
        <w:t xml:space="preserve">overnment </w:t>
      </w:r>
      <w:r w:rsidR="002F7ABB">
        <w:t xml:space="preserve">thanks the </w:t>
      </w:r>
      <w:r w:rsidR="00774607">
        <w:t>c</w:t>
      </w:r>
      <w:r w:rsidR="002F7ABB">
        <w:t>ommittee</w:t>
      </w:r>
      <w:r w:rsidR="00360AC8">
        <w:t xml:space="preserve">, and all the contributors to the Inquiry, for their efforts in </w:t>
      </w:r>
      <w:r w:rsidR="00774607">
        <w:t>producing</w:t>
      </w:r>
      <w:r w:rsidR="00360AC8">
        <w:t xml:space="preserve"> this </w:t>
      </w:r>
      <w:r w:rsidR="00541F06">
        <w:t xml:space="preserve">thoughtful and </w:t>
      </w:r>
      <w:r w:rsidR="001C35C4">
        <w:t>highly valuable</w:t>
      </w:r>
      <w:r w:rsidR="00774607">
        <w:t xml:space="preserve"> </w:t>
      </w:r>
      <w:r w:rsidR="00360AC8">
        <w:t xml:space="preserve">report. </w:t>
      </w:r>
    </w:p>
    <w:p w14:paraId="40752905" w14:textId="77777777" w:rsidR="00F352CC" w:rsidRDefault="00F352CC" w:rsidP="0031117D">
      <w:pPr>
        <w:spacing w:after="0"/>
      </w:pPr>
      <w:r>
        <w:t>A summary of the Recommendations and</w:t>
      </w:r>
      <w:r w:rsidR="000850C8">
        <w:t xml:space="preserve"> the</w:t>
      </w:r>
      <w:r>
        <w:t xml:space="preserve"> Australian Government response is outlined in the table below:</w:t>
      </w:r>
    </w:p>
    <w:tbl>
      <w:tblPr>
        <w:tblStyle w:val="TableGrid"/>
        <w:tblW w:w="0" w:type="auto"/>
        <w:tblLook w:val="04A0" w:firstRow="1" w:lastRow="0" w:firstColumn="1" w:lastColumn="0" w:noHBand="0" w:noVBand="1"/>
        <w:tblCaption w:val="Committee recommendations and Government Response"/>
        <w:tblDescription w:val="Committee recommendations and Government Response"/>
      </w:tblPr>
      <w:tblGrid>
        <w:gridCol w:w="461"/>
        <w:gridCol w:w="7044"/>
        <w:gridCol w:w="1511"/>
      </w:tblGrid>
      <w:tr w:rsidR="00F352CC" w:rsidRPr="00891DCF" w14:paraId="4075290A" w14:textId="77777777" w:rsidTr="003250C9">
        <w:trPr>
          <w:tblHeader/>
        </w:trPr>
        <w:tc>
          <w:tcPr>
            <w:tcW w:w="461" w:type="dxa"/>
          </w:tcPr>
          <w:p w14:paraId="40752907" w14:textId="77777777" w:rsidR="00F352CC" w:rsidRPr="00891DCF" w:rsidRDefault="00F352CC" w:rsidP="00C06CD5">
            <w:pPr>
              <w:pStyle w:val="Heading2"/>
              <w:outlineLvl w:val="1"/>
            </w:pPr>
          </w:p>
        </w:tc>
        <w:tc>
          <w:tcPr>
            <w:tcW w:w="7206" w:type="dxa"/>
          </w:tcPr>
          <w:p w14:paraId="40752908" w14:textId="77777777" w:rsidR="00F352CC" w:rsidRPr="00891DCF" w:rsidRDefault="00F352CC" w:rsidP="00C06CD5">
            <w:pPr>
              <w:pStyle w:val="Heading2"/>
              <w:outlineLvl w:val="1"/>
            </w:pPr>
            <w:bookmarkStart w:id="5" w:name="_Toc5262022"/>
            <w:bookmarkStart w:id="6" w:name="_Toc11401967"/>
            <w:r w:rsidRPr="00891DCF">
              <w:t>Committee recommendation</w:t>
            </w:r>
            <w:bookmarkEnd w:id="5"/>
            <w:bookmarkEnd w:id="6"/>
          </w:p>
        </w:tc>
        <w:tc>
          <w:tcPr>
            <w:tcW w:w="1512" w:type="dxa"/>
          </w:tcPr>
          <w:p w14:paraId="40752909" w14:textId="77777777" w:rsidR="00F352CC" w:rsidRPr="00891DCF" w:rsidRDefault="00F352CC" w:rsidP="00C06CD5">
            <w:pPr>
              <w:spacing w:after="0"/>
              <w:rPr>
                <w:rFonts w:asciiTheme="minorHAnsi" w:hAnsiTheme="minorHAnsi" w:cstheme="minorHAnsi"/>
                <w:b/>
              </w:rPr>
            </w:pPr>
            <w:r w:rsidRPr="00891DCF">
              <w:rPr>
                <w:rFonts w:asciiTheme="minorHAnsi" w:hAnsiTheme="minorHAnsi" w:cstheme="minorHAnsi"/>
                <w:b/>
              </w:rPr>
              <w:t>Government response</w:t>
            </w:r>
          </w:p>
        </w:tc>
      </w:tr>
      <w:tr w:rsidR="00F352CC" w:rsidRPr="00891DCF" w14:paraId="4075290E" w14:textId="77777777" w:rsidTr="00C06CD5">
        <w:tc>
          <w:tcPr>
            <w:tcW w:w="461" w:type="dxa"/>
          </w:tcPr>
          <w:p w14:paraId="4075290B" w14:textId="77777777" w:rsidR="00F352CC" w:rsidRPr="00891DCF" w:rsidRDefault="00F352CC" w:rsidP="00F352CC">
            <w:pPr>
              <w:pStyle w:val="ListParagraph"/>
              <w:numPr>
                <w:ilvl w:val="0"/>
                <w:numId w:val="26"/>
              </w:numPr>
              <w:spacing w:after="0"/>
              <w:jc w:val="both"/>
              <w:rPr>
                <w:rFonts w:asciiTheme="minorHAnsi" w:hAnsiTheme="minorHAnsi" w:cstheme="minorHAnsi"/>
              </w:rPr>
            </w:pPr>
          </w:p>
        </w:tc>
        <w:tc>
          <w:tcPr>
            <w:tcW w:w="7206" w:type="dxa"/>
          </w:tcPr>
          <w:p w14:paraId="4075290C"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 xml:space="preserve">The development of a national rural and remote mental health strategy </w:t>
            </w:r>
          </w:p>
        </w:tc>
        <w:tc>
          <w:tcPr>
            <w:tcW w:w="1512" w:type="dxa"/>
          </w:tcPr>
          <w:p w14:paraId="4075290D"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12" w14:textId="77777777" w:rsidTr="00C06CD5">
        <w:tc>
          <w:tcPr>
            <w:tcW w:w="461" w:type="dxa"/>
          </w:tcPr>
          <w:p w14:paraId="4075290F"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2.</w:t>
            </w:r>
          </w:p>
        </w:tc>
        <w:tc>
          <w:tcPr>
            <w:tcW w:w="7206" w:type="dxa"/>
          </w:tcPr>
          <w:p w14:paraId="40752910"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Implementation, monitoring and reporting framework for Recommendation 1.</w:t>
            </w:r>
          </w:p>
        </w:tc>
        <w:tc>
          <w:tcPr>
            <w:tcW w:w="1512" w:type="dxa"/>
          </w:tcPr>
          <w:p w14:paraId="40752911"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16" w14:textId="77777777" w:rsidTr="00C06CD5">
        <w:tc>
          <w:tcPr>
            <w:tcW w:w="461" w:type="dxa"/>
          </w:tcPr>
          <w:p w14:paraId="40752913"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3.</w:t>
            </w:r>
          </w:p>
        </w:tc>
        <w:tc>
          <w:tcPr>
            <w:tcW w:w="7206" w:type="dxa"/>
          </w:tcPr>
          <w:p w14:paraId="40752914"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Guarantee the design of service starts with local community input</w:t>
            </w:r>
          </w:p>
        </w:tc>
        <w:tc>
          <w:tcPr>
            <w:tcW w:w="1512" w:type="dxa"/>
          </w:tcPr>
          <w:p w14:paraId="40752915"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1A" w14:textId="77777777" w:rsidTr="00C06CD5">
        <w:tc>
          <w:tcPr>
            <w:tcW w:w="461" w:type="dxa"/>
          </w:tcPr>
          <w:p w14:paraId="40752917"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4.</w:t>
            </w:r>
          </w:p>
        </w:tc>
        <w:tc>
          <w:tcPr>
            <w:tcW w:w="7206" w:type="dxa"/>
          </w:tcPr>
          <w:p w14:paraId="40752918"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NDIA takes account of remote/rural issues for NDIS psychosocial participants</w:t>
            </w:r>
          </w:p>
        </w:tc>
        <w:tc>
          <w:tcPr>
            <w:tcW w:w="1512" w:type="dxa"/>
          </w:tcPr>
          <w:p w14:paraId="40752919"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1E" w14:textId="77777777" w:rsidTr="00C06CD5">
        <w:tc>
          <w:tcPr>
            <w:tcW w:w="461" w:type="dxa"/>
          </w:tcPr>
          <w:p w14:paraId="4075291B"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5.</w:t>
            </w:r>
          </w:p>
        </w:tc>
        <w:tc>
          <w:tcPr>
            <w:tcW w:w="7206" w:type="dxa"/>
          </w:tcPr>
          <w:p w14:paraId="4075291C"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Longer min. contract lengths for commissioned services</w:t>
            </w:r>
          </w:p>
        </w:tc>
        <w:tc>
          <w:tcPr>
            <w:tcW w:w="1512" w:type="dxa"/>
          </w:tcPr>
          <w:p w14:paraId="4075291D"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22" w14:textId="77777777" w:rsidTr="00C06CD5">
        <w:tc>
          <w:tcPr>
            <w:tcW w:w="461" w:type="dxa"/>
          </w:tcPr>
          <w:p w14:paraId="4075291F"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6.</w:t>
            </w:r>
          </w:p>
        </w:tc>
        <w:tc>
          <w:tcPr>
            <w:tcW w:w="7206" w:type="dxa"/>
          </w:tcPr>
          <w:p w14:paraId="40752920"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Allow extension of short term contracts where appropriate</w:t>
            </w:r>
          </w:p>
        </w:tc>
        <w:tc>
          <w:tcPr>
            <w:tcW w:w="1512" w:type="dxa"/>
          </w:tcPr>
          <w:p w14:paraId="40752921"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26" w14:textId="77777777" w:rsidTr="00C06CD5">
        <w:tc>
          <w:tcPr>
            <w:tcW w:w="461" w:type="dxa"/>
          </w:tcPr>
          <w:p w14:paraId="40752923"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 xml:space="preserve">7. </w:t>
            </w:r>
          </w:p>
        </w:tc>
        <w:tc>
          <w:tcPr>
            <w:tcW w:w="7206" w:type="dxa"/>
          </w:tcPr>
          <w:p w14:paraId="40752924"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Government to considers reestablishment block funding for mental health in remote/rural areas</w:t>
            </w:r>
          </w:p>
        </w:tc>
        <w:tc>
          <w:tcPr>
            <w:tcW w:w="1512" w:type="dxa"/>
          </w:tcPr>
          <w:p w14:paraId="40752925"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Notes</w:t>
            </w:r>
          </w:p>
        </w:tc>
      </w:tr>
      <w:tr w:rsidR="00F352CC" w:rsidRPr="00891DCF" w14:paraId="4075292A" w14:textId="77777777" w:rsidTr="00C06CD5">
        <w:tc>
          <w:tcPr>
            <w:tcW w:w="461" w:type="dxa"/>
          </w:tcPr>
          <w:p w14:paraId="40752927"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 xml:space="preserve">8. </w:t>
            </w:r>
          </w:p>
        </w:tc>
        <w:tc>
          <w:tcPr>
            <w:tcW w:w="7206" w:type="dxa"/>
          </w:tcPr>
          <w:p w14:paraId="40752928"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Government review PHNs’ commissioning of services in line with stepped care model</w:t>
            </w:r>
          </w:p>
        </w:tc>
        <w:tc>
          <w:tcPr>
            <w:tcW w:w="1512" w:type="dxa"/>
          </w:tcPr>
          <w:p w14:paraId="40752929"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Notes</w:t>
            </w:r>
          </w:p>
        </w:tc>
      </w:tr>
      <w:tr w:rsidR="00F352CC" w:rsidRPr="00891DCF" w14:paraId="4075292E" w14:textId="77777777" w:rsidTr="00C06CD5">
        <w:tc>
          <w:tcPr>
            <w:tcW w:w="461" w:type="dxa"/>
          </w:tcPr>
          <w:p w14:paraId="4075292B"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9</w:t>
            </w:r>
          </w:p>
        </w:tc>
        <w:tc>
          <w:tcPr>
            <w:tcW w:w="7206" w:type="dxa"/>
          </w:tcPr>
          <w:p w14:paraId="4075292C"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Consider whether allied health professionals and nurses could refer into Better Access program in rural/remote areas</w:t>
            </w:r>
          </w:p>
        </w:tc>
        <w:tc>
          <w:tcPr>
            <w:tcW w:w="1512" w:type="dxa"/>
          </w:tcPr>
          <w:p w14:paraId="4075292D"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Notes</w:t>
            </w:r>
          </w:p>
        </w:tc>
      </w:tr>
      <w:tr w:rsidR="00F352CC" w:rsidRPr="00891DCF" w14:paraId="40752932" w14:textId="77777777" w:rsidTr="00C06CD5">
        <w:tc>
          <w:tcPr>
            <w:tcW w:w="461" w:type="dxa"/>
          </w:tcPr>
          <w:p w14:paraId="4075292F"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10</w:t>
            </w:r>
          </w:p>
        </w:tc>
        <w:tc>
          <w:tcPr>
            <w:tcW w:w="7206" w:type="dxa"/>
          </w:tcPr>
          <w:p w14:paraId="40752930"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Prioritise implementation and evaluation plans for Aboriginal MHSEW Framework</w:t>
            </w:r>
          </w:p>
        </w:tc>
        <w:tc>
          <w:tcPr>
            <w:tcW w:w="1512" w:type="dxa"/>
          </w:tcPr>
          <w:p w14:paraId="40752931"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36" w14:textId="77777777" w:rsidTr="00C06CD5">
        <w:tc>
          <w:tcPr>
            <w:tcW w:w="461" w:type="dxa"/>
          </w:tcPr>
          <w:p w14:paraId="40752933"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11</w:t>
            </w:r>
          </w:p>
        </w:tc>
        <w:tc>
          <w:tcPr>
            <w:tcW w:w="7206" w:type="dxa"/>
          </w:tcPr>
          <w:p w14:paraId="40752934"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PHNs commission in accordance with Aboriginal MHSEW Framework action plans and work in longer term partnerships with ACCHOs</w:t>
            </w:r>
          </w:p>
        </w:tc>
        <w:tc>
          <w:tcPr>
            <w:tcW w:w="1512" w:type="dxa"/>
          </w:tcPr>
          <w:p w14:paraId="40752935"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3A" w14:textId="77777777" w:rsidTr="00C06CD5">
        <w:tc>
          <w:tcPr>
            <w:tcW w:w="461" w:type="dxa"/>
          </w:tcPr>
          <w:p w14:paraId="40752937"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12</w:t>
            </w:r>
          </w:p>
        </w:tc>
        <w:tc>
          <w:tcPr>
            <w:tcW w:w="7206" w:type="dxa"/>
          </w:tcPr>
          <w:p w14:paraId="40752938"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All PHNs have an ATSI member on Board</w:t>
            </w:r>
          </w:p>
        </w:tc>
        <w:tc>
          <w:tcPr>
            <w:tcW w:w="1512" w:type="dxa"/>
          </w:tcPr>
          <w:p w14:paraId="40752939"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 the intent</w:t>
            </w:r>
          </w:p>
        </w:tc>
      </w:tr>
      <w:tr w:rsidR="00F352CC" w:rsidRPr="00891DCF" w14:paraId="4075293E" w14:textId="77777777" w:rsidTr="00C06CD5">
        <w:tc>
          <w:tcPr>
            <w:tcW w:w="461" w:type="dxa"/>
          </w:tcPr>
          <w:p w14:paraId="4075293B"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13</w:t>
            </w:r>
          </w:p>
        </w:tc>
        <w:tc>
          <w:tcPr>
            <w:tcW w:w="7206" w:type="dxa"/>
          </w:tcPr>
          <w:p w14:paraId="4075293C"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Improve professional supports and clinical supervision for registered health practitioners in rural/remote areas</w:t>
            </w:r>
          </w:p>
        </w:tc>
        <w:tc>
          <w:tcPr>
            <w:tcW w:w="1512" w:type="dxa"/>
          </w:tcPr>
          <w:p w14:paraId="4075293D"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42" w14:textId="77777777" w:rsidTr="00C06CD5">
        <w:tc>
          <w:tcPr>
            <w:tcW w:w="461" w:type="dxa"/>
          </w:tcPr>
          <w:p w14:paraId="4075293F"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14</w:t>
            </w:r>
          </w:p>
        </w:tc>
        <w:tc>
          <w:tcPr>
            <w:tcW w:w="7206" w:type="dxa"/>
          </w:tcPr>
          <w:p w14:paraId="40752940"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All mental health service providers ensure workforces are culturally competent; local communities should  endorse/help develop training</w:t>
            </w:r>
          </w:p>
        </w:tc>
        <w:tc>
          <w:tcPr>
            <w:tcW w:w="1512" w:type="dxa"/>
          </w:tcPr>
          <w:p w14:paraId="40752941"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46" w14:textId="77777777" w:rsidTr="00C06CD5">
        <w:tc>
          <w:tcPr>
            <w:tcW w:w="461" w:type="dxa"/>
          </w:tcPr>
          <w:p w14:paraId="40752943"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15</w:t>
            </w:r>
          </w:p>
        </w:tc>
        <w:tc>
          <w:tcPr>
            <w:tcW w:w="7206" w:type="dxa"/>
          </w:tcPr>
          <w:p w14:paraId="40752944"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 xml:space="preserve">Funding to FIFO professionals should require consistency of staff and be supported by investment in local practitioners </w:t>
            </w:r>
          </w:p>
        </w:tc>
        <w:tc>
          <w:tcPr>
            <w:tcW w:w="1512" w:type="dxa"/>
          </w:tcPr>
          <w:p w14:paraId="40752945"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4A" w14:textId="77777777" w:rsidTr="00C06CD5">
        <w:tc>
          <w:tcPr>
            <w:tcW w:w="461" w:type="dxa"/>
          </w:tcPr>
          <w:p w14:paraId="40752947"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16</w:t>
            </w:r>
          </w:p>
        </w:tc>
        <w:tc>
          <w:tcPr>
            <w:tcW w:w="7206" w:type="dxa"/>
          </w:tcPr>
          <w:p w14:paraId="40752948"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Peer support workers be recognised and trained as part of any rural/remote measure</w:t>
            </w:r>
          </w:p>
        </w:tc>
        <w:tc>
          <w:tcPr>
            <w:tcW w:w="1512" w:type="dxa"/>
          </w:tcPr>
          <w:p w14:paraId="40752949"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4E" w14:textId="77777777" w:rsidTr="00C06CD5">
        <w:tc>
          <w:tcPr>
            <w:tcW w:w="461" w:type="dxa"/>
          </w:tcPr>
          <w:p w14:paraId="4075294B"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lastRenderedPageBreak/>
              <w:t>17</w:t>
            </w:r>
          </w:p>
        </w:tc>
        <w:tc>
          <w:tcPr>
            <w:tcW w:w="7206" w:type="dxa"/>
          </w:tcPr>
          <w:p w14:paraId="4075294C"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All governments should continue to educate local communities about mental health to reduce stigma</w:t>
            </w:r>
          </w:p>
        </w:tc>
        <w:tc>
          <w:tcPr>
            <w:tcW w:w="1512" w:type="dxa"/>
          </w:tcPr>
          <w:p w14:paraId="4075294D"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r w:rsidR="00F352CC" w:rsidRPr="00891DCF" w14:paraId="40752952" w14:textId="77777777" w:rsidTr="00C06CD5">
        <w:tc>
          <w:tcPr>
            <w:tcW w:w="461" w:type="dxa"/>
          </w:tcPr>
          <w:p w14:paraId="4075294F"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18</w:t>
            </w:r>
          </w:p>
        </w:tc>
        <w:tc>
          <w:tcPr>
            <w:tcW w:w="7206" w:type="dxa"/>
          </w:tcPr>
          <w:p w14:paraId="40752950"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Mental health services and communities should be involved in co-design of educational materials</w:t>
            </w:r>
          </w:p>
        </w:tc>
        <w:tc>
          <w:tcPr>
            <w:tcW w:w="1512" w:type="dxa"/>
          </w:tcPr>
          <w:p w14:paraId="40752951" w14:textId="77777777" w:rsidR="00F352CC" w:rsidRPr="00891DCF" w:rsidRDefault="00F352CC" w:rsidP="00C06CD5">
            <w:pPr>
              <w:spacing w:after="0"/>
              <w:rPr>
                <w:rFonts w:asciiTheme="minorHAnsi" w:hAnsiTheme="minorHAnsi" w:cstheme="minorHAnsi"/>
              </w:rPr>
            </w:pPr>
            <w:r w:rsidRPr="00891DCF">
              <w:rPr>
                <w:rFonts w:asciiTheme="minorHAnsi" w:hAnsiTheme="minorHAnsi" w:cstheme="minorHAnsi"/>
              </w:rPr>
              <w:t>Supports</w:t>
            </w:r>
          </w:p>
        </w:tc>
      </w:tr>
    </w:tbl>
    <w:p w14:paraId="40752954" w14:textId="409DB89E" w:rsidR="004C14E7" w:rsidRPr="00DF7CFF" w:rsidRDefault="002463B1" w:rsidP="00E559FE">
      <w:pPr>
        <w:pStyle w:val="Heading1"/>
        <w:numPr>
          <w:ilvl w:val="0"/>
          <w:numId w:val="30"/>
        </w:numPr>
      </w:pPr>
      <w:bookmarkStart w:id="7" w:name="_Toc11401968"/>
      <w:r w:rsidRPr="00324426">
        <w:t>Background</w:t>
      </w:r>
      <w:bookmarkEnd w:id="7"/>
    </w:p>
    <w:p w14:paraId="40752955" w14:textId="77777777" w:rsidR="00E13227" w:rsidRDefault="004C14E7" w:rsidP="002815E1">
      <w:pPr>
        <w:rPr>
          <w:rFonts w:cstheme="minorHAnsi"/>
        </w:rPr>
      </w:pPr>
      <w:r>
        <w:rPr>
          <w:rFonts w:cstheme="minorHAnsi"/>
        </w:rPr>
        <w:t>In</w:t>
      </w:r>
      <w:r w:rsidR="00543C28">
        <w:rPr>
          <w:rFonts w:cstheme="minorHAnsi"/>
        </w:rPr>
        <w:t xml:space="preserve"> 2018 t</w:t>
      </w:r>
      <w:r w:rsidR="00E57088">
        <w:rPr>
          <w:rFonts w:cstheme="minorHAnsi"/>
        </w:rPr>
        <w:t>he Senate</w:t>
      </w:r>
      <w:r w:rsidR="00543C28">
        <w:rPr>
          <w:rFonts w:cstheme="minorHAnsi"/>
        </w:rPr>
        <w:t xml:space="preserve"> </w:t>
      </w:r>
      <w:hyperlink r:id="rId14" w:history="1">
        <w:r w:rsidR="00543C28" w:rsidRPr="00E13227">
          <w:rPr>
            <w:rStyle w:val="Hyperlink"/>
            <w:rFonts w:cstheme="minorHAnsi"/>
          </w:rPr>
          <w:t xml:space="preserve">referred </w:t>
        </w:r>
        <w:r w:rsidR="00F346E1" w:rsidRPr="00E13227">
          <w:rPr>
            <w:rStyle w:val="Hyperlink"/>
            <w:rFonts w:cstheme="minorHAnsi"/>
          </w:rPr>
          <w:t>an inquiry</w:t>
        </w:r>
      </w:hyperlink>
      <w:r w:rsidR="00F346E1">
        <w:rPr>
          <w:rFonts w:cstheme="minorHAnsi"/>
        </w:rPr>
        <w:t xml:space="preserve"> into the accessibility and quality of mental health services in rural and remote Australia to </w:t>
      </w:r>
      <w:r w:rsidR="009332EC">
        <w:rPr>
          <w:rFonts w:cstheme="minorHAnsi"/>
        </w:rPr>
        <w:t>the Senate Community Affairs References Committee.</w:t>
      </w:r>
      <w:r w:rsidR="00E57088">
        <w:rPr>
          <w:rFonts w:cstheme="minorHAnsi"/>
        </w:rPr>
        <w:t xml:space="preserve"> </w:t>
      </w:r>
    </w:p>
    <w:p w14:paraId="40752956" w14:textId="77777777" w:rsidR="00F361CD" w:rsidRDefault="00F3649A" w:rsidP="00F361CD">
      <w:pPr>
        <w:spacing w:after="0"/>
        <w:rPr>
          <w:rFonts w:cstheme="minorHAnsi"/>
        </w:rPr>
      </w:pPr>
      <w:r>
        <w:rPr>
          <w:rFonts w:cstheme="minorHAnsi"/>
        </w:rPr>
        <w:t xml:space="preserve">The </w:t>
      </w:r>
      <w:r w:rsidR="005601FC">
        <w:rPr>
          <w:rFonts w:cstheme="minorHAnsi"/>
        </w:rPr>
        <w:t xml:space="preserve">Senate asked the committee </w:t>
      </w:r>
      <w:r>
        <w:rPr>
          <w:rFonts w:cstheme="minorHAnsi"/>
        </w:rPr>
        <w:t>to report on</w:t>
      </w:r>
      <w:r w:rsidR="00FE433F">
        <w:rPr>
          <w:rFonts w:cstheme="minorHAnsi"/>
        </w:rPr>
        <w:t>:</w:t>
      </w:r>
    </w:p>
    <w:p w14:paraId="40752958" w14:textId="77777777" w:rsidR="00F361CD" w:rsidRPr="00F361CD" w:rsidRDefault="00F361CD" w:rsidP="00F361CD">
      <w:pPr>
        <w:spacing w:after="0"/>
        <w:rPr>
          <w:rFonts w:cstheme="minorHAnsi"/>
        </w:rPr>
      </w:pPr>
      <w:r w:rsidRPr="00F361CD">
        <w:rPr>
          <w:rFonts w:cstheme="minorHAnsi"/>
        </w:rPr>
        <w:t>(a) the nature and underlying causes of rural and remote Australians</w:t>
      </w:r>
      <w:r>
        <w:rPr>
          <w:rFonts w:cstheme="minorHAnsi"/>
        </w:rPr>
        <w:t xml:space="preserve"> </w:t>
      </w:r>
      <w:r w:rsidRPr="00F361CD">
        <w:rPr>
          <w:rFonts w:cstheme="minorHAnsi"/>
        </w:rPr>
        <w:t>accessing mental health</w:t>
      </w:r>
      <w:r w:rsidR="001B1906">
        <w:rPr>
          <w:rFonts w:cstheme="minorHAnsi"/>
        </w:rPr>
        <w:t xml:space="preserve"> </w:t>
      </w:r>
      <w:r w:rsidRPr="00F361CD">
        <w:rPr>
          <w:rFonts w:cstheme="minorHAnsi"/>
        </w:rPr>
        <w:t>services at a much lower rate</w:t>
      </w:r>
    </w:p>
    <w:p w14:paraId="40752959" w14:textId="77777777" w:rsidR="00F361CD" w:rsidRPr="00F361CD" w:rsidRDefault="00F361CD" w:rsidP="00F361CD">
      <w:pPr>
        <w:spacing w:after="0"/>
        <w:rPr>
          <w:rFonts w:cstheme="minorHAnsi"/>
        </w:rPr>
      </w:pPr>
      <w:r w:rsidRPr="00F361CD">
        <w:rPr>
          <w:rFonts w:cstheme="minorHAnsi"/>
        </w:rPr>
        <w:t>(b) the higher rate of suicide in rural and remote Australia</w:t>
      </w:r>
    </w:p>
    <w:p w14:paraId="4075295A" w14:textId="77777777" w:rsidR="00F361CD" w:rsidRPr="00F361CD" w:rsidRDefault="00F361CD" w:rsidP="00F361CD">
      <w:pPr>
        <w:spacing w:after="0"/>
        <w:rPr>
          <w:rFonts w:cstheme="minorHAnsi"/>
        </w:rPr>
      </w:pPr>
      <w:r w:rsidRPr="00F361CD">
        <w:rPr>
          <w:rFonts w:cstheme="minorHAnsi"/>
        </w:rPr>
        <w:t>(c) the nature of the mental health workforce</w:t>
      </w:r>
    </w:p>
    <w:p w14:paraId="4075295B" w14:textId="77777777" w:rsidR="00F361CD" w:rsidRPr="00F361CD" w:rsidRDefault="00F361CD" w:rsidP="00F361CD">
      <w:pPr>
        <w:spacing w:after="0"/>
        <w:rPr>
          <w:rFonts w:cstheme="minorHAnsi"/>
        </w:rPr>
      </w:pPr>
      <w:r w:rsidRPr="00F361CD">
        <w:rPr>
          <w:rFonts w:cstheme="minorHAnsi"/>
        </w:rPr>
        <w:t>(d) the challenges of delivering mental health services in the regions</w:t>
      </w:r>
    </w:p>
    <w:p w14:paraId="4075295C" w14:textId="77777777" w:rsidR="00F361CD" w:rsidRPr="00F361CD" w:rsidRDefault="00F361CD" w:rsidP="00F361CD">
      <w:pPr>
        <w:spacing w:after="0"/>
        <w:rPr>
          <w:rFonts w:cstheme="minorHAnsi"/>
        </w:rPr>
      </w:pPr>
      <w:r w:rsidRPr="00F361CD">
        <w:rPr>
          <w:rFonts w:cstheme="minorHAnsi"/>
        </w:rPr>
        <w:t>(e) attitudes towards mental health services</w:t>
      </w:r>
    </w:p>
    <w:p w14:paraId="4075295D" w14:textId="77777777" w:rsidR="00F361CD" w:rsidRPr="00F361CD" w:rsidRDefault="00F361CD" w:rsidP="00F361CD">
      <w:pPr>
        <w:spacing w:after="0"/>
        <w:rPr>
          <w:rFonts w:cstheme="minorHAnsi"/>
        </w:rPr>
      </w:pPr>
      <w:r w:rsidRPr="00F361CD">
        <w:rPr>
          <w:rFonts w:cstheme="minorHAnsi"/>
        </w:rPr>
        <w:t>(f) opportunities that technology presents for improved service delivery</w:t>
      </w:r>
      <w:r>
        <w:rPr>
          <w:rFonts w:cstheme="minorHAnsi"/>
        </w:rPr>
        <w:t>; and</w:t>
      </w:r>
    </w:p>
    <w:p w14:paraId="4075295E" w14:textId="77777777" w:rsidR="00FE433F" w:rsidRPr="00796F77" w:rsidRDefault="00F361CD" w:rsidP="00F361CD">
      <w:pPr>
        <w:rPr>
          <w:rFonts w:cstheme="minorHAnsi"/>
        </w:rPr>
      </w:pPr>
      <w:r w:rsidRPr="00F361CD">
        <w:rPr>
          <w:rFonts w:cstheme="minorHAnsi"/>
        </w:rPr>
        <w:t>(g) any other related matters.</w:t>
      </w:r>
    </w:p>
    <w:p w14:paraId="4075295F" w14:textId="77777777" w:rsidR="00796F77" w:rsidRDefault="004B6922" w:rsidP="00796F77">
      <w:pPr>
        <w:spacing w:after="0"/>
        <w:rPr>
          <w:rFonts w:cstheme="minorHAnsi"/>
        </w:rPr>
      </w:pPr>
      <w:r>
        <w:rPr>
          <w:rFonts w:cstheme="minorHAnsi"/>
        </w:rPr>
        <w:t xml:space="preserve">The </w:t>
      </w:r>
      <w:r w:rsidR="005601FC">
        <w:rPr>
          <w:rFonts w:cstheme="minorHAnsi"/>
        </w:rPr>
        <w:t>c</w:t>
      </w:r>
      <w:r>
        <w:rPr>
          <w:rFonts w:cstheme="minorHAnsi"/>
        </w:rPr>
        <w:t xml:space="preserve">ommittee reported to </w:t>
      </w:r>
      <w:r w:rsidR="00D47E7A">
        <w:rPr>
          <w:rFonts w:cstheme="minorHAnsi"/>
        </w:rPr>
        <w:t xml:space="preserve">the Australian </w:t>
      </w:r>
      <w:r>
        <w:rPr>
          <w:rFonts w:cstheme="minorHAnsi"/>
        </w:rPr>
        <w:t>Parliament in December 2018 a</w:t>
      </w:r>
      <w:r w:rsidR="001B1906">
        <w:rPr>
          <w:rFonts w:cstheme="minorHAnsi"/>
        </w:rPr>
        <w:t xml:space="preserve">fter </w:t>
      </w:r>
      <w:r w:rsidR="005601FC">
        <w:rPr>
          <w:rFonts w:cstheme="minorHAnsi"/>
        </w:rPr>
        <w:t>reviewing</w:t>
      </w:r>
      <w:r w:rsidR="00C74131">
        <w:rPr>
          <w:rFonts w:cstheme="minorHAnsi"/>
        </w:rPr>
        <w:t xml:space="preserve"> submissions from </w:t>
      </w:r>
      <w:r w:rsidR="009A7825">
        <w:rPr>
          <w:rFonts w:cstheme="minorHAnsi"/>
        </w:rPr>
        <w:t xml:space="preserve">138 </w:t>
      </w:r>
      <w:r w:rsidR="00C74131">
        <w:rPr>
          <w:rFonts w:cstheme="minorHAnsi"/>
        </w:rPr>
        <w:t xml:space="preserve">individuals and organisations, </w:t>
      </w:r>
      <w:r w:rsidR="009A7825">
        <w:rPr>
          <w:rFonts w:cstheme="minorHAnsi"/>
        </w:rPr>
        <w:t xml:space="preserve">holding 16 public hearings in </w:t>
      </w:r>
      <w:r w:rsidR="001175C2">
        <w:rPr>
          <w:rFonts w:cstheme="minorHAnsi"/>
        </w:rPr>
        <w:t>most</w:t>
      </w:r>
      <w:r w:rsidR="009A7825">
        <w:rPr>
          <w:rFonts w:cstheme="minorHAnsi"/>
        </w:rPr>
        <w:t xml:space="preserve"> Australia</w:t>
      </w:r>
      <w:r w:rsidR="001E1EC3">
        <w:rPr>
          <w:rFonts w:cstheme="minorHAnsi"/>
        </w:rPr>
        <w:t>n state</w:t>
      </w:r>
      <w:r w:rsidR="001175C2">
        <w:rPr>
          <w:rFonts w:cstheme="minorHAnsi"/>
        </w:rPr>
        <w:t>s</w:t>
      </w:r>
      <w:r w:rsidR="001E1EC3">
        <w:rPr>
          <w:rFonts w:cstheme="minorHAnsi"/>
        </w:rPr>
        <w:t xml:space="preserve"> and territor</w:t>
      </w:r>
      <w:r>
        <w:rPr>
          <w:rFonts w:cstheme="minorHAnsi"/>
        </w:rPr>
        <w:t>ies</w:t>
      </w:r>
      <w:r w:rsidR="008E30D0">
        <w:rPr>
          <w:rFonts w:cstheme="minorHAnsi"/>
        </w:rPr>
        <w:t>,</w:t>
      </w:r>
      <w:r>
        <w:rPr>
          <w:rFonts w:cstheme="minorHAnsi"/>
        </w:rPr>
        <w:t xml:space="preserve"> and making two site visits.</w:t>
      </w:r>
    </w:p>
    <w:p w14:paraId="40752961" w14:textId="44FED76E" w:rsidR="004D2641" w:rsidRPr="00324426" w:rsidRDefault="003B5452" w:rsidP="00E559FE">
      <w:pPr>
        <w:pStyle w:val="Heading1"/>
        <w:pageBreakBefore/>
        <w:numPr>
          <w:ilvl w:val="0"/>
          <w:numId w:val="30"/>
        </w:numPr>
      </w:pPr>
      <w:bookmarkStart w:id="8" w:name="_Toc5262023"/>
      <w:bookmarkStart w:id="9" w:name="_Toc11401969"/>
      <w:r w:rsidRPr="00324426">
        <w:lastRenderedPageBreak/>
        <w:t xml:space="preserve">The </w:t>
      </w:r>
      <w:r w:rsidR="00965A6F" w:rsidRPr="00324426">
        <w:t>Australian Government’s response to the committee’s recommendations</w:t>
      </w:r>
      <w:bookmarkEnd w:id="8"/>
      <w:bookmarkEnd w:id="9"/>
    </w:p>
    <w:p w14:paraId="40752963" w14:textId="2B86BB0F" w:rsidR="003B5452" w:rsidRPr="0046077A" w:rsidRDefault="003B5452" w:rsidP="00E559FE">
      <w:pPr>
        <w:pStyle w:val="Heading2"/>
        <w:numPr>
          <w:ilvl w:val="1"/>
          <w:numId w:val="30"/>
        </w:numPr>
        <w:ind w:left="426"/>
      </w:pPr>
      <w:bookmarkStart w:id="10" w:name="_Toc5262024"/>
      <w:bookmarkStart w:id="11" w:name="_Toc11401970"/>
      <w:r>
        <w:t>The need for a r</w:t>
      </w:r>
      <w:r w:rsidRPr="0046077A">
        <w:t>ural and remote mental health strategy</w:t>
      </w:r>
      <w:bookmarkEnd w:id="10"/>
      <w:bookmarkEnd w:id="11"/>
    </w:p>
    <w:p w14:paraId="40752965" w14:textId="77777777" w:rsidR="003B5452" w:rsidRPr="002C211E" w:rsidRDefault="003B5452" w:rsidP="0055292B">
      <w:pPr>
        <w:pStyle w:val="Heading3"/>
      </w:pPr>
      <w:r w:rsidRPr="002C211E">
        <w:t>Recommendation 1</w:t>
      </w:r>
    </w:p>
    <w:p w14:paraId="40752966" w14:textId="77777777" w:rsidR="003B5452" w:rsidRPr="0046077A" w:rsidRDefault="003B5452" w:rsidP="003B5452">
      <w:pPr>
        <w:spacing w:after="0"/>
        <w:rPr>
          <w:rFonts w:cstheme="minorHAnsi"/>
        </w:rPr>
      </w:pPr>
      <w:r w:rsidRPr="0046077A">
        <w:rPr>
          <w:rFonts w:cstheme="minorHAnsi"/>
        </w:rPr>
        <w:t>The committee recommends the deve</w:t>
      </w:r>
      <w:r>
        <w:rPr>
          <w:rFonts w:cstheme="minorHAnsi"/>
        </w:rPr>
        <w:t xml:space="preserve">lopment of a national rural and </w:t>
      </w:r>
      <w:r w:rsidRPr="0046077A">
        <w:rPr>
          <w:rFonts w:cstheme="minorHAnsi"/>
        </w:rPr>
        <w:t>remote mental health strategy which seeks to add</w:t>
      </w:r>
      <w:r>
        <w:rPr>
          <w:rFonts w:cstheme="minorHAnsi"/>
        </w:rPr>
        <w:t xml:space="preserve">ress the low rates of access to </w:t>
      </w:r>
      <w:r w:rsidRPr="0046077A">
        <w:rPr>
          <w:rFonts w:cstheme="minorHAnsi"/>
        </w:rPr>
        <w:t>services, workforce shortage, the high rate of suicid</w:t>
      </w:r>
      <w:r>
        <w:rPr>
          <w:rFonts w:cstheme="minorHAnsi"/>
        </w:rPr>
        <w:t xml:space="preserve">e, cultural realities, language </w:t>
      </w:r>
      <w:r w:rsidRPr="0046077A">
        <w:rPr>
          <w:rFonts w:cstheme="minorHAnsi"/>
        </w:rPr>
        <w:t>barriers and the social determinants of me</w:t>
      </w:r>
      <w:r>
        <w:rPr>
          <w:rFonts w:cstheme="minorHAnsi"/>
        </w:rPr>
        <w:t xml:space="preserve">ntal health in rural and remote </w:t>
      </w:r>
      <w:r w:rsidRPr="0046077A">
        <w:rPr>
          <w:rFonts w:cstheme="minorHAnsi"/>
        </w:rPr>
        <w:t>communities.</w:t>
      </w:r>
    </w:p>
    <w:p w14:paraId="40752968" w14:textId="77777777" w:rsidR="003B5452" w:rsidRPr="002C211E" w:rsidRDefault="003B5452" w:rsidP="0055292B">
      <w:pPr>
        <w:pStyle w:val="Heading3"/>
      </w:pPr>
      <w:r w:rsidRPr="002C211E">
        <w:t>Recommendation 2</w:t>
      </w:r>
    </w:p>
    <w:p w14:paraId="40752969" w14:textId="77777777" w:rsidR="003B5452" w:rsidRDefault="003B5452" w:rsidP="003B5452">
      <w:pPr>
        <w:spacing w:after="0"/>
        <w:rPr>
          <w:rFonts w:cstheme="minorHAnsi"/>
        </w:rPr>
      </w:pPr>
      <w:r w:rsidRPr="0046077A">
        <w:rPr>
          <w:rFonts w:cstheme="minorHAnsi"/>
        </w:rPr>
        <w:t>The committee recommends that the n</w:t>
      </w:r>
      <w:r>
        <w:rPr>
          <w:rFonts w:cstheme="minorHAnsi"/>
        </w:rPr>
        <w:t xml:space="preserve">ational rural and remote mental </w:t>
      </w:r>
      <w:r w:rsidRPr="0046077A">
        <w:rPr>
          <w:rFonts w:cstheme="minorHAnsi"/>
        </w:rPr>
        <w:t>health strategy is subject to an implementation</w:t>
      </w:r>
      <w:r>
        <w:rPr>
          <w:rFonts w:cstheme="minorHAnsi"/>
        </w:rPr>
        <w:t xml:space="preserve"> and monitoring framework which </w:t>
      </w:r>
      <w:r w:rsidRPr="0046077A">
        <w:rPr>
          <w:rFonts w:cstheme="minorHAnsi"/>
        </w:rPr>
        <w:t>includes regular reporting to government and t</w:t>
      </w:r>
      <w:r>
        <w:rPr>
          <w:rFonts w:cstheme="minorHAnsi"/>
        </w:rPr>
        <w:t xml:space="preserve">hat these reports are tabled in </w:t>
      </w:r>
      <w:r w:rsidRPr="0046077A">
        <w:rPr>
          <w:rFonts w:cstheme="minorHAnsi"/>
        </w:rPr>
        <w:t>Parliament.</w:t>
      </w:r>
    </w:p>
    <w:p w14:paraId="4075296B" w14:textId="77777777" w:rsidR="00CE1E51" w:rsidRPr="002C211E" w:rsidRDefault="00CE1E51" w:rsidP="0055292B">
      <w:pPr>
        <w:pStyle w:val="Heading4"/>
      </w:pPr>
      <w:r w:rsidRPr="002C211E">
        <w:t>Government response</w:t>
      </w:r>
    </w:p>
    <w:p w14:paraId="4075296C" w14:textId="1389F22A" w:rsidR="00FB3C61" w:rsidRPr="00A34125" w:rsidRDefault="004365B6" w:rsidP="0055292B">
      <w:pPr>
        <w:pStyle w:val="Heading5"/>
      </w:pPr>
      <w:r w:rsidRPr="00A34125">
        <w:t xml:space="preserve">The Government </w:t>
      </w:r>
      <w:r w:rsidR="007E7152">
        <w:t>SUPPORTS</w:t>
      </w:r>
      <w:r w:rsidR="00EC4BF3" w:rsidRPr="00A34125">
        <w:t xml:space="preserve"> </w:t>
      </w:r>
      <w:r w:rsidRPr="00A34125">
        <w:t xml:space="preserve">these </w:t>
      </w:r>
      <w:r w:rsidR="00FD6533" w:rsidRPr="00A34125">
        <w:t>recommendation</w:t>
      </w:r>
      <w:r w:rsidRPr="00A34125">
        <w:t>s</w:t>
      </w:r>
    </w:p>
    <w:p w14:paraId="4075296E" w14:textId="77CB7671" w:rsidR="00FB3C61" w:rsidRPr="00525894" w:rsidRDefault="00FB3C61" w:rsidP="00FB3C61">
      <w:pPr>
        <w:spacing w:before="40" w:after="160"/>
      </w:pPr>
      <w:r w:rsidRPr="00525894">
        <w:t>The Australian Government is committed to improving the access and quality of mental health services in rural and r</w:t>
      </w:r>
      <w:r>
        <w:t xml:space="preserve">emote regions, to better assist </w:t>
      </w:r>
      <w:r w:rsidRPr="00525894">
        <w:t>all Australi</w:t>
      </w:r>
      <w:r w:rsidR="000834B0">
        <w:t>ans with mental health issues.</w:t>
      </w:r>
    </w:p>
    <w:p w14:paraId="4075296F" w14:textId="77777777" w:rsidR="00E23478" w:rsidRDefault="00A368DE" w:rsidP="00E23478">
      <w:pPr>
        <w:spacing w:after="0"/>
        <w:rPr>
          <w:rFonts w:cstheme="minorHAnsi"/>
        </w:rPr>
      </w:pPr>
      <w:r>
        <w:t>The government agrees with the prio</w:t>
      </w:r>
      <w:r w:rsidR="00CF2957">
        <w:t>rities</w:t>
      </w:r>
      <w:r>
        <w:t xml:space="preserve"> identified by the </w:t>
      </w:r>
      <w:r w:rsidR="00BA6EC1">
        <w:t>committee</w:t>
      </w:r>
      <w:r w:rsidR="00CF2957">
        <w:t xml:space="preserve">, while noting that </w:t>
      </w:r>
      <w:r w:rsidR="0057626A">
        <w:t xml:space="preserve">they </w:t>
      </w:r>
      <w:r w:rsidR="0041432F">
        <w:t>demand a</w:t>
      </w:r>
      <w:r w:rsidR="0057626A">
        <w:t xml:space="preserve"> whole of government</w:t>
      </w:r>
      <w:r w:rsidR="00D653B1">
        <w:t>’</w:t>
      </w:r>
      <w:r w:rsidR="00904C69">
        <w:t>s</w:t>
      </w:r>
      <w:r w:rsidR="0057626A">
        <w:t xml:space="preserve"> </w:t>
      </w:r>
      <w:r w:rsidR="00E81379">
        <w:t>effort and cannot be achieved by one agency</w:t>
      </w:r>
      <w:r w:rsidR="004C14E7">
        <w:t>, or level of government,</w:t>
      </w:r>
      <w:r w:rsidR="00E81379">
        <w:t xml:space="preserve"> alone</w:t>
      </w:r>
      <w:r w:rsidR="0041432F">
        <w:t>.</w:t>
      </w:r>
      <w:r w:rsidR="00E23478">
        <w:t xml:space="preserve"> The emphasis on </w:t>
      </w:r>
      <w:r w:rsidR="00E23478">
        <w:rPr>
          <w:rFonts w:cstheme="minorHAnsi"/>
        </w:rPr>
        <w:t xml:space="preserve">‘cultural realities, language </w:t>
      </w:r>
      <w:r w:rsidR="00E23478" w:rsidRPr="0046077A">
        <w:rPr>
          <w:rFonts w:cstheme="minorHAnsi"/>
        </w:rPr>
        <w:t>barriers and the social determinants of me</w:t>
      </w:r>
      <w:r w:rsidR="00E23478">
        <w:rPr>
          <w:rFonts w:cstheme="minorHAnsi"/>
        </w:rPr>
        <w:t xml:space="preserve">ntal health in rural and remote </w:t>
      </w:r>
      <w:r w:rsidR="00E23478" w:rsidRPr="0046077A">
        <w:rPr>
          <w:rFonts w:cstheme="minorHAnsi"/>
        </w:rPr>
        <w:t>communities</w:t>
      </w:r>
      <w:r w:rsidR="003849DF">
        <w:rPr>
          <w:rFonts w:cstheme="minorHAnsi"/>
        </w:rPr>
        <w:t>’ is consistent with th</w:t>
      </w:r>
      <w:r w:rsidR="0015614B">
        <w:rPr>
          <w:rFonts w:cstheme="minorHAnsi"/>
        </w:rPr>
        <w:t>e</w:t>
      </w:r>
      <w:r w:rsidR="003849DF">
        <w:rPr>
          <w:rFonts w:cstheme="minorHAnsi"/>
        </w:rPr>
        <w:t xml:space="preserve"> government’s approach in </w:t>
      </w:r>
      <w:hyperlink r:id="rId15" w:history="1">
        <w:r w:rsidR="00B30B54" w:rsidRPr="0015614B">
          <w:rPr>
            <w:rStyle w:val="Hyperlink"/>
            <w:rFonts w:cstheme="minorHAnsi"/>
          </w:rPr>
          <w:t>Clos</w:t>
        </w:r>
        <w:r w:rsidR="000449D3">
          <w:rPr>
            <w:rStyle w:val="Hyperlink"/>
            <w:rFonts w:cstheme="minorHAnsi"/>
          </w:rPr>
          <w:t>ing</w:t>
        </w:r>
        <w:r w:rsidR="00B30B54" w:rsidRPr="0015614B">
          <w:rPr>
            <w:rStyle w:val="Hyperlink"/>
            <w:rFonts w:cstheme="minorHAnsi"/>
          </w:rPr>
          <w:t xml:space="preserve"> The Gap </w:t>
        </w:r>
        <w:r w:rsidR="00F05D74" w:rsidRPr="0015614B">
          <w:rPr>
            <w:rStyle w:val="Hyperlink"/>
            <w:rFonts w:cstheme="minorHAnsi"/>
          </w:rPr>
          <w:t>R</w:t>
        </w:r>
        <w:r w:rsidR="00B30B54" w:rsidRPr="0015614B">
          <w:rPr>
            <w:rStyle w:val="Hyperlink"/>
            <w:rFonts w:cstheme="minorHAnsi"/>
          </w:rPr>
          <w:t>efresh</w:t>
        </w:r>
      </w:hyperlink>
      <w:r w:rsidR="00B30B54">
        <w:rPr>
          <w:rFonts w:cstheme="minorHAnsi"/>
        </w:rPr>
        <w:t xml:space="preserve"> </w:t>
      </w:r>
      <w:r w:rsidR="0015614B">
        <w:rPr>
          <w:rFonts w:cstheme="minorHAnsi"/>
        </w:rPr>
        <w:t xml:space="preserve">strategy </w:t>
      </w:r>
      <w:r w:rsidR="008747D2">
        <w:rPr>
          <w:rFonts w:cstheme="minorHAnsi"/>
        </w:rPr>
        <w:t>developed in partnership with Aboriginal communities from 2018</w:t>
      </w:r>
      <w:r w:rsidR="00E23478" w:rsidRPr="0046077A">
        <w:rPr>
          <w:rFonts w:cstheme="minorHAnsi"/>
        </w:rPr>
        <w:t>.</w:t>
      </w:r>
    </w:p>
    <w:p w14:paraId="40752971" w14:textId="3DCED125" w:rsidR="00584360" w:rsidRPr="0038598F" w:rsidRDefault="00257469" w:rsidP="00584360">
      <w:pPr>
        <w:spacing w:after="160"/>
        <w:jc w:val="both"/>
        <w:rPr>
          <w:rFonts w:eastAsia="Calibri" w:cstheme="minorHAnsi"/>
        </w:rPr>
      </w:pPr>
      <w:r>
        <w:rPr>
          <w:rFonts w:cstheme="minorHAnsi"/>
        </w:rPr>
        <w:t>The</w:t>
      </w:r>
      <w:r w:rsidR="00BA6EC1">
        <w:rPr>
          <w:rFonts w:cstheme="minorHAnsi"/>
        </w:rPr>
        <w:t xml:space="preserve"> government will</w:t>
      </w:r>
      <w:r w:rsidR="004C14E7">
        <w:rPr>
          <w:rFonts w:cstheme="minorHAnsi"/>
        </w:rPr>
        <w:t xml:space="preserve"> consider the potential for</w:t>
      </w:r>
      <w:r w:rsidR="00BA6EC1">
        <w:rPr>
          <w:rFonts w:cstheme="minorHAnsi"/>
        </w:rPr>
        <w:t xml:space="preserve"> </w:t>
      </w:r>
      <w:r w:rsidR="004C14E7">
        <w:rPr>
          <w:rFonts w:cstheme="minorHAnsi"/>
        </w:rPr>
        <w:t xml:space="preserve">a rural and remote mental health strategy in collaboration with </w:t>
      </w:r>
      <w:r w:rsidR="00BA6EC1">
        <w:rPr>
          <w:rFonts w:cstheme="minorHAnsi"/>
        </w:rPr>
        <w:t xml:space="preserve">the </w:t>
      </w:r>
      <w:r>
        <w:rPr>
          <w:rFonts w:cstheme="minorHAnsi"/>
        </w:rPr>
        <w:t xml:space="preserve">National </w:t>
      </w:r>
      <w:r w:rsidR="00BA6EC1">
        <w:rPr>
          <w:rFonts w:cstheme="minorHAnsi"/>
        </w:rPr>
        <w:t>Mental Health Commission</w:t>
      </w:r>
      <w:r>
        <w:rPr>
          <w:rFonts w:cstheme="minorHAnsi"/>
        </w:rPr>
        <w:t xml:space="preserve">, </w:t>
      </w:r>
      <w:r w:rsidR="004C14E7">
        <w:rPr>
          <w:rFonts w:cstheme="minorHAnsi"/>
        </w:rPr>
        <w:t>and raise the issue with the Council of Australian Governments (COAG) health council.</w:t>
      </w:r>
    </w:p>
    <w:p w14:paraId="40752972" w14:textId="605B83A9" w:rsidR="00257469" w:rsidRPr="00E46A70" w:rsidRDefault="00257469" w:rsidP="00E46A70">
      <w:pPr>
        <w:spacing w:after="0"/>
        <w:rPr>
          <w:rFonts w:cstheme="minorHAnsi"/>
        </w:rPr>
      </w:pPr>
      <w:r>
        <w:rPr>
          <w:rFonts w:cstheme="minorHAnsi"/>
        </w:rPr>
        <w:t xml:space="preserve">Such a strategy </w:t>
      </w:r>
      <w:r w:rsidR="004C14E7">
        <w:rPr>
          <w:rFonts w:cstheme="minorHAnsi"/>
        </w:rPr>
        <w:t>would</w:t>
      </w:r>
      <w:r>
        <w:rPr>
          <w:rFonts w:cstheme="minorHAnsi"/>
        </w:rPr>
        <w:t xml:space="preserve"> be complemented by the </w:t>
      </w:r>
      <w:r w:rsidR="00AA2E9F">
        <w:rPr>
          <w:rFonts w:cstheme="minorHAnsi"/>
        </w:rPr>
        <w:t xml:space="preserve">recently announced </w:t>
      </w:r>
      <w:r>
        <w:rPr>
          <w:rFonts w:cstheme="minorHAnsi"/>
        </w:rPr>
        <w:t xml:space="preserve">National Mental Health Workforce Strategy, </w:t>
      </w:r>
      <w:r w:rsidR="00AA2E9F">
        <w:rPr>
          <w:rFonts w:cstheme="minorHAnsi"/>
        </w:rPr>
        <w:t>which will provide options to attract, train and retain mental health workers to support the provision of mental health services, especially in rural and remote areas.</w:t>
      </w:r>
    </w:p>
    <w:p w14:paraId="40752974" w14:textId="273CACA3" w:rsidR="003B5452" w:rsidRPr="0046077A" w:rsidRDefault="000632D1" w:rsidP="00E91AB3">
      <w:pPr>
        <w:pStyle w:val="Heading2"/>
        <w:numPr>
          <w:ilvl w:val="1"/>
          <w:numId w:val="30"/>
        </w:numPr>
        <w:ind w:left="426"/>
      </w:pPr>
      <w:bookmarkStart w:id="12" w:name="_Toc5262025"/>
      <w:bookmarkStart w:id="13" w:name="_Toc11401971"/>
      <w:r>
        <w:t>All parties should take a</w:t>
      </w:r>
      <w:r w:rsidR="000600FF">
        <w:t xml:space="preserve"> p</w:t>
      </w:r>
      <w:r w:rsidR="003B5452" w:rsidRPr="0046077A">
        <w:t>lace-based, local approach</w:t>
      </w:r>
      <w:r w:rsidR="000600FF">
        <w:t xml:space="preserve"> to mental health</w:t>
      </w:r>
      <w:bookmarkEnd w:id="12"/>
      <w:bookmarkEnd w:id="13"/>
      <w:r w:rsidR="000600FF">
        <w:t xml:space="preserve"> </w:t>
      </w:r>
    </w:p>
    <w:p w14:paraId="40752976" w14:textId="77777777" w:rsidR="000600FF" w:rsidRPr="002C211E" w:rsidRDefault="000600FF" w:rsidP="00324426">
      <w:pPr>
        <w:pStyle w:val="Heading3"/>
      </w:pPr>
      <w:r w:rsidRPr="002C211E">
        <w:t>R</w:t>
      </w:r>
      <w:r w:rsidR="003B5452" w:rsidRPr="002C211E">
        <w:t>ecommendation 3</w:t>
      </w:r>
    </w:p>
    <w:p w14:paraId="40752977" w14:textId="77777777" w:rsidR="003B5452" w:rsidRDefault="003B5452" w:rsidP="003B5452">
      <w:pPr>
        <w:spacing w:after="0"/>
        <w:rPr>
          <w:rFonts w:cstheme="minorHAnsi"/>
        </w:rPr>
      </w:pPr>
      <w:r w:rsidRPr="0046077A">
        <w:rPr>
          <w:rFonts w:cstheme="minorHAnsi"/>
        </w:rPr>
        <w:t>The committee recommends an overa</w:t>
      </w:r>
      <w:r>
        <w:rPr>
          <w:rFonts w:cstheme="minorHAnsi"/>
        </w:rPr>
        <w:t xml:space="preserve">rching approach is taken by all </w:t>
      </w:r>
      <w:r w:rsidRPr="0046077A">
        <w:rPr>
          <w:rFonts w:cstheme="minorHAnsi"/>
        </w:rPr>
        <w:t>parties to guarantee that the design of mental healt</w:t>
      </w:r>
      <w:r>
        <w:rPr>
          <w:rFonts w:cstheme="minorHAnsi"/>
        </w:rPr>
        <w:t xml:space="preserve">h and wellbeing services starts </w:t>
      </w:r>
      <w:r w:rsidRPr="0046077A">
        <w:rPr>
          <w:rFonts w:cstheme="minorHAnsi"/>
        </w:rPr>
        <w:t>with local community input to ensure that all</w:t>
      </w:r>
      <w:r>
        <w:rPr>
          <w:rFonts w:cstheme="minorHAnsi"/>
        </w:rPr>
        <w:t xml:space="preserve"> rural and remote mental health </w:t>
      </w:r>
      <w:r w:rsidRPr="0046077A">
        <w:rPr>
          <w:rFonts w:cstheme="minorHAnsi"/>
        </w:rPr>
        <w:t xml:space="preserve">services meet the measure of 'the right care in the </w:t>
      </w:r>
      <w:r>
        <w:rPr>
          <w:rFonts w:cstheme="minorHAnsi"/>
        </w:rPr>
        <w:t xml:space="preserve">right place at the right time'. </w:t>
      </w:r>
      <w:r w:rsidRPr="0046077A">
        <w:rPr>
          <w:rFonts w:cstheme="minorHAnsi"/>
        </w:rPr>
        <w:t>This needs to be informed by best practice and international knowledge.</w:t>
      </w:r>
    </w:p>
    <w:p w14:paraId="40752979" w14:textId="77777777" w:rsidR="002C211E" w:rsidRPr="0055292B" w:rsidRDefault="002C211E" w:rsidP="0055292B">
      <w:pPr>
        <w:pStyle w:val="Heading4"/>
      </w:pPr>
      <w:r w:rsidRPr="0055292B">
        <w:t>Government response</w:t>
      </w:r>
    </w:p>
    <w:p w14:paraId="4075297A" w14:textId="77777777" w:rsidR="002908B2" w:rsidRPr="00A34125" w:rsidRDefault="002908B2" w:rsidP="0055292B">
      <w:pPr>
        <w:pStyle w:val="Heading5"/>
      </w:pPr>
      <w:r w:rsidRPr="00A34125">
        <w:t xml:space="preserve">The Government </w:t>
      </w:r>
      <w:r w:rsidRPr="00C055BD">
        <w:t>SUPPORTS</w:t>
      </w:r>
      <w:r w:rsidR="00257469">
        <w:t xml:space="preserve"> </w:t>
      </w:r>
      <w:r w:rsidRPr="00A34125">
        <w:t>this recommendation</w:t>
      </w:r>
      <w:r w:rsidR="000100F1" w:rsidRPr="00A34125">
        <w:t xml:space="preserve"> </w:t>
      </w:r>
    </w:p>
    <w:p w14:paraId="4075297C" w14:textId="77777777" w:rsidR="00E9776C" w:rsidRDefault="005822B8" w:rsidP="000100F1">
      <w:pPr>
        <w:spacing w:after="0"/>
        <w:rPr>
          <w:rFonts w:cstheme="minorHAnsi"/>
        </w:rPr>
      </w:pPr>
      <w:r>
        <w:rPr>
          <w:rFonts w:cstheme="minorHAnsi"/>
        </w:rPr>
        <w:t>T</w:t>
      </w:r>
      <w:r w:rsidR="002C2C97">
        <w:rPr>
          <w:rFonts w:cstheme="minorHAnsi"/>
        </w:rPr>
        <w:t>he principles underpinning this recommendation</w:t>
      </w:r>
      <w:r>
        <w:rPr>
          <w:rFonts w:cstheme="minorHAnsi"/>
        </w:rPr>
        <w:t xml:space="preserve"> are already embedded in the Australian Government’s approach to mental health</w:t>
      </w:r>
      <w:r w:rsidR="001F7450">
        <w:rPr>
          <w:rFonts w:cstheme="minorHAnsi"/>
        </w:rPr>
        <w:t>.</w:t>
      </w:r>
      <w:r w:rsidR="004C6CA3">
        <w:rPr>
          <w:rFonts w:cstheme="minorHAnsi"/>
        </w:rPr>
        <w:t xml:space="preserve"> L</w:t>
      </w:r>
      <w:r w:rsidR="00F5312F">
        <w:rPr>
          <w:rFonts w:cstheme="minorHAnsi"/>
        </w:rPr>
        <w:t xml:space="preserve">ocal community input and guidance is already </w:t>
      </w:r>
      <w:r w:rsidR="00F5312F">
        <w:rPr>
          <w:rFonts w:cstheme="minorHAnsi"/>
        </w:rPr>
        <w:lastRenderedPageBreak/>
        <w:t xml:space="preserve">built in to many government programs and initiatives, </w:t>
      </w:r>
      <w:r w:rsidR="004532B8">
        <w:rPr>
          <w:rFonts w:cstheme="minorHAnsi"/>
        </w:rPr>
        <w:t xml:space="preserve">but </w:t>
      </w:r>
      <w:r w:rsidR="00952678">
        <w:rPr>
          <w:rFonts w:cstheme="minorHAnsi"/>
        </w:rPr>
        <w:t>there is always more government can do to ensure</w:t>
      </w:r>
      <w:r w:rsidR="00E9776C">
        <w:rPr>
          <w:rFonts w:cstheme="minorHAnsi"/>
        </w:rPr>
        <w:t xml:space="preserve"> that</w:t>
      </w:r>
      <w:r w:rsidR="00952678">
        <w:rPr>
          <w:rFonts w:cstheme="minorHAnsi"/>
        </w:rPr>
        <w:t xml:space="preserve"> </w:t>
      </w:r>
      <w:r w:rsidR="00E9776C">
        <w:rPr>
          <w:rFonts w:cstheme="minorHAnsi"/>
        </w:rPr>
        <w:t xml:space="preserve">the </w:t>
      </w:r>
      <w:r w:rsidR="00B55EBE">
        <w:rPr>
          <w:rFonts w:cstheme="minorHAnsi"/>
        </w:rPr>
        <w:t>local</w:t>
      </w:r>
      <w:r w:rsidR="00E9776C">
        <w:rPr>
          <w:rFonts w:cstheme="minorHAnsi"/>
        </w:rPr>
        <w:t xml:space="preserve"> community’s</w:t>
      </w:r>
      <w:r w:rsidR="00B55EBE">
        <w:rPr>
          <w:rFonts w:cstheme="minorHAnsi"/>
        </w:rPr>
        <w:t xml:space="preserve"> </w:t>
      </w:r>
      <w:r w:rsidR="005B125E">
        <w:rPr>
          <w:rFonts w:cstheme="minorHAnsi"/>
        </w:rPr>
        <w:t>earl</w:t>
      </w:r>
      <w:r w:rsidR="00B55EBE">
        <w:rPr>
          <w:rFonts w:cstheme="minorHAnsi"/>
        </w:rPr>
        <w:t>y</w:t>
      </w:r>
      <w:r w:rsidR="005B125E">
        <w:rPr>
          <w:rFonts w:cstheme="minorHAnsi"/>
        </w:rPr>
        <w:t xml:space="preserve"> involvement in co-desig</w:t>
      </w:r>
      <w:r w:rsidR="00B55EBE">
        <w:rPr>
          <w:rFonts w:cstheme="minorHAnsi"/>
        </w:rPr>
        <w:t xml:space="preserve">ning programs </w:t>
      </w:r>
      <w:r w:rsidR="00952678">
        <w:rPr>
          <w:rFonts w:cstheme="minorHAnsi"/>
        </w:rPr>
        <w:t>is</w:t>
      </w:r>
      <w:r w:rsidR="00A72175">
        <w:rPr>
          <w:rFonts w:cstheme="minorHAnsi"/>
        </w:rPr>
        <w:t xml:space="preserve"> pursued </w:t>
      </w:r>
      <w:r w:rsidR="00952678">
        <w:rPr>
          <w:rFonts w:cstheme="minorHAnsi"/>
        </w:rPr>
        <w:t>as</w:t>
      </w:r>
      <w:r w:rsidR="00A72175">
        <w:rPr>
          <w:rFonts w:cstheme="minorHAnsi"/>
        </w:rPr>
        <w:t xml:space="preserve"> consistently </w:t>
      </w:r>
      <w:r w:rsidR="00063D72">
        <w:rPr>
          <w:rFonts w:cstheme="minorHAnsi"/>
        </w:rPr>
        <w:t xml:space="preserve">and </w:t>
      </w:r>
      <w:r w:rsidR="00EC07AE">
        <w:rPr>
          <w:rFonts w:cstheme="minorHAnsi"/>
        </w:rPr>
        <w:t xml:space="preserve">effectively as possible. </w:t>
      </w:r>
    </w:p>
    <w:p w14:paraId="4075297E" w14:textId="77777777" w:rsidR="00157227" w:rsidRDefault="002908B2" w:rsidP="000100F1">
      <w:pPr>
        <w:spacing w:after="0"/>
        <w:rPr>
          <w:rFonts w:cstheme="minorHAnsi"/>
        </w:rPr>
      </w:pPr>
      <w:r w:rsidRPr="00865954">
        <w:rPr>
          <w:rFonts w:cstheme="minorHAnsi"/>
        </w:rPr>
        <w:t xml:space="preserve">In 2015, the Australian Government established 31 </w:t>
      </w:r>
      <w:r w:rsidR="004532B8">
        <w:rPr>
          <w:rFonts w:cstheme="minorHAnsi"/>
        </w:rPr>
        <w:t>Primary Health Networks (</w:t>
      </w:r>
      <w:r w:rsidRPr="00865954">
        <w:rPr>
          <w:rFonts w:cstheme="minorHAnsi"/>
        </w:rPr>
        <w:t>PHNs</w:t>
      </w:r>
      <w:r w:rsidR="004532B8">
        <w:rPr>
          <w:rFonts w:cstheme="minorHAnsi"/>
        </w:rPr>
        <w:t>)</w:t>
      </w:r>
      <w:r w:rsidR="00452DE0">
        <w:rPr>
          <w:rFonts w:cstheme="minorHAnsi"/>
        </w:rPr>
        <w:t xml:space="preserve"> </w:t>
      </w:r>
      <w:r w:rsidR="00102F78">
        <w:rPr>
          <w:rFonts w:cstheme="minorHAnsi"/>
        </w:rPr>
        <w:t xml:space="preserve">and </w:t>
      </w:r>
      <w:r w:rsidR="00452DE0">
        <w:rPr>
          <w:rFonts w:cstheme="minorHAnsi"/>
        </w:rPr>
        <w:t xml:space="preserve">gave them </w:t>
      </w:r>
      <w:r w:rsidR="004C6CA3">
        <w:rPr>
          <w:rFonts w:cstheme="minorHAnsi"/>
        </w:rPr>
        <w:t>a primary</w:t>
      </w:r>
      <w:r w:rsidR="00452DE0">
        <w:rPr>
          <w:rFonts w:cstheme="minorHAnsi"/>
        </w:rPr>
        <w:t xml:space="preserve"> role </w:t>
      </w:r>
      <w:r w:rsidR="00F275FF">
        <w:rPr>
          <w:rFonts w:cstheme="minorHAnsi"/>
        </w:rPr>
        <w:t>in</w:t>
      </w:r>
      <w:r w:rsidR="00452DE0">
        <w:rPr>
          <w:rFonts w:cstheme="minorHAnsi"/>
        </w:rPr>
        <w:t xml:space="preserve"> </w:t>
      </w:r>
      <w:r w:rsidR="00724E9B">
        <w:rPr>
          <w:rFonts w:cstheme="minorHAnsi"/>
        </w:rPr>
        <w:t xml:space="preserve">planning and </w:t>
      </w:r>
      <w:r w:rsidR="00452DE0">
        <w:rPr>
          <w:rFonts w:cstheme="minorHAnsi"/>
        </w:rPr>
        <w:t xml:space="preserve">commissioning </w:t>
      </w:r>
      <w:r w:rsidR="00102F78">
        <w:t>primary mental health care services</w:t>
      </w:r>
      <w:r w:rsidR="00452DE0">
        <w:t xml:space="preserve"> (among other functions).</w:t>
      </w:r>
      <w:r w:rsidRPr="00865954">
        <w:rPr>
          <w:rFonts w:cstheme="minorHAnsi"/>
        </w:rPr>
        <w:t xml:space="preserve"> </w:t>
      </w:r>
      <w:r w:rsidR="00AE487E">
        <w:rPr>
          <w:rFonts w:cstheme="minorHAnsi"/>
        </w:rPr>
        <w:t xml:space="preserve">While </w:t>
      </w:r>
      <w:r w:rsidR="00CE0F26">
        <w:rPr>
          <w:rFonts w:cstheme="minorHAnsi"/>
        </w:rPr>
        <w:t xml:space="preserve">PHN capability development is continually improving, </w:t>
      </w:r>
      <w:r w:rsidR="0053202A">
        <w:rPr>
          <w:rFonts w:cstheme="minorHAnsi"/>
        </w:rPr>
        <w:t xml:space="preserve">the government sees </w:t>
      </w:r>
      <w:r w:rsidR="00AF647D">
        <w:rPr>
          <w:rFonts w:cstheme="minorHAnsi"/>
        </w:rPr>
        <w:t>their commissioning and monitoring role as providing</w:t>
      </w:r>
      <w:r w:rsidR="0053202A">
        <w:rPr>
          <w:rFonts w:cstheme="minorHAnsi"/>
        </w:rPr>
        <w:t xml:space="preserve"> </w:t>
      </w:r>
      <w:r w:rsidR="00157227">
        <w:rPr>
          <w:rFonts w:cstheme="minorHAnsi"/>
        </w:rPr>
        <w:t>good opportunities for co</w:t>
      </w:r>
      <w:r w:rsidR="004C6CA3">
        <w:rPr>
          <w:rFonts w:cstheme="minorHAnsi"/>
        </w:rPr>
        <w:t>-</w:t>
      </w:r>
      <w:r w:rsidR="00157227">
        <w:rPr>
          <w:rFonts w:cstheme="minorHAnsi"/>
        </w:rPr>
        <w:t>design with the local community.</w:t>
      </w:r>
    </w:p>
    <w:p w14:paraId="40752980" w14:textId="77777777" w:rsidR="005D5F1C" w:rsidRDefault="00816F9F" w:rsidP="000100F1">
      <w:pPr>
        <w:spacing w:after="0"/>
      </w:pPr>
      <w:r>
        <w:rPr>
          <w:rFonts w:cstheme="minorHAnsi"/>
        </w:rPr>
        <w:t xml:space="preserve">Active and regular engagement with local stakeholders is expected in both the development and implementation of </w:t>
      </w:r>
      <w:r w:rsidR="001C53DF">
        <w:rPr>
          <w:rFonts w:cstheme="minorHAnsi"/>
        </w:rPr>
        <w:t>PHN activities</w:t>
      </w:r>
      <w:r>
        <w:rPr>
          <w:rFonts w:cstheme="minorHAnsi"/>
        </w:rPr>
        <w:t xml:space="preserve">. PHNs are required to establish </w:t>
      </w:r>
      <w:r w:rsidRPr="00DD4E6E">
        <w:t xml:space="preserve">Clinical Councils and Community Advisory Committees </w:t>
      </w:r>
      <w:r>
        <w:t>made up of local representatives, and also to engage more broadly</w:t>
      </w:r>
      <w:r w:rsidR="00DC044F">
        <w:t xml:space="preserve"> than these bodies</w:t>
      </w:r>
      <w:r>
        <w:t xml:space="preserve">. </w:t>
      </w:r>
    </w:p>
    <w:p w14:paraId="40752982" w14:textId="77777777" w:rsidR="00653897" w:rsidRDefault="008236D5" w:rsidP="000100F1">
      <w:pPr>
        <w:spacing w:after="0"/>
        <w:rPr>
          <w:rFonts w:cstheme="minorHAnsi"/>
        </w:rPr>
      </w:pPr>
      <w:r>
        <w:rPr>
          <w:rFonts w:cstheme="minorHAnsi"/>
        </w:rPr>
        <w:t xml:space="preserve">While PHNs </w:t>
      </w:r>
      <w:r w:rsidR="001C3BFE">
        <w:rPr>
          <w:rFonts w:cstheme="minorHAnsi"/>
        </w:rPr>
        <w:t xml:space="preserve">vary </w:t>
      </w:r>
      <w:r w:rsidR="008B7774">
        <w:rPr>
          <w:rFonts w:cstheme="minorHAnsi"/>
        </w:rPr>
        <w:t>in structure</w:t>
      </w:r>
      <w:r w:rsidR="00174386">
        <w:rPr>
          <w:rFonts w:cstheme="minorHAnsi"/>
        </w:rPr>
        <w:t xml:space="preserve"> and </w:t>
      </w:r>
      <w:r w:rsidR="00E24BB5">
        <w:rPr>
          <w:rFonts w:cstheme="minorHAnsi"/>
        </w:rPr>
        <w:t>scope</w:t>
      </w:r>
      <w:r>
        <w:rPr>
          <w:rFonts w:cstheme="minorHAnsi"/>
        </w:rPr>
        <w:t>, reflecting local conditions,</w:t>
      </w:r>
      <w:r w:rsidR="001C3BFE">
        <w:rPr>
          <w:rFonts w:cstheme="minorHAnsi"/>
        </w:rPr>
        <w:t xml:space="preserve"> </w:t>
      </w:r>
      <w:r>
        <w:rPr>
          <w:rFonts w:cstheme="minorHAnsi"/>
        </w:rPr>
        <w:t>they</w:t>
      </w:r>
      <w:r w:rsidR="001C3BFE">
        <w:rPr>
          <w:rFonts w:cstheme="minorHAnsi"/>
        </w:rPr>
        <w:t xml:space="preserve"> work to a </w:t>
      </w:r>
      <w:r w:rsidR="00653897">
        <w:rPr>
          <w:rFonts w:cstheme="minorHAnsi"/>
        </w:rPr>
        <w:t>shared</w:t>
      </w:r>
      <w:r w:rsidR="00653897">
        <w:t xml:space="preserve"> </w:t>
      </w:r>
      <w:hyperlink r:id="rId16" w:history="1">
        <w:r w:rsidR="00653897" w:rsidRPr="0048696B">
          <w:rPr>
            <w:rStyle w:val="Hyperlink"/>
            <w:rFonts w:cs="Arial"/>
            <w:szCs w:val="28"/>
          </w:rPr>
          <w:t>PHN Program Performance and Quality Framework</w:t>
        </w:r>
      </w:hyperlink>
      <w:r w:rsidR="00653897">
        <w:t>.</w:t>
      </w:r>
      <w:r w:rsidR="0010192C">
        <w:t xml:space="preserve"> The first report will be finalised in the last quarter of 2019.</w:t>
      </w:r>
      <w:r w:rsidR="00865954" w:rsidRPr="00865954">
        <w:rPr>
          <w:rFonts w:cstheme="minorHAnsi"/>
        </w:rPr>
        <w:t xml:space="preserve"> </w:t>
      </w:r>
      <w:r w:rsidR="00653897">
        <w:rPr>
          <w:rFonts w:cstheme="minorHAnsi"/>
        </w:rPr>
        <w:t xml:space="preserve">Among the 54 performance indicators that </w:t>
      </w:r>
      <w:r w:rsidR="0010192C">
        <w:rPr>
          <w:rFonts w:cstheme="minorHAnsi"/>
        </w:rPr>
        <w:t xml:space="preserve">the Australian </w:t>
      </w:r>
      <w:r w:rsidR="00653897">
        <w:rPr>
          <w:rFonts w:cstheme="minorHAnsi"/>
        </w:rPr>
        <w:t xml:space="preserve">government </w:t>
      </w:r>
      <w:r w:rsidR="0010192C">
        <w:rPr>
          <w:rFonts w:cstheme="minorHAnsi"/>
        </w:rPr>
        <w:t xml:space="preserve">will be monitoring </w:t>
      </w:r>
      <w:r w:rsidR="00653897">
        <w:rPr>
          <w:rFonts w:cstheme="minorHAnsi"/>
        </w:rPr>
        <w:t>are the following:</w:t>
      </w:r>
    </w:p>
    <w:p w14:paraId="40752983" w14:textId="77777777" w:rsidR="003715DA" w:rsidRPr="003715DA" w:rsidRDefault="003715DA" w:rsidP="00E91AB3">
      <w:pPr>
        <w:pStyle w:val="ListParagraph"/>
      </w:pPr>
      <w:r w:rsidRPr="003715DA">
        <w:rPr>
          <w:lang w:val="en-US"/>
        </w:rPr>
        <w:t>The PHN has a Commissioning Framework which includes strategic planning, procuring services and monitoring and evaluation phases, with cultural appropriateness and stakeholder engagement considered throughout the process</w:t>
      </w:r>
      <w:r w:rsidR="008A3DED">
        <w:rPr>
          <w:lang w:val="en-US"/>
        </w:rPr>
        <w:t>.</w:t>
      </w:r>
    </w:p>
    <w:p w14:paraId="40752984" w14:textId="77777777" w:rsidR="00F05193" w:rsidRPr="00E516CD" w:rsidRDefault="004C6CA3" w:rsidP="00E91AB3">
      <w:pPr>
        <w:pStyle w:val="ListParagraph"/>
      </w:pPr>
      <w:r>
        <w:rPr>
          <w:lang w:val="en-US"/>
        </w:rPr>
        <w:t xml:space="preserve">The </w:t>
      </w:r>
      <w:r w:rsidR="00F05193" w:rsidRPr="002C211E">
        <w:rPr>
          <w:lang w:val="en-US"/>
        </w:rPr>
        <w:t>PHN engages with a broad range of stakeholders in its region</w:t>
      </w:r>
      <w:r w:rsidR="00F05193">
        <w:rPr>
          <w:lang w:val="en-US"/>
        </w:rPr>
        <w:t>.</w:t>
      </w:r>
    </w:p>
    <w:p w14:paraId="40752985" w14:textId="77777777" w:rsidR="00E516CD" w:rsidRPr="002C211E" w:rsidRDefault="004C6CA3" w:rsidP="00E91AB3">
      <w:pPr>
        <w:pStyle w:val="ListParagraph"/>
      </w:pPr>
      <w:r>
        <w:rPr>
          <w:lang w:val="en-US"/>
        </w:rPr>
        <w:t xml:space="preserve">The </w:t>
      </w:r>
      <w:r w:rsidR="00E516CD">
        <w:rPr>
          <w:lang w:val="en-US"/>
        </w:rPr>
        <w:t xml:space="preserve">PHN has at least one </w:t>
      </w:r>
      <w:r w:rsidR="009A4086" w:rsidRPr="008C79CF">
        <w:rPr>
          <w:lang w:val="en-US"/>
        </w:rPr>
        <w:t>Clinical Council and one</w:t>
      </w:r>
      <w:r w:rsidR="009A4086">
        <w:rPr>
          <w:lang w:val="en-US"/>
        </w:rPr>
        <w:t xml:space="preserve"> </w:t>
      </w:r>
      <w:r w:rsidR="00E516CD">
        <w:rPr>
          <w:lang w:val="en-US"/>
        </w:rPr>
        <w:t>Community Advisory Committee.</w:t>
      </w:r>
    </w:p>
    <w:p w14:paraId="40752986" w14:textId="77777777" w:rsidR="0013220C" w:rsidRPr="00C055BD" w:rsidRDefault="0092280A" w:rsidP="0013220C">
      <w:pPr>
        <w:spacing w:before="40" w:after="160"/>
      </w:pPr>
      <w:r w:rsidRPr="00C055BD">
        <w:t xml:space="preserve">Community programs </w:t>
      </w:r>
      <w:r w:rsidR="00E9776C" w:rsidRPr="00C055BD">
        <w:t>are</w:t>
      </w:r>
      <w:r w:rsidRPr="00C055BD">
        <w:t xml:space="preserve"> </w:t>
      </w:r>
      <w:r w:rsidR="00E9776C" w:rsidRPr="00C055BD">
        <w:t>also</w:t>
      </w:r>
      <w:r w:rsidRPr="00C055BD">
        <w:t xml:space="preserve"> delivered via the PHNs </w:t>
      </w:r>
      <w:r w:rsidR="006A13A7" w:rsidRPr="00C055BD">
        <w:t xml:space="preserve">since they have strong relationships in their areas. For example, </w:t>
      </w:r>
      <w:r w:rsidR="00552230" w:rsidRPr="00C055BD">
        <w:t xml:space="preserve">in the 2018-19 </w:t>
      </w:r>
      <w:r w:rsidR="00842274" w:rsidRPr="00C055BD">
        <w:t xml:space="preserve">financial year </w:t>
      </w:r>
      <w:r w:rsidR="00E25160">
        <w:t>this has included drought related mental health measures:</w:t>
      </w:r>
    </w:p>
    <w:p w14:paraId="40752987" w14:textId="77777777" w:rsidR="0013220C" w:rsidRPr="00C055BD" w:rsidRDefault="00E25160" w:rsidP="00E91AB3">
      <w:pPr>
        <w:pStyle w:val="ListParagraph"/>
      </w:pPr>
      <w:r>
        <w:t xml:space="preserve">$14.4 million over four years for </w:t>
      </w:r>
      <w:r w:rsidR="00257469" w:rsidRPr="00C055BD">
        <w:t xml:space="preserve">additional </w:t>
      </w:r>
      <w:r w:rsidR="0013220C" w:rsidRPr="00C055BD">
        <w:t xml:space="preserve">mental health support initiatives </w:t>
      </w:r>
      <w:r w:rsidR="00257469" w:rsidRPr="00C055BD">
        <w:t>for</w:t>
      </w:r>
      <w:r w:rsidR="0013220C" w:rsidRPr="00C055BD">
        <w:t xml:space="preserve"> farmers and communities </w:t>
      </w:r>
      <w:r>
        <w:t>to</w:t>
      </w:r>
      <w:r w:rsidR="0013220C" w:rsidRPr="00C055BD">
        <w:t xml:space="preserve"> </w:t>
      </w:r>
      <w:r w:rsidR="00257469" w:rsidRPr="00C055BD">
        <w:t xml:space="preserve">help people </w:t>
      </w:r>
      <w:r w:rsidR="0013220C" w:rsidRPr="00C055BD">
        <w:t xml:space="preserve">deal with the uncertainty, stress and anxiety of </w:t>
      </w:r>
      <w:r>
        <w:t xml:space="preserve">drought </w:t>
      </w:r>
      <w:r w:rsidR="0013220C" w:rsidRPr="00C055BD">
        <w:t>conditions</w:t>
      </w:r>
      <w:r w:rsidR="005822B8">
        <w:t xml:space="preserve"> and further assistance is being provided in the 2019/20 Budget for communities subject to natural disasters .</w:t>
      </w:r>
    </w:p>
    <w:p w14:paraId="40752988" w14:textId="77777777" w:rsidR="00F77E3D" w:rsidRPr="00E91AB3" w:rsidRDefault="0013220C" w:rsidP="00E91AB3">
      <w:pPr>
        <w:pStyle w:val="ListParagraph"/>
      </w:pPr>
      <w:r w:rsidRPr="00E91AB3">
        <w:t>$</w:t>
      </w:r>
      <w:r w:rsidR="006A05BC" w:rsidRPr="00E91AB3">
        <w:t xml:space="preserve">24.4 </w:t>
      </w:r>
      <w:r w:rsidRPr="00E91AB3">
        <w:t xml:space="preserve">million </w:t>
      </w:r>
      <w:r w:rsidR="004D5883" w:rsidRPr="00E91AB3">
        <w:t xml:space="preserve">over two years through the </w:t>
      </w:r>
      <w:hyperlink r:id="rId17" w:history="1">
        <w:r w:rsidRPr="00E91AB3">
          <w:rPr>
            <w:rStyle w:val="Hyperlink"/>
            <w:color w:val="auto"/>
            <w:u w:val="none"/>
          </w:rPr>
          <w:t>Empowering our Communities</w:t>
        </w:r>
      </w:hyperlink>
      <w:r w:rsidRPr="00E91AB3">
        <w:t xml:space="preserve"> initiative </w:t>
      </w:r>
      <w:r w:rsidR="004D5883" w:rsidRPr="00E91AB3">
        <w:t>for</w:t>
      </w:r>
      <w:r w:rsidR="002A51CA" w:rsidRPr="00E91AB3">
        <w:t xml:space="preserve"> small to medium community groups</w:t>
      </w:r>
      <w:r w:rsidR="004C6CA3" w:rsidRPr="00E91AB3">
        <w:t xml:space="preserve"> and </w:t>
      </w:r>
      <w:r w:rsidR="002A51CA" w:rsidRPr="00E91AB3">
        <w:t>organisations to provide free group-based activities</w:t>
      </w:r>
      <w:r w:rsidR="004C6CA3" w:rsidRPr="00E91AB3">
        <w:t xml:space="preserve">, </w:t>
      </w:r>
      <w:r w:rsidR="00BE74DB" w:rsidRPr="00E91AB3">
        <w:t>for support and to</w:t>
      </w:r>
      <w:r w:rsidR="002A51CA" w:rsidRPr="00E91AB3">
        <w:t xml:space="preserve"> reduce </w:t>
      </w:r>
      <w:r w:rsidR="004C6CA3" w:rsidRPr="00E91AB3">
        <w:t xml:space="preserve">the </w:t>
      </w:r>
      <w:r w:rsidR="002A51CA" w:rsidRPr="00E91AB3">
        <w:t xml:space="preserve">stigma associated with mental illness </w:t>
      </w:r>
      <w:r w:rsidR="006A05BC" w:rsidRPr="00E91AB3">
        <w:t>in nine drought affected communities</w:t>
      </w:r>
      <w:r w:rsidR="002A51CA" w:rsidRPr="00E91AB3">
        <w:t>.</w:t>
      </w:r>
    </w:p>
    <w:p w14:paraId="40752989" w14:textId="77777777" w:rsidR="00E25160" w:rsidRPr="00C055BD" w:rsidRDefault="00BE74DB" w:rsidP="00E91AB3">
      <w:pPr>
        <w:pStyle w:val="ListParagraph"/>
      </w:pPr>
      <w:r w:rsidRPr="00E91AB3">
        <w:t>A</w:t>
      </w:r>
      <w:r w:rsidR="00E25160" w:rsidRPr="00E91AB3">
        <w:t>ctivities that have been rolled out include workshops, classes and training on mental health</w:t>
      </w:r>
      <w:r w:rsidR="00E25160">
        <w:t xml:space="preserve"> topics such as mental health first aid, counselling and </w:t>
      </w:r>
      <w:r>
        <w:t>(for GPs and primary care workers) information about</w:t>
      </w:r>
      <w:r w:rsidR="00E25160">
        <w:t xml:space="preserve"> services and mental health </w:t>
      </w:r>
      <w:r>
        <w:t>support skills</w:t>
      </w:r>
      <w:r w:rsidR="00E25160">
        <w:t>.</w:t>
      </w:r>
      <w:r>
        <w:t xml:space="preserve"> </w:t>
      </w:r>
      <w:r w:rsidR="00E25160">
        <w:t>PHNs report strong interest and positive response</w:t>
      </w:r>
      <w:r w:rsidR="00587960">
        <w:t>s</w:t>
      </w:r>
      <w:r w:rsidR="00E25160">
        <w:t xml:space="preserve"> to activities funded under this initiative.</w:t>
      </w:r>
    </w:p>
    <w:p w14:paraId="4075298A" w14:textId="77777777" w:rsidR="0033315E" w:rsidRPr="001C53DF" w:rsidRDefault="001E2D46" w:rsidP="001C53DF">
      <w:pPr>
        <w:spacing w:before="40" w:after="160"/>
        <w:rPr>
          <w:bCs/>
          <w:lang w:val="en-US"/>
        </w:rPr>
      </w:pPr>
      <w:r w:rsidRPr="00B95D14">
        <w:t xml:space="preserve">The </w:t>
      </w:r>
      <w:r>
        <w:t xml:space="preserve">Australian Government </w:t>
      </w:r>
      <w:r w:rsidRPr="00B95D14">
        <w:t>Department of Health</w:t>
      </w:r>
      <w:r>
        <w:t xml:space="preserve"> </w:t>
      </w:r>
      <w:r w:rsidRPr="00B95D14">
        <w:rPr>
          <w:lang w:val="en-US"/>
        </w:rPr>
        <w:t xml:space="preserve">has developed a range of </w:t>
      </w:r>
      <w:hyperlink r:id="rId18" w:history="1">
        <w:r w:rsidRPr="001E2D46">
          <w:rPr>
            <w:rStyle w:val="Hyperlink"/>
            <w:lang w:val="en-US"/>
          </w:rPr>
          <w:t>guidance, tools and training materials</w:t>
        </w:r>
      </w:hyperlink>
      <w:r w:rsidRPr="00B95D14">
        <w:rPr>
          <w:lang w:val="en-US"/>
        </w:rPr>
        <w:t xml:space="preserve"> on key aspects of commissioning, to build PHN commissioning capability. </w:t>
      </w:r>
    </w:p>
    <w:p w14:paraId="4075298B" w14:textId="01AB11A3" w:rsidR="000600FF" w:rsidRDefault="000600FF" w:rsidP="00E91AB3">
      <w:pPr>
        <w:pStyle w:val="Heading2"/>
        <w:numPr>
          <w:ilvl w:val="1"/>
          <w:numId w:val="30"/>
        </w:numPr>
        <w:ind w:left="426"/>
      </w:pPr>
      <w:bookmarkStart w:id="14" w:name="_Toc5262026"/>
      <w:bookmarkStart w:id="15" w:name="_Toc11401972"/>
      <w:r w:rsidRPr="002C211E">
        <w:lastRenderedPageBreak/>
        <w:t xml:space="preserve">Making the </w:t>
      </w:r>
      <w:r w:rsidR="003B5452" w:rsidRPr="002C211E">
        <w:t>NDIS</w:t>
      </w:r>
      <w:r w:rsidRPr="002C211E">
        <w:t xml:space="preserve"> work better</w:t>
      </w:r>
      <w:bookmarkEnd w:id="14"/>
      <w:bookmarkEnd w:id="15"/>
    </w:p>
    <w:p w14:paraId="4075298D" w14:textId="77777777" w:rsidR="000600FF" w:rsidRPr="009C2BCB" w:rsidRDefault="003B5452" w:rsidP="00324426">
      <w:pPr>
        <w:pStyle w:val="Heading3"/>
      </w:pPr>
      <w:r w:rsidRPr="009C2BCB">
        <w:t>Recommendation 4</w:t>
      </w:r>
    </w:p>
    <w:p w14:paraId="4075298E" w14:textId="77777777" w:rsidR="003B5452" w:rsidRPr="0046077A" w:rsidRDefault="003B5452" w:rsidP="009C2BCB">
      <w:r w:rsidRPr="0046077A">
        <w:t>The committee recommends that the Natio</w:t>
      </w:r>
      <w:r>
        <w:t xml:space="preserve">nal Disability Insurance Agency </w:t>
      </w:r>
      <w:r w:rsidR="002D7B76">
        <w:t xml:space="preserve">(NDIA) </w:t>
      </w:r>
      <w:r w:rsidRPr="0046077A">
        <w:t>ensure</w:t>
      </w:r>
      <w:r w:rsidR="00D20743">
        <w:t>s</w:t>
      </w:r>
      <w:r w:rsidRPr="0046077A">
        <w:t xml:space="preserve"> that the implementation of the psychosoci</w:t>
      </w:r>
      <w:r>
        <w:t xml:space="preserve">al disability stream takes into </w:t>
      </w:r>
      <w:r w:rsidRPr="0046077A">
        <w:t>account the issues facing rural and remote com</w:t>
      </w:r>
      <w:r>
        <w:t xml:space="preserve">munities, including barriers to </w:t>
      </w:r>
      <w:r w:rsidRPr="0046077A">
        <w:t>accessing mental health services and the lack</w:t>
      </w:r>
      <w:r>
        <w:t xml:space="preserve"> of knowledge and experience in </w:t>
      </w:r>
      <w:r w:rsidRPr="0046077A">
        <w:t>both psychosocial disability and the National Disability Insurance Scheme</w:t>
      </w:r>
      <w:r w:rsidR="002D7B76">
        <w:t xml:space="preserve"> (NDIS)</w:t>
      </w:r>
      <w:r w:rsidRPr="0046077A">
        <w:t>.</w:t>
      </w:r>
    </w:p>
    <w:p w14:paraId="4075298F" w14:textId="77777777" w:rsidR="002C211E" w:rsidRDefault="006F251D" w:rsidP="00324426">
      <w:pPr>
        <w:pStyle w:val="Heading4"/>
        <w:rPr>
          <w:b w:val="0"/>
        </w:rPr>
      </w:pPr>
      <w:r w:rsidRPr="002C211E">
        <w:t>Government response</w:t>
      </w:r>
    </w:p>
    <w:p w14:paraId="40752990" w14:textId="77777777" w:rsidR="000100F1" w:rsidRPr="00A34125" w:rsidRDefault="000100F1" w:rsidP="0055292B">
      <w:pPr>
        <w:pStyle w:val="Heading5"/>
      </w:pPr>
      <w:r w:rsidRPr="00A34125">
        <w:t xml:space="preserve">The Government </w:t>
      </w:r>
      <w:r w:rsidRPr="00C055BD">
        <w:t>SUPPORTS</w:t>
      </w:r>
      <w:r w:rsidR="009D5294">
        <w:t xml:space="preserve"> </w:t>
      </w:r>
      <w:r w:rsidRPr="00A34125">
        <w:t xml:space="preserve">this recommendation </w:t>
      </w:r>
    </w:p>
    <w:p w14:paraId="40752991" w14:textId="77777777" w:rsidR="000100F1" w:rsidRPr="0017530A" w:rsidRDefault="000100F1" w:rsidP="000100F1">
      <w:pPr>
        <w:spacing w:line="259" w:lineRule="auto"/>
        <w:rPr>
          <w:rFonts w:cstheme="majorHAnsi"/>
          <w:b/>
          <w:lang w:val="en"/>
        </w:rPr>
      </w:pPr>
      <w:r w:rsidRPr="0017530A">
        <w:rPr>
          <w:rFonts w:cstheme="majorHAnsi"/>
          <w:lang w:val="en"/>
        </w:rPr>
        <w:t xml:space="preserve">The </w:t>
      </w:r>
      <w:r w:rsidRPr="0017530A">
        <w:rPr>
          <w:rFonts w:cstheme="majorHAnsi"/>
        </w:rPr>
        <w:t>NDIA</w:t>
      </w:r>
      <w:r w:rsidR="002D7B76">
        <w:rPr>
          <w:rFonts w:cstheme="majorHAnsi"/>
        </w:rPr>
        <w:t xml:space="preserve"> </w:t>
      </w:r>
      <w:r w:rsidRPr="0017530A">
        <w:rPr>
          <w:rFonts w:cstheme="majorHAnsi"/>
          <w:lang w:val="en"/>
        </w:rPr>
        <w:t xml:space="preserve">recognises that a single pathway approach for the </w:t>
      </w:r>
      <w:r w:rsidR="002D7B76">
        <w:rPr>
          <w:rFonts w:cstheme="majorHAnsi"/>
          <w:lang w:val="en"/>
        </w:rPr>
        <w:t>NDIS</w:t>
      </w:r>
      <w:r w:rsidRPr="0017530A">
        <w:rPr>
          <w:rFonts w:cstheme="majorHAnsi"/>
          <w:lang w:val="en"/>
        </w:rPr>
        <w:t xml:space="preserve"> is not suitable for all people with disability and has developed tailored pathway improvements for people who have specific requirements. </w:t>
      </w:r>
      <w:r w:rsidR="009A6727">
        <w:rPr>
          <w:rFonts w:cstheme="majorHAnsi"/>
          <w:lang w:val="en"/>
        </w:rPr>
        <w:t>D</w:t>
      </w:r>
      <w:r w:rsidRPr="0017530A">
        <w:rPr>
          <w:rFonts w:cstheme="majorHAnsi"/>
          <w:lang w:val="en"/>
        </w:rPr>
        <w:t>ifferent approaches have been designed to provide the appropriate level of support necessary to provide a consistent experience for all participants</w:t>
      </w:r>
      <w:r w:rsidR="00E46F9A">
        <w:rPr>
          <w:rFonts w:cstheme="majorHAnsi"/>
          <w:lang w:val="en"/>
        </w:rPr>
        <w:t>. They</w:t>
      </w:r>
      <w:r w:rsidRPr="0017530A">
        <w:rPr>
          <w:rFonts w:cstheme="majorHAnsi"/>
          <w:lang w:val="en"/>
        </w:rPr>
        <w:t xml:space="preserve"> are being rolled out progressively.</w:t>
      </w:r>
    </w:p>
    <w:p w14:paraId="40752992" w14:textId="717470F7" w:rsidR="000100F1" w:rsidRDefault="00D20743" w:rsidP="000100F1">
      <w:pPr>
        <w:spacing w:line="259" w:lineRule="auto"/>
        <w:rPr>
          <w:rFonts w:cstheme="majorHAnsi"/>
          <w:lang w:val="en"/>
        </w:rPr>
      </w:pPr>
      <w:r>
        <w:rPr>
          <w:rFonts w:cstheme="majorHAnsi"/>
        </w:rPr>
        <w:t>This includes a</w:t>
      </w:r>
      <w:r w:rsidR="000100F1" w:rsidRPr="0017530A">
        <w:rPr>
          <w:rFonts w:cstheme="majorHAnsi"/>
        </w:rPr>
        <w:t xml:space="preserve"> new Psychosocial Disability Stream, announced in </w:t>
      </w:r>
      <w:r w:rsidR="000100F1" w:rsidRPr="0017530A">
        <w:rPr>
          <w:rFonts w:cstheme="majorHAnsi"/>
          <w:lang w:val="en"/>
        </w:rPr>
        <w:t>October 2018, and a range of other</w:t>
      </w:r>
      <w:r w:rsidR="00402CBE">
        <w:rPr>
          <w:rFonts w:cstheme="majorHAnsi"/>
          <w:lang w:val="en"/>
        </w:rPr>
        <w:t xml:space="preserve"> </w:t>
      </w:r>
      <w:r w:rsidR="000100F1" w:rsidRPr="0017530A">
        <w:rPr>
          <w:rFonts w:cstheme="majorHAnsi"/>
          <w:lang w:val="en"/>
        </w:rPr>
        <w:t>participant pathway reforms that take into account the issues facing rural and remote communities.</w:t>
      </w:r>
      <w:r w:rsidR="00402CBE">
        <w:rPr>
          <w:rFonts w:cstheme="majorHAnsi"/>
          <w:lang w:val="en"/>
        </w:rPr>
        <w:t xml:space="preserve"> </w:t>
      </w:r>
      <w:r w:rsidR="000100F1" w:rsidRPr="0017530A">
        <w:rPr>
          <w:rFonts w:cstheme="majorHAnsi"/>
          <w:lang w:val="en"/>
        </w:rPr>
        <w:t>The</w:t>
      </w:r>
      <w:r w:rsidR="00402CBE">
        <w:rPr>
          <w:rFonts w:cstheme="majorHAnsi"/>
          <w:lang w:val="en"/>
        </w:rPr>
        <w:t xml:space="preserve">se </w:t>
      </w:r>
      <w:r w:rsidR="000100F1" w:rsidRPr="0017530A">
        <w:rPr>
          <w:rFonts w:cstheme="majorHAnsi"/>
          <w:lang w:val="en"/>
        </w:rPr>
        <w:t>reform</w:t>
      </w:r>
      <w:r w:rsidR="00402CBE">
        <w:rPr>
          <w:rFonts w:cstheme="majorHAnsi"/>
          <w:lang w:val="en"/>
        </w:rPr>
        <w:t>s</w:t>
      </w:r>
      <w:r w:rsidR="000100F1" w:rsidRPr="0017530A">
        <w:rPr>
          <w:rFonts w:cstheme="majorHAnsi"/>
          <w:lang w:val="en"/>
        </w:rPr>
        <w:t xml:space="preserve"> address the secto</w:t>
      </w:r>
      <w:r w:rsidR="00336516">
        <w:rPr>
          <w:rFonts w:cstheme="majorHAnsi"/>
          <w:lang w:val="en"/>
        </w:rPr>
        <w:t>r’s key concerns and prioritise</w:t>
      </w:r>
      <w:r w:rsidR="000100F1" w:rsidRPr="0017530A">
        <w:rPr>
          <w:rFonts w:cstheme="majorHAnsi"/>
          <w:lang w:val="en"/>
        </w:rPr>
        <w:t xml:space="preserve"> the development of staff skill-sets about the needs of people requiring mental health support</w:t>
      </w:r>
      <w:r w:rsidR="000100F1">
        <w:rPr>
          <w:rFonts w:cstheme="majorHAnsi"/>
          <w:lang w:val="en"/>
        </w:rPr>
        <w:t>, including those in rural and remote communities</w:t>
      </w:r>
      <w:r w:rsidR="00E91AB3">
        <w:rPr>
          <w:rFonts w:cstheme="majorHAnsi"/>
          <w:lang w:val="en"/>
        </w:rPr>
        <w:t>.</w:t>
      </w:r>
    </w:p>
    <w:p w14:paraId="40752993" w14:textId="77777777" w:rsidR="00336516" w:rsidRPr="0017530A" w:rsidRDefault="000F087A" w:rsidP="00AB1A69">
      <w:pPr>
        <w:rPr>
          <w:rFonts w:cstheme="majorHAnsi"/>
          <w:lang w:val="en"/>
        </w:rPr>
      </w:pPr>
      <w:r>
        <w:rPr>
          <w:rFonts w:cstheme="majorHAnsi"/>
          <w:lang w:val="en"/>
        </w:rPr>
        <w:t>As at 31 December 2018, o</w:t>
      </w:r>
      <w:r w:rsidR="00336516">
        <w:rPr>
          <w:rFonts w:cstheme="majorHAnsi"/>
          <w:lang w:val="en"/>
        </w:rPr>
        <w:t xml:space="preserve">f all </w:t>
      </w:r>
      <w:r w:rsidR="00AB1A69">
        <w:rPr>
          <w:rFonts w:cstheme="majorHAnsi"/>
          <w:lang w:val="en"/>
        </w:rPr>
        <w:t xml:space="preserve">NDIS </w:t>
      </w:r>
      <w:r w:rsidR="00336516">
        <w:rPr>
          <w:rFonts w:cstheme="majorHAnsi"/>
          <w:lang w:val="en"/>
        </w:rPr>
        <w:t>participants who have ever met access requirements, 23,714 (8.5%) have a primary psychosocial disability and 44,751 (16%) have a primary or secondary psychosocial disability.</w:t>
      </w:r>
      <w:r w:rsidR="00AB1A69">
        <w:rPr>
          <w:rFonts w:cstheme="majorHAnsi"/>
          <w:lang w:val="en"/>
        </w:rPr>
        <w:t xml:space="preserve"> Of those with a primary psychosocial disability, people in rural and remote areas currently make up around 19.5% (4,481 people).</w:t>
      </w:r>
    </w:p>
    <w:p w14:paraId="40752994" w14:textId="77777777" w:rsidR="000100F1" w:rsidRPr="0017530A" w:rsidRDefault="000100F1" w:rsidP="000100F1">
      <w:pPr>
        <w:spacing w:line="259" w:lineRule="auto"/>
        <w:rPr>
          <w:rFonts w:cstheme="majorHAnsi"/>
          <w:lang w:val="en"/>
        </w:rPr>
      </w:pPr>
      <w:r w:rsidRPr="0017530A">
        <w:rPr>
          <w:rFonts w:cstheme="majorHAnsi"/>
          <w:lang w:val="en"/>
        </w:rPr>
        <w:t>The key components of the Psychosocial Disability Stream include:</w:t>
      </w:r>
    </w:p>
    <w:p w14:paraId="40752995" w14:textId="77777777" w:rsidR="000100F1" w:rsidRPr="00E91AB3" w:rsidRDefault="000100F1" w:rsidP="00E91AB3">
      <w:pPr>
        <w:pStyle w:val="ListParagraph"/>
      </w:pPr>
      <w:r w:rsidRPr="00E91AB3">
        <w:t>Employing specialised planners and</w:t>
      </w:r>
      <w:r w:rsidR="00F96816" w:rsidRPr="00E91AB3">
        <w:t xml:space="preserve"> Local Area Coordinators </w:t>
      </w:r>
      <w:r w:rsidRPr="00E91AB3">
        <w:t>to ensure participants have a</w:t>
      </w:r>
      <w:r w:rsidR="00F96816" w:rsidRPr="00E91AB3">
        <w:t>ccess to psychosocial expertise</w:t>
      </w:r>
    </w:p>
    <w:p w14:paraId="40752996" w14:textId="77777777" w:rsidR="000100F1" w:rsidRPr="00337E46" w:rsidRDefault="000100F1" w:rsidP="00E91AB3">
      <w:pPr>
        <w:pStyle w:val="ListParagraph"/>
      </w:pPr>
      <w:r w:rsidRPr="00E91AB3">
        <w:t>A staffing and recruitment strategy that is targeted at building significant capacity in ps</w:t>
      </w:r>
      <w:r w:rsidRPr="00337E46">
        <w:t>ychosocial disability and mental health expertise through:</w:t>
      </w:r>
    </w:p>
    <w:p w14:paraId="40752997" w14:textId="77777777" w:rsidR="000100F1" w:rsidRDefault="000100F1" w:rsidP="0027066D">
      <w:pPr>
        <w:pStyle w:val="ListParagraph"/>
        <w:numPr>
          <w:ilvl w:val="1"/>
          <w:numId w:val="6"/>
        </w:numPr>
        <w:autoSpaceDE w:val="0"/>
        <w:autoSpaceDN w:val="0"/>
        <w:adjustRightInd w:val="0"/>
        <w:spacing w:after="0"/>
        <w:ind w:left="1080"/>
        <w:jc w:val="both"/>
        <w:rPr>
          <w:rFonts w:cstheme="majorHAnsi"/>
        </w:rPr>
      </w:pPr>
      <w:r w:rsidRPr="00337E46">
        <w:rPr>
          <w:rFonts w:cstheme="majorHAnsi"/>
        </w:rPr>
        <w:t>Learning and Development strategies on psychosocial disability and mental health delivering training and education through a combination of on</w:t>
      </w:r>
      <w:r>
        <w:rPr>
          <w:rFonts w:cstheme="majorHAnsi"/>
        </w:rPr>
        <w:t>line, face-to-</w:t>
      </w:r>
      <w:r w:rsidRPr="00337E46">
        <w:rPr>
          <w:rFonts w:cstheme="majorHAnsi"/>
        </w:rPr>
        <w:t>fac</w:t>
      </w:r>
      <w:r w:rsidR="00A17B61">
        <w:rPr>
          <w:rFonts w:cstheme="majorHAnsi"/>
        </w:rPr>
        <w:t>e training and mentor coaching</w:t>
      </w:r>
      <w:r w:rsidRPr="00337E46">
        <w:rPr>
          <w:rFonts w:cstheme="majorHAnsi"/>
        </w:rPr>
        <w:t xml:space="preserve"> </w:t>
      </w:r>
    </w:p>
    <w:p w14:paraId="40752998" w14:textId="77777777" w:rsidR="000100F1" w:rsidRPr="00ED2361" w:rsidRDefault="000100F1" w:rsidP="0027066D">
      <w:pPr>
        <w:pStyle w:val="ListParagraph"/>
        <w:numPr>
          <w:ilvl w:val="1"/>
          <w:numId w:val="6"/>
        </w:numPr>
        <w:autoSpaceDE w:val="0"/>
        <w:autoSpaceDN w:val="0"/>
        <w:adjustRightInd w:val="0"/>
        <w:spacing w:after="0"/>
        <w:ind w:left="1080"/>
        <w:jc w:val="both"/>
        <w:rPr>
          <w:rFonts w:cstheme="majorHAnsi"/>
        </w:rPr>
      </w:pPr>
      <w:r>
        <w:rPr>
          <w:rFonts w:cstheme="majorHAnsi"/>
        </w:rPr>
        <w:t>S</w:t>
      </w:r>
      <w:r w:rsidRPr="00337E46">
        <w:rPr>
          <w:rFonts w:cstheme="majorHAnsi"/>
        </w:rPr>
        <w:t xml:space="preserve">trengthening the connection between existing mental </w:t>
      </w:r>
      <w:r w:rsidRPr="00ED2361">
        <w:rPr>
          <w:rFonts w:cstheme="majorHAnsi"/>
        </w:rPr>
        <w:t>health servic</w:t>
      </w:r>
      <w:r w:rsidR="00A17B61">
        <w:rPr>
          <w:rFonts w:cstheme="majorHAnsi"/>
        </w:rPr>
        <w:t>es and NDIA staff and partners</w:t>
      </w:r>
    </w:p>
    <w:p w14:paraId="40752999" w14:textId="77777777" w:rsidR="000100F1" w:rsidRDefault="000100F1" w:rsidP="0027066D">
      <w:pPr>
        <w:pStyle w:val="ListParagraph"/>
        <w:numPr>
          <w:ilvl w:val="1"/>
          <w:numId w:val="6"/>
        </w:numPr>
        <w:autoSpaceDE w:val="0"/>
        <w:autoSpaceDN w:val="0"/>
        <w:adjustRightInd w:val="0"/>
        <w:spacing w:after="0"/>
        <w:ind w:left="1080"/>
        <w:jc w:val="both"/>
        <w:rPr>
          <w:rFonts w:cstheme="majorHAnsi"/>
        </w:rPr>
      </w:pPr>
      <w:r>
        <w:rPr>
          <w:rFonts w:cstheme="majorHAnsi"/>
        </w:rPr>
        <w:t>F</w:t>
      </w:r>
      <w:r w:rsidRPr="00ED2361">
        <w:rPr>
          <w:rFonts w:cstheme="majorHAnsi"/>
        </w:rPr>
        <w:t>ocusing on recovery-ba</w:t>
      </w:r>
      <w:r w:rsidR="00A17B61">
        <w:rPr>
          <w:rFonts w:cstheme="majorHAnsi"/>
        </w:rPr>
        <w:t>sed planning and episodic needs</w:t>
      </w:r>
    </w:p>
    <w:p w14:paraId="4075299A" w14:textId="77777777" w:rsidR="000100F1" w:rsidRPr="00ED2361" w:rsidRDefault="000100F1" w:rsidP="0027066D">
      <w:pPr>
        <w:pStyle w:val="ListParagraph"/>
        <w:numPr>
          <w:ilvl w:val="1"/>
          <w:numId w:val="6"/>
        </w:numPr>
        <w:autoSpaceDE w:val="0"/>
        <w:autoSpaceDN w:val="0"/>
        <w:adjustRightInd w:val="0"/>
        <w:spacing w:after="0"/>
        <w:ind w:left="1080"/>
        <w:jc w:val="both"/>
        <w:rPr>
          <w:rFonts w:cstheme="majorHAnsi"/>
        </w:rPr>
      </w:pPr>
      <w:r>
        <w:rPr>
          <w:rFonts w:cstheme="majorHAnsi"/>
        </w:rPr>
        <w:t>A</w:t>
      </w:r>
      <w:r w:rsidRPr="00ED2361">
        <w:rPr>
          <w:rFonts w:cstheme="majorHAnsi"/>
        </w:rPr>
        <w:t xml:space="preserve">ssisting potential participants who </w:t>
      </w:r>
      <w:r>
        <w:rPr>
          <w:rFonts w:cstheme="majorHAnsi"/>
        </w:rPr>
        <w:t xml:space="preserve">are likely to be eligible, but unlikely to engage, with knowledge about the </w:t>
      </w:r>
      <w:r w:rsidR="00F96816">
        <w:rPr>
          <w:rFonts w:cstheme="majorHAnsi"/>
        </w:rPr>
        <w:t>NDIS</w:t>
      </w:r>
      <w:r>
        <w:rPr>
          <w:rFonts w:cstheme="majorHAnsi"/>
        </w:rPr>
        <w:t xml:space="preserve"> and how it can he</w:t>
      </w:r>
      <w:r w:rsidR="00A17B61">
        <w:rPr>
          <w:rFonts w:cstheme="majorHAnsi"/>
        </w:rPr>
        <w:t>lp them to improve their lives</w:t>
      </w:r>
    </w:p>
    <w:p w14:paraId="4075299B" w14:textId="77777777" w:rsidR="000100F1" w:rsidRPr="00024181" w:rsidRDefault="000100F1" w:rsidP="00F96816">
      <w:pPr>
        <w:rPr>
          <w:rFonts w:cstheme="majorHAnsi"/>
          <w:lang w:val="en"/>
        </w:rPr>
      </w:pPr>
      <w:r w:rsidRPr="00024181">
        <w:rPr>
          <w:rFonts w:cstheme="majorHAnsi"/>
          <w:lang w:val="en"/>
        </w:rPr>
        <w:t>As part of the pathway reform, the NDIA is also rolling out a number of service enhancements to facilitate</w:t>
      </w:r>
      <w:r w:rsidR="00C315B3">
        <w:rPr>
          <w:rFonts w:cstheme="majorHAnsi"/>
          <w:lang w:val="en"/>
        </w:rPr>
        <w:t xml:space="preserve"> access to the NDIS. These focus </w:t>
      </w:r>
      <w:r w:rsidRPr="00024181">
        <w:rPr>
          <w:rFonts w:cstheme="majorHAnsi"/>
          <w:lang w:val="en"/>
        </w:rPr>
        <w:t xml:space="preserve">on culturally competent and responsive services, community appropriate services and communication and information that is </w:t>
      </w:r>
      <w:r w:rsidRPr="004D7539">
        <w:rPr>
          <w:rFonts w:cstheme="majorHAnsi"/>
          <w:lang w:val="en"/>
        </w:rPr>
        <w:t xml:space="preserve">locally tailored for Aboriginal and Torres Strait Islander </w:t>
      </w:r>
      <w:r w:rsidRPr="00024181">
        <w:rPr>
          <w:rFonts w:cstheme="majorHAnsi"/>
          <w:lang w:val="en"/>
        </w:rPr>
        <w:t>people</w:t>
      </w:r>
      <w:r w:rsidR="00F96816">
        <w:rPr>
          <w:rFonts w:cstheme="majorHAnsi"/>
          <w:lang w:val="en"/>
        </w:rPr>
        <w:t>s</w:t>
      </w:r>
      <w:r w:rsidRPr="00024181">
        <w:rPr>
          <w:rFonts w:cstheme="majorHAnsi"/>
          <w:lang w:val="en"/>
        </w:rPr>
        <w:t xml:space="preserve">. </w:t>
      </w:r>
    </w:p>
    <w:p w14:paraId="4075299C" w14:textId="77777777" w:rsidR="000100F1" w:rsidRDefault="000100F1" w:rsidP="000100F1">
      <w:pPr>
        <w:spacing w:line="259" w:lineRule="auto"/>
        <w:rPr>
          <w:rFonts w:cstheme="majorHAnsi"/>
          <w:lang w:val="en"/>
        </w:rPr>
      </w:pPr>
      <w:r w:rsidRPr="00024181">
        <w:rPr>
          <w:rFonts w:cstheme="majorHAnsi"/>
          <w:lang w:val="en"/>
        </w:rPr>
        <w:lastRenderedPageBreak/>
        <w:t xml:space="preserve">The NDIA will be providing tailored training to the Remote Community Connectors as well as funding positions within </w:t>
      </w:r>
      <w:r w:rsidR="00587960">
        <w:rPr>
          <w:rFonts w:cstheme="majorHAnsi"/>
          <w:lang w:val="en"/>
        </w:rPr>
        <w:t>Aboriginal Controlled Community Health Organisations (</w:t>
      </w:r>
      <w:r w:rsidR="00E96840">
        <w:rPr>
          <w:rFonts w:cstheme="minorHAnsi"/>
        </w:rPr>
        <w:t>ACC</w:t>
      </w:r>
      <w:r w:rsidR="005822B8">
        <w:rPr>
          <w:rFonts w:cstheme="minorHAnsi"/>
        </w:rPr>
        <w:t>H</w:t>
      </w:r>
      <w:r w:rsidR="00E96840">
        <w:rPr>
          <w:rFonts w:cstheme="minorHAnsi"/>
        </w:rPr>
        <w:t>Os</w:t>
      </w:r>
      <w:r w:rsidR="00587960">
        <w:rPr>
          <w:rFonts w:cstheme="minorHAnsi"/>
        </w:rPr>
        <w:t>)</w:t>
      </w:r>
      <w:r w:rsidR="00E96840" w:rsidRPr="00024181">
        <w:rPr>
          <w:rFonts w:cstheme="majorHAnsi"/>
          <w:lang w:val="en"/>
        </w:rPr>
        <w:t xml:space="preserve"> </w:t>
      </w:r>
      <w:r w:rsidRPr="00024181">
        <w:rPr>
          <w:rFonts w:cstheme="majorHAnsi"/>
          <w:lang w:val="en"/>
        </w:rPr>
        <w:t>to undertake assistance with access, evidence and coordination of planning functions.</w:t>
      </w:r>
    </w:p>
    <w:p w14:paraId="4075299D" w14:textId="77777777" w:rsidR="000100F1" w:rsidRDefault="000100F1" w:rsidP="000100F1">
      <w:pPr>
        <w:spacing w:line="259" w:lineRule="auto"/>
        <w:rPr>
          <w:rFonts w:cstheme="majorHAnsi"/>
          <w:lang w:val="en"/>
        </w:rPr>
      </w:pPr>
      <w:r>
        <w:rPr>
          <w:rFonts w:cstheme="majorHAnsi"/>
          <w:lang w:val="en"/>
        </w:rPr>
        <w:t xml:space="preserve">The NDIA has </w:t>
      </w:r>
      <w:r w:rsidR="00E96840">
        <w:rPr>
          <w:rFonts w:cstheme="majorHAnsi"/>
          <w:lang w:val="en"/>
        </w:rPr>
        <w:t>made new</w:t>
      </w:r>
      <w:r>
        <w:rPr>
          <w:rFonts w:cstheme="majorHAnsi"/>
          <w:lang w:val="en"/>
        </w:rPr>
        <w:t xml:space="preserve"> arrangements to better manage the implementation of psychosocial disability policies, which include a focus on rural and remote issues:</w:t>
      </w:r>
    </w:p>
    <w:p w14:paraId="4075299E" w14:textId="77777777" w:rsidR="000100F1" w:rsidRPr="00E91AB3" w:rsidRDefault="000100F1" w:rsidP="00E91AB3">
      <w:pPr>
        <w:pStyle w:val="ListParagraph"/>
      </w:pPr>
      <w:r w:rsidRPr="00E91AB3">
        <w:t>Overall accountability for implementation through newly the established Advisory S</w:t>
      </w:r>
      <w:r w:rsidR="00F96816" w:rsidRPr="00E91AB3">
        <w:t>ervices Division (October 2018)</w:t>
      </w:r>
    </w:p>
    <w:p w14:paraId="4075299F" w14:textId="77777777" w:rsidR="000100F1" w:rsidRPr="00E91AB3" w:rsidRDefault="000100F1" w:rsidP="00E91AB3">
      <w:pPr>
        <w:pStyle w:val="ListParagraph"/>
      </w:pPr>
      <w:r w:rsidRPr="00E91AB3">
        <w:t>Establishment of the Communities of Practice Branch with responsibilities to support practice improvement and consistency of approach through staff training, consultancy and development of information strat</w:t>
      </w:r>
      <w:r w:rsidR="00F96816" w:rsidRPr="00E91AB3">
        <w:t>egies and production guidelines</w:t>
      </w:r>
      <w:r w:rsidR="00F24DDD" w:rsidRPr="00E91AB3">
        <w:t xml:space="preserve"> </w:t>
      </w:r>
    </w:p>
    <w:p w14:paraId="407529A0" w14:textId="77777777" w:rsidR="000100F1" w:rsidRPr="00E91AB3" w:rsidRDefault="000100F1" w:rsidP="00E91AB3">
      <w:pPr>
        <w:pStyle w:val="ListParagraph"/>
      </w:pPr>
      <w:r w:rsidRPr="00E91AB3">
        <w:t xml:space="preserve">Establishment of the Complex </w:t>
      </w:r>
      <w:r w:rsidR="002E07B1" w:rsidRPr="00E91AB3">
        <w:t xml:space="preserve">Support </w:t>
      </w:r>
      <w:r w:rsidRPr="00E91AB3">
        <w:t>Needs Branch with responsibility for appointment of Specialist Psychosocial Disability Planners and Mental Health and Psyc</w:t>
      </w:r>
      <w:r w:rsidR="00F96816" w:rsidRPr="00E91AB3">
        <w:t>hosocial Disability small and medium providers</w:t>
      </w:r>
      <w:r w:rsidR="008450C4" w:rsidRPr="00E91AB3">
        <w:t>. Ninety planners are in place as at March 2019.</w:t>
      </w:r>
    </w:p>
    <w:p w14:paraId="407529A1" w14:textId="77777777" w:rsidR="000100F1" w:rsidRPr="00E91AB3" w:rsidRDefault="000100F1" w:rsidP="00E91AB3">
      <w:pPr>
        <w:pStyle w:val="ListParagraph"/>
      </w:pPr>
      <w:r w:rsidRPr="00E91AB3">
        <w:t>Increasing the number of specialist planning positi</w:t>
      </w:r>
      <w:r w:rsidR="00F96816" w:rsidRPr="00E91AB3">
        <w:t>ons in 2018-19 and future years</w:t>
      </w:r>
    </w:p>
    <w:p w14:paraId="407529A2" w14:textId="77777777" w:rsidR="000100F1" w:rsidRPr="00E91AB3" w:rsidRDefault="000100F1" w:rsidP="00E91AB3">
      <w:pPr>
        <w:pStyle w:val="ListParagraph"/>
      </w:pPr>
      <w:r w:rsidRPr="00E91AB3">
        <w:t xml:space="preserve">Strategic planning and stakeholder engagement actively managed through the Strategic Advice, </w:t>
      </w:r>
      <w:r w:rsidR="00F96816" w:rsidRPr="00E91AB3">
        <w:t>Research and Inclusion Division</w:t>
      </w:r>
    </w:p>
    <w:p w14:paraId="407529A3" w14:textId="77777777" w:rsidR="000100F1" w:rsidRPr="00E91AB3" w:rsidRDefault="000100F1" w:rsidP="00E91AB3">
      <w:pPr>
        <w:pStyle w:val="ListParagraph"/>
      </w:pPr>
      <w:r w:rsidRPr="00E91AB3">
        <w:t xml:space="preserve">Development of a Strategic Plan on Mental Health </w:t>
      </w:r>
      <w:r w:rsidR="00F96816" w:rsidRPr="00E91AB3">
        <w:t>and Psychosocial Disability</w:t>
      </w:r>
      <w:r w:rsidR="00F24DDD" w:rsidRPr="00E91AB3">
        <w:t xml:space="preserve"> </w:t>
      </w:r>
    </w:p>
    <w:p w14:paraId="407529A4" w14:textId="77777777" w:rsidR="000100F1" w:rsidRPr="00671318" w:rsidRDefault="00754E01" w:rsidP="00E91AB3">
      <w:pPr>
        <w:pStyle w:val="ListParagraph"/>
        <w:rPr>
          <w:lang w:val="en"/>
        </w:rPr>
      </w:pPr>
      <w:r w:rsidRPr="00E91AB3">
        <w:t>A</w:t>
      </w:r>
      <w:r w:rsidR="000F087A" w:rsidRPr="00E91AB3">
        <w:t>n NDIS Participant</w:t>
      </w:r>
      <w:r w:rsidR="000F087A">
        <w:rPr>
          <w:lang w:val="en"/>
        </w:rPr>
        <w:t xml:space="preserve"> Employment</w:t>
      </w:r>
      <w:r w:rsidR="000100F1" w:rsidRPr="00671318">
        <w:rPr>
          <w:lang w:val="en"/>
        </w:rPr>
        <w:t xml:space="preserve"> </w:t>
      </w:r>
      <w:r w:rsidR="008450C4">
        <w:rPr>
          <w:lang w:val="en"/>
        </w:rPr>
        <w:t xml:space="preserve">Taskforce </w:t>
      </w:r>
      <w:r w:rsidR="000100F1" w:rsidRPr="00671318">
        <w:rPr>
          <w:lang w:val="en"/>
        </w:rPr>
        <w:t>to examine strategies for improving employment rates for people with disabilities, including people with mental health issues in rural and remote communities</w:t>
      </w:r>
      <w:r w:rsidR="00A34125">
        <w:rPr>
          <w:lang w:val="en"/>
        </w:rPr>
        <w:t>.</w:t>
      </w:r>
    </w:p>
    <w:p w14:paraId="407529A6" w14:textId="09AD1B3B" w:rsidR="003B5452" w:rsidRDefault="00A34125" w:rsidP="00E91AB3">
      <w:pPr>
        <w:pStyle w:val="Heading2"/>
        <w:numPr>
          <w:ilvl w:val="1"/>
          <w:numId w:val="30"/>
        </w:numPr>
        <w:ind w:left="426"/>
      </w:pPr>
      <w:bookmarkStart w:id="16" w:name="_Toc5262027"/>
      <w:bookmarkStart w:id="17" w:name="_Toc11401973"/>
      <w:r>
        <w:t>Changing</w:t>
      </w:r>
      <w:r w:rsidR="009E0A19">
        <w:t xml:space="preserve"> the way</w:t>
      </w:r>
      <w:r w:rsidR="000600FF">
        <w:t xml:space="preserve"> </w:t>
      </w:r>
      <w:r w:rsidR="009E0A19">
        <w:t xml:space="preserve">government commissions </w:t>
      </w:r>
      <w:r w:rsidR="000600FF">
        <w:t>mental health services</w:t>
      </w:r>
      <w:bookmarkEnd w:id="16"/>
      <w:bookmarkEnd w:id="17"/>
      <w:r w:rsidR="000600FF">
        <w:t xml:space="preserve"> </w:t>
      </w:r>
    </w:p>
    <w:p w14:paraId="407529A7" w14:textId="77777777" w:rsidR="003B5452" w:rsidRPr="002C211E" w:rsidRDefault="003B5452" w:rsidP="0055292B">
      <w:pPr>
        <w:pStyle w:val="Heading3"/>
      </w:pPr>
      <w:r w:rsidRPr="002C211E">
        <w:t>Recommendation 5</w:t>
      </w:r>
    </w:p>
    <w:p w14:paraId="407529A8" w14:textId="77777777" w:rsidR="003B5452" w:rsidRDefault="003B5452" w:rsidP="003B5452">
      <w:pPr>
        <w:spacing w:after="0"/>
        <w:rPr>
          <w:rFonts w:cstheme="minorHAnsi"/>
        </w:rPr>
      </w:pPr>
      <w:r w:rsidRPr="0046077A">
        <w:rPr>
          <w:rFonts w:cstheme="minorHAnsi"/>
        </w:rPr>
        <w:t>The committee recommends that Co</w:t>
      </w:r>
      <w:r>
        <w:rPr>
          <w:rFonts w:cstheme="minorHAnsi"/>
        </w:rPr>
        <w:t xml:space="preserve">mmonwealth, State and Territory </w:t>
      </w:r>
      <w:r w:rsidRPr="0046077A">
        <w:rPr>
          <w:rFonts w:cstheme="minorHAnsi"/>
        </w:rPr>
        <w:t>Governments should develop longer minimum co</w:t>
      </w:r>
      <w:r>
        <w:rPr>
          <w:rFonts w:cstheme="minorHAnsi"/>
        </w:rPr>
        <w:t xml:space="preserve">ntract lengths for commissioned </w:t>
      </w:r>
      <w:r w:rsidRPr="0046077A">
        <w:rPr>
          <w:rFonts w:cstheme="minorHAnsi"/>
        </w:rPr>
        <w:t>mental health services in regional, rural and remote locations.</w:t>
      </w:r>
    </w:p>
    <w:p w14:paraId="407529AA" w14:textId="77777777" w:rsidR="00096D22" w:rsidRPr="002C211E" w:rsidRDefault="00096D22" w:rsidP="0055292B">
      <w:pPr>
        <w:pStyle w:val="Heading3"/>
      </w:pPr>
      <w:r w:rsidRPr="002C211E">
        <w:t>Recommendation 6</w:t>
      </w:r>
    </w:p>
    <w:p w14:paraId="407529AB" w14:textId="77777777" w:rsidR="00096D22" w:rsidRDefault="00096D22" w:rsidP="00096D22">
      <w:pPr>
        <w:spacing w:after="0"/>
        <w:rPr>
          <w:rFonts w:cstheme="minorHAnsi"/>
        </w:rPr>
      </w:pPr>
      <w:r w:rsidRPr="0046077A">
        <w:rPr>
          <w:rFonts w:cstheme="minorHAnsi"/>
        </w:rPr>
        <w:t>The committee recommends that Co</w:t>
      </w:r>
      <w:r>
        <w:rPr>
          <w:rFonts w:cstheme="minorHAnsi"/>
        </w:rPr>
        <w:t xml:space="preserve">mmonwealth, State and Territory </w:t>
      </w:r>
      <w:r w:rsidRPr="0046077A">
        <w:rPr>
          <w:rFonts w:cstheme="minorHAnsi"/>
        </w:rPr>
        <w:t>Governments should develop policies to allow men</w:t>
      </w:r>
      <w:r>
        <w:rPr>
          <w:rFonts w:cstheme="minorHAnsi"/>
        </w:rPr>
        <w:t xml:space="preserve">tal health service contracts to </w:t>
      </w:r>
      <w:r w:rsidRPr="0046077A">
        <w:rPr>
          <w:rFonts w:cstheme="minorHAnsi"/>
        </w:rPr>
        <w:t>be extended where a service provider can demonstra</w:t>
      </w:r>
      <w:r>
        <w:rPr>
          <w:rFonts w:cstheme="minorHAnsi"/>
        </w:rPr>
        <w:t xml:space="preserve">te the efficacy and suitability </w:t>
      </w:r>
      <w:r w:rsidRPr="0046077A">
        <w:rPr>
          <w:rFonts w:cstheme="minorHAnsi"/>
        </w:rPr>
        <w:t>of the services provided, and a genuine con</w:t>
      </w:r>
      <w:r>
        <w:rPr>
          <w:rFonts w:cstheme="minorHAnsi"/>
        </w:rPr>
        <w:t>nection to the local community.</w:t>
      </w:r>
    </w:p>
    <w:p w14:paraId="407529AD" w14:textId="77777777" w:rsidR="002C211E" w:rsidRPr="002C211E" w:rsidRDefault="002C211E" w:rsidP="0055292B">
      <w:pPr>
        <w:pStyle w:val="Heading4"/>
      </w:pPr>
      <w:r w:rsidRPr="002C211E">
        <w:t>Government response</w:t>
      </w:r>
    </w:p>
    <w:p w14:paraId="407529AE" w14:textId="77777777" w:rsidR="002C211E" w:rsidRPr="00A34125" w:rsidRDefault="00931856" w:rsidP="0055292B">
      <w:pPr>
        <w:pStyle w:val="Heading5"/>
      </w:pPr>
      <w:r w:rsidRPr="00A34125">
        <w:t>The Govern</w:t>
      </w:r>
      <w:r w:rsidR="00AD76A4" w:rsidRPr="00A34125">
        <w:t xml:space="preserve">ment </w:t>
      </w:r>
      <w:r w:rsidR="00171494" w:rsidRPr="00A34125">
        <w:t>SUPPORTS</w:t>
      </w:r>
      <w:r w:rsidR="00AD76A4" w:rsidRPr="00A34125">
        <w:t xml:space="preserve"> th</w:t>
      </w:r>
      <w:r w:rsidR="00096D22" w:rsidRPr="00A34125">
        <w:t>ese</w:t>
      </w:r>
      <w:r w:rsidR="00AD76A4" w:rsidRPr="00A34125">
        <w:t xml:space="preserve"> recommendation</w:t>
      </w:r>
      <w:r w:rsidR="00096D22" w:rsidRPr="00A34125">
        <w:t>s</w:t>
      </w:r>
      <w:r w:rsidR="00AF006A" w:rsidRPr="00A34125">
        <w:t xml:space="preserve"> </w:t>
      </w:r>
    </w:p>
    <w:p w14:paraId="407529B0" w14:textId="77777777" w:rsidR="00A24F04" w:rsidRDefault="00A24F04" w:rsidP="00A24F04">
      <w:pPr>
        <w:spacing w:before="40" w:after="160"/>
      </w:pPr>
      <w:r>
        <w:t xml:space="preserve">Increasing long-term funding certainty for PHNs has been a key priority for </w:t>
      </w:r>
      <w:r w:rsidR="005822B8">
        <w:t xml:space="preserve">the Australian </w:t>
      </w:r>
      <w:r>
        <w:t xml:space="preserve">government and for PHNs. </w:t>
      </w:r>
    </w:p>
    <w:p w14:paraId="407529B1" w14:textId="77777777" w:rsidR="001E6005" w:rsidRDefault="00A24F04" w:rsidP="001E6005">
      <w:pPr>
        <w:spacing w:before="40" w:after="160"/>
        <w:rPr>
          <w:rFonts w:cs="Arial"/>
          <w:color w:val="000000" w:themeColor="text1"/>
          <w:szCs w:val="28"/>
        </w:rPr>
      </w:pPr>
      <w:r>
        <w:t xml:space="preserve">In 2017 </w:t>
      </w:r>
      <w:r w:rsidR="005822B8">
        <w:t xml:space="preserve">the Australian </w:t>
      </w:r>
      <w:r>
        <w:t>g</w:t>
      </w:r>
      <w:r w:rsidR="001E6005">
        <w:t xml:space="preserve">overnment extended PHN core funding for an additional three years and agreed to a 12-month performance-based contract extension model, which gives eligible PHNs an ongoing three-year funding horizon. </w:t>
      </w:r>
      <w:r w:rsidR="001E6005">
        <w:rPr>
          <w:rFonts w:cs="Arial"/>
          <w:color w:val="000000" w:themeColor="text1"/>
          <w:szCs w:val="28"/>
        </w:rPr>
        <w:t>In late 2018,</w:t>
      </w:r>
      <w:r w:rsidR="005822B8">
        <w:rPr>
          <w:rFonts w:cs="Arial"/>
          <w:color w:val="000000" w:themeColor="text1"/>
          <w:szCs w:val="28"/>
        </w:rPr>
        <w:t xml:space="preserve"> the Australian</w:t>
      </w:r>
      <w:r w:rsidR="001E6005">
        <w:rPr>
          <w:rFonts w:cs="Arial"/>
          <w:color w:val="000000" w:themeColor="text1"/>
          <w:szCs w:val="28"/>
        </w:rPr>
        <w:t xml:space="preserve"> government agreed to this same funding extension model for two other major streams of PHN funding: </w:t>
      </w:r>
      <w:hyperlink r:id="rId19" w:history="1">
        <w:r w:rsidR="001E6005" w:rsidRPr="00E06D3C">
          <w:rPr>
            <w:rStyle w:val="Hyperlink"/>
            <w:rFonts w:cs="Arial"/>
            <w:szCs w:val="28"/>
          </w:rPr>
          <w:t>mental health</w:t>
        </w:r>
      </w:hyperlink>
      <w:r w:rsidR="001E6005">
        <w:rPr>
          <w:rFonts w:cs="Arial"/>
          <w:color w:val="000000" w:themeColor="text1"/>
          <w:szCs w:val="28"/>
        </w:rPr>
        <w:t xml:space="preserve"> (including Indigenous mental health) and alcohol and other drugs. </w:t>
      </w:r>
    </w:p>
    <w:p w14:paraId="407529B2" w14:textId="77777777" w:rsidR="001E6005" w:rsidRDefault="001E6005" w:rsidP="001E6005">
      <w:pPr>
        <w:spacing w:before="40" w:after="160"/>
      </w:pPr>
      <w:r>
        <w:rPr>
          <w:rFonts w:cs="Arial"/>
          <w:color w:val="000000" w:themeColor="text1"/>
          <w:szCs w:val="28"/>
        </w:rPr>
        <w:lastRenderedPageBreak/>
        <w:t xml:space="preserve">As a result of this decision, mental health funding for PHNs will now be extended to 30 June 2022, and extended annually for an additional 12 months on an ongoing basis, for those PHNs </w:t>
      </w:r>
      <w:r>
        <w:t xml:space="preserve">that satisfactorily </w:t>
      </w:r>
      <w:r w:rsidR="009A4086" w:rsidRPr="008C79CF">
        <w:t>comply with their contractual obligations and</w:t>
      </w:r>
      <w:r w:rsidR="009A4086">
        <w:t xml:space="preserve"> </w:t>
      </w:r>
      <w:r>
        <w:t xml:space="preserve">meet performance criteria under the </w:t>
      </w:r>
      <w:hyperlink r:id="rId20" w:history="1">
        <w:r w:rsidRPr="0048696B">
          <w:rPr>
            <w:rStyle w:val="Hyperlink"/>
            <w:rFonts w:cs="Arial"/>
            <w:szCs w:val="28"/>
          </w:rPr>
          <w:t>PHN Program Performance and Quality Framework</w:t>
        </w:r>
      </w:hyperlink>
      <w:r>
        <w:rPr>
          <w:rStyle w:val="Hyperlink"/>
          <w:rFonts w:cs="Arial"/>
          <w:szCs w:val="28"/>
        </w:rPr>
        <w:t>.</w:t>
      </w:r>
      <w:r>
        <w:rPr>
          <w:rFonts w:cs="Arial"/>
          <w:color w:val="000000" w:themeColor="text1"/>
          <w:szCs w:val="28"/>
        </w:rPr>
        <w:t xml:space="preserve"> This funding extension model will give PHNs the certainty to undertake longer-term local planning and to enter into longer contracts with service providers should this be appropriate.</w:t>
      </w:r>
    </w:p>
    <w:p w14:paraId="407529B3" w14:textId="77777777" w:rsidR="001E6005" w:rsidRPr="00B95D14" w:rsidRDefault="001E6005" w:rsidP="001E6005">
      <w:pPr>
        <w:spacing w:before="40" w:after="160"/>
      </w:pPr>
      <w:r w:rsidRPr="00B95D14">
        <w:t xml:space="preserve">PHNs may extend contracts with existing commissioned service providers (including mental health providers) rather than approaching the market in every case. </w:t>
      </w:r>
      <w:r>
        <w:t xml:space="preserve">Their </w:t>
      </w:r>
      <w:r w:rsidRPr="00B95D14">
        <w:t>decisions to extend contracts are based on a number of factors, including:</w:t>
      </w:r>
    </w:p>
    <w:p w14:paraId="407529B4" w14:textId="77777777" w:rsidR="001E6005" w:rsidRPr="00B95D14" w:rsidRDefault="001E6005" w:rsidP="001E6005">
      <w:pPr>
        <w:pStyle w:val="ListParagraph"/>
        <w:numPr>
          <w:ilvl w:val="0"/>
          <w:numId w:val="10"/>
        </w:numPr>
        <w:spacing w:before="40" w:after="160" w:line="288" w:lineRule="auto"/>
      </w:pPr>
      <w:r w:rsidRPr="00B95D14">
        <w:t>the outcomes from monitoring and evaluating existing commissioned services in terms of efficac</w:t>
      </w:r>
      <w:r>
        <w:t>y in addressing community needs</w:t>
      </w:r>
      <w:r w:rsidRPr="00B95D14">
        <w:t xml:space="preserve"> </w:t>
      </w:r>
    </w:p>
    <w:p w14:paraId="407529B5" w14:textId="77777777" w:rsidR="001E6005" w:rsidRPr="00B95D14" w:rsidRDefault="001E6005" w:rsidP="001E6005">
      <w:pPr>
        <w:pStyle w:val="ListParagraph"/>
        <w:numPr>
          <w:ilvl w:val="0"/>
          <w:numId w:val="10"/>
        </w:numPr>
        <w:spacing w:before="40" w:after="160" w:line="288" w:lineRule="auto"/>
      </w:pPr>
      <w:r>
        <w:t>value for money</w:t>
      </w:r>
    </w:p>
    <w:p w14:paraId="407529B6" w14:textId="77777777" w:rsidR="001E6005" w:rsidRPr="00B95D14" w:rsidRDefault="001E6005" w:rsidP="001E6005">
      <w:pPr>
        <w:pStyle w:val="ListParagraph"/>
        <w:numPr>
          <w:ilvl w:val="0"/>
          <w:numId w:val="10"/>
        </w:numPr>
        <w:spacing w:before="40" w:after="160" w:line="288" w:lineRule="auto"/>
      </w:pPr>
      <w:r w:rsidRPr="00B95D14">
        <w:t xml:space="preserve">the nature and </w:t>
      </w:r>
      <w:r>
        <w:t>scale of the services required</w:t>
      </w:r>
    </w:p>
    <w:p w14:paraId="407529B7" w14:textId="77777777" w:rsidR="001E6005" w:rsidRPr="00B95D14" w:rsidRDefault="001E6005" w:rsidP="001E6005">
      <w:pPr>
        <w:pStyle w:val="ListParagraph"/>
        <w:numPr>
          <w:ilvl w:val="0"/>
          <w:numId w:val="10"/>
        </w:numPr>
        <w:spacing w:before="40" w:after="160" w:line="288" w:lineRule="auto"/>
      </w:pPr>
      <w:r w:rsidRPr="00B95D14">
        <w:t>the magnitude and duration of the available funding for those services</w:t>
      </w:r>
    </w:p>
    <w:p w14:paraId="407529B8" w14:textId="77777777" w:rsidR="001E6005" w:rsidRPr="00B95D14" w:rsidRDefault="001E6005" w:rsidP="001E6005">
      <w:pPr>
        <w:pStyle w:val="ListParagraph"/>
        <w:numPr>
          <w:ilvl w:val="0"/>
          <w:numId w:val="10"/>
        </w:numPr>
        <w:spacing w:before="40" w:after="160" w:line="288" w:lineRule="auto"/>
      </w:pPr>
      <w:r w:rsidRPr="00B95D14">
        <w:t xml:space="preserve">the capability and development of the </w:t>
      </w:r>
      <w:r>
        <w:t>service provider market</w:t>
      </w:r>
    </w:p>
    <w:p w14:paraId="407529B9" w14:textId="77777777" w:rsidR="001E6005" w:rsidRDefault="001E6005" w:rsidP="001E6005">
      <w:pPr>
        <w:widowControl w:val="0"/>
        <w:spacing w:before="9"/>
        <w:rPr>
          <w:lang w:val="en-US"/>
        </w:rPr>
      </w:pPr>
      <w:r>
        <w:t xml:space="preserve">As noted above, the </w:t>
      </w:r>
      <w:r w:rsidRPr="00B95D14">
        <w:t>Department of Health</w:t>
      </w:r>
      <w:r>
        <w:t xml:space="preserve"> </w:t>
      </w:r>
      <w:r w:rsidRPr="00B95D14">
        <w:rPr>
          <w:lang w:val="en-US"/>
        </w:rPr>
        <w:t xml:space="preserve">has developed a range of </w:t>
      </w:r>
      <w:hyperlink r:id="rId21" w:history="1">
        <w:r w:rsidRPr="00196A0F">
          <w:rPr>
            <w:rStyle w:val="Hyperlink"/>
            <w:lang w:val="en-US"/>
          </w:rPr>
          <w:t>guidance, tools and training materials</w:t>
        </w:r>
      </w:hyperlink>
      <w:r w:rsidRPr="00B95D14">
        <w:rPr>
          <w:lang w:val="en-US"/>
        </w:rPr>
        <w:t xml:space="preserve"> to build PHN commissioning capability. </w:t>
      </w:r>
    </w:p>
    <w:p w14:paraId="407529BA" w14:textId="77777777" w:rsidR="00171494" w:rsidRDefault="00171494" w:rsidP="001E6005">
      <w:pPr>
        <w:widowControl w:val="0"/>
        <w:spacing w:before="9"/>
        <w:rPr>
          <w:rFonts w:eastAsia="Arial" w:cstheme="majorHAnsi"/>
          <w:bCs/>
        </w:rPr>
      </w:pPr>
      <w:r w:rsidRPr="00D9086D">
        <w:rPr>
          <w:rFonts w:eastAsia="Arial" w:cstheme="majorHAnsi"/>
          <w:bCs/>
        </w:rPr>
        <w:t xml:space="preserve">The </w:t>
      </w:r>
      <w:hyperlink r:id="rId22" w:history="1">
        <w:r w:rsidRPr="00AA105A">
          <w:rPr>
            <w:rStyle w:val="Hyperlink"/>
            <w:rFonts w:eastAsia="Arial" w:cstheme="majorHAnsi"/>
            <w:bCs/>
          </w:rPr>
          <w:t>Commonwealth Grants Rules and Guidelines 2017</w:t>
        </w:r>
      </w:hyperlink>
      <w:r w:rsidRPr="00D9086D" w:rsidDel="006868EC">
        <w:rPr>
          <w:rFonts w:eastAsia="Arial" w:cstheme="majorHAnsi"/>
          <w:bCs/>
        </w:rPr>
        <w:t xml:space="preserve"> </w:t>
      </w:r>
      <w:r w:rsidR="00F13F13">
        <w:rPr>
          <w:rFonts w:eastAsia="Arial" w:cstheme="majorHAnsi"/>
          <w:bCs/>
        </w:rPr>
        <w:t xml:space="preserve">applying across government </w:t>
      </w:r>
      <w:r w:rsidRPr="00D9086D">
        <w:rPr>
          <w:rFonts w:eastAsia="Arial" w:cstheme="majorHAnsi"/>
          <w:bCs/>
        </w:rPr>
        <w:t>encourage officials to consider longer-term grant agreements where appropriat</w:t>
      </w:r>
      <w:r>
        <w:rPr>
          <w:rFonts w:eastAsia="Arial" w:cstheme="majorHAnsi"/>
          <w:bCs/>
        </w:rPr>
        <w:t>e, in order to achieve outcomes:</w:t>
      </w:r>
    </w:p>
    <w:p w14:paraId="407529BB" w14:textId="77777777" w:rsidR="00171494" w:rsidRDefault="00171494" w:rsidP="00A34125">
      <w:pPr>
        <w:pStyle w:val="Bullet1"/>
        <w:numPr>
          <w:ilvl w:val="0"/>
          <w:numId w:val="0"/>
        </w:numPr>
        <w:spacing w:line="276" w:lineRule="auto"/>
        <w:ind w:left="720"/>
      </w:pPr>
      <w:r>
        <w:t>‘Officials should consider the use of longer</w:t>
      </w:r>
      <w:r w:rsidR="00767B9D">
        <w:t>-</w:t>
      </w:r>
      <w:r>
        <w:t>term grant agreements, where appropriate. When considering the length of term of grant agreements, officials should consider the administrative costs involved for the entity and grantees. Longer term grant agreements may better achieve value with relevant money and government policy outcomes, than conducting multiple grant opportunities with grant agreements of shorter</w:t>
      </w:r>
      <w:r w:rsidR="00F673AE">
        <w:t>-</w:t>
      </w:r>
      <w:r>
        <w:t>term duration.’</w:t>
      </w:r>
    </w:p>
    <w:p w14:paraId="407529BC" w14:textId="1A40469D" w:rsidR="00171494" w:rsidRPr="00D9086D" w:rsidRDefault="00E16759" w:rsidP="00171494">
      <w:pPr>
        <w:widowControl w:val="0"/>
        <w:spacing w:before="9"/>
        <w:rPr>
          <w:rFonts w:eastAsia="Arial" w:cstheme="majorHAnsi"/>
          <w:bCs/>
        </w:rPr>
      </w:pPr>
      <w:r>
        <w:rPr>
          <w:rFonts w:eastAsia="Arial" w:cstheme="majorHAnsi"/>
          <w:bCs/>
        </w:rPr>
        <w:t>The</w:t>
      </w:r>
      <w:r w:rsidR="00171494" w:rsidRPr="00D9086D">
        <w:rPr>
          <w:rFonts w:eastAsia="Arial" w:cstheme="majorHAnsi"/>
          <w:bCs/>
        </w:rPr>
        <w:t xml:space="preserve"> Department of Social Services funds the Family Mental </w:t>
      </w:r>
      <w:r w:rsidR="00171494">
        <w:rPr>
          <w:rFonts w:eastAsia="Arial" w:cstheme="majorHAnsi"/>
          <w:bCs/>
        </w:rPr>
        <w:t xml:space="preserve">Health Support Services </w:t>
      </w:r>
      <w:r w:rsidR="00171494" w:rsidRPr="00D9086D">
        <w:rPr>
          <w:rFonts w:eastAsia="Arial" w:cstheme="majorHAnsi"/>
          <w:bCs/>
        </w:rPr>
        <w:t xml:space="preserve">program </w:t>
      </w:r>
      <w:r w:rsidR="00171494">
        <w:rPr>
          <w:rFonts w:eastAsia="Arial" w:cstheme="majorHAnsi"/>
          <w:bCs/>
        </w:rPr>
        <w:t>for grant terms of three years</w:t>
      </w:r>
      <w:r w:rsidR="00E33256">
        <w:rPr>
          <w:rFonts w:eastAsia="Arial" w:cstheme="majorHAnsi"/>
          <w:bCs/>
        </w:rPr>
        <w:t xml:space="preserve"> with</w:t>
      </w:r>
      <w:r w:rsidR="005A3E70">
        <w:rPr>
          <w:rFonts w:eastAsia="Arial" w:cstheme="majorHAnsi"/>
          <w:bCs/>
        </w:rPr>
        <w:t xml:space="preserve"> </w:t>
      </w:r>
      <w:r w:rsidR="005A3E70" w:rsidRPr="00D9086D">
        <w:rPr>
          <w:rFonts w:eastAsia="Arial" w:cstheme="majorHAnsi"/>
          <w:bCs/>
        </w:rPr>
        <w:t xml:space="preserve">funding continued </w:t>
      </w:r>
      <w:r w:rsidR="001D7EF7">
        <w:rPr>
          <w:rFonts w:eastAsia="Arial" w:cstheme="majorHAnsi"/>
          <w:bCs/>
        </w:rPr>
        <w:t xml:space="preserve">where there is </w:t>
      </w:r>
      <w:r w:rsidR="005A3E70" w:rsidRPr="00D9086D">
        <w:rPr>
          <w:rFonts w:eastAsia="Arial" w:cstheme="majorHAnsi"/>
          <w:bCs/>
        </w:rPr>
        <w:t>good performance and governance</w:t>
      </w:r>
      <w:r w:rsidR="005A3E70">
        <w:rPr>
          <w:rFonts w:eastAsia="Arial" w:cstheme="majorHAnsi"/>
          <w:bCs/>
        </w:rPr>
        <w:t>. As a result</w:t>
      </w:r>
      <w:r w:rsidR="00E33256">
        <w:rPr>
          <w:rFonts w:eastAsia="Arial" w:cstheme="majorHAnsi"/>
          <w:bCs/>
        </w:rPr>
        <w:t>,</w:t>
      </w:r>
      <w:r w:rsidR="005A3E70" w:rsidRPr="005A3E70">
        <w:rPr>
          <w:rFonts w:eastAsia="Arial" w:cstheme="majorHAnsi"/>
          <w:bCs/>
        </w:rPr>
        <w:t xml:space="preserve"> </w:t>
      </w:r>
      <w:r w:rsidR="00637006">
        <w:rPr>
          <w:rFonts w:eastAsia="Arial" w:cstheme="majorHAnsi"/>
          <w:bCs/>
        </w:rPr>
        <w:t xml:space="preserve">most </w:t>
      </w:r>
      <w:r w:rsidR="005A3E70">
        <w:rPr>
          <w:rFonts w:eastAsia="Arial" w:cstheme="majorHAnsi"/>
          <w:bCs/>
        </w:rPr>
        <w:t>o</w:t>
      </w:r>
      <w:r w:rsidR="005A3E70" w:rsidRPr="00D9086D">
        <w:rPr>
          <w:rFonts w:eastAsia="Arial" w:cstheme="majorHAnsi"/>
          <w:bCs/>
        </w:rPr>
        <w:t>rganisations have had service continuity since they were first funded in either 2011–12 or 2013–14.</w:t>
      </w:r>
      <w:r w:rsidR="005A3E70">
        <w:rPr>
          <w:rFonts w:eastAsia="Arial" w:cstheme="majorHAnsi"/>
          <w:bCs/>
        </w:rPr>
        <w:t xml:space="preserve"> </w:t>
      </w:r>
      <w:r w:rsidR="00171494">
        <w:rPr>
          <w:rFonts w:eastAsia="Arial" w:cstheme="majorHAnsi"/>
          <w:bCs/>
        </w:rPr>
        <w:t xml:space="preserve">The program </w:t>
      </w:r>
      <w:r w:rsidR="00171494" w:rsidRPr="00D9086D">
        <w:rPr>
          <w:rFonts w:eastAsia="Arial" w:cstheme="majorHAnsi"/>
          <w:bCs/>
        </w:rPr>
        <w:t>provide</w:t>
      </w:r>
      <w:r w:rsidR="00171494">
        <w:rPr>
          <w:rFonts w:eastAsia="Arial" w:cstheme="majorHAnsi"/>
          <w:bCs/>
        </w:rPr>
        <w:t>s</w:t>
      </w:r>
      <w:r w:rsidR="00171494" w:rsidRPr="00D9086D">
        <w:rPr>
          <w:rFonts w:eastAsia="Arial" w:cstheme="majorHAnsi"/>
          <w:bCs/>
        </w:rPr>
        <w:t xml:space="preserve"> early intervention support services for children and young people up to the age of 18, who are showing early signs of mental illness, or at risk of developing mental illness. </w:t>
      </w:r>
      <w:r w:rsidR="00171494">
        <w:rPr>
          <w:rFonts w:eastAsia="Arial" w:cstheme="majorHAnsi"/>
          <w:bCs/>
        </w:rPr>
        <w:t>O</w:t>
      </w:r>
      <w:r w:rsidR="00171494" w:rsidRPr="00D9086D">
        <w:rPr>
          <w:rFonts w:eastAsia="Arial" w:cstheme="majorHAnsi"/>
          <w:bCs/>
        </w:rPr>
        <w:t>ver half of the program’s clients (39,143) live in region</w:t>
      </w:r>
      <w:r w:rsidR="001518E2">
        <w:rPr>
          <w:rFonts w:eastAsia="Arial" w:cstheme="majorHAnsi"/>
          <w:bCs/>
        </w:rPr>
        <w:t>al, rural or remote locations.</w:t>
      </w:r>
    </w:p>
    <w:p w14:paraId="407529BD" w14:textId="77777777" w:rsidR="00171494" w:rsidRPr="00E33256" w:rsidRDefault="001F5E3D" w:rsidP="00E33256">
      <w:pPr>
        <w:widowControl w:val="0"/>
        <w:spacing w:before="9"/>
        <w:rPr>
          <w:rFonts w:eastAsia="Arial" w:cstheme="majorHAnsi"/>
          <w:bCs/>
        </w:rPr>
      </w:pPr>
      <w:r>
        <w:rPr>
          <w:rFonts w:eastAsia="Arial" w:cstheme="majorHAnsi"/>
          <w:bCs/>
        </w:rPr>
        <w:t>Similarly, t</w:t>
      </w:r>
      <w:r w:rsidR="00171494" w:rsidRPr="00D9086D">
        <w:rPr>
          <w:rFonts w:eastAsia="Arial" w:cstheme="majorHAnsi"/>
          <w:bCs/>
        </w:rPr>
        <w:t>he</w:t>
      </w:r>
      <w:r w:rsidR="001D7EF7">
        <w:rPr>
          <w:rFonts w:eastAsia="Arial" w:cstheme="majorHAnsi"/>
          <w:bCs/>
        </w:rPr>
        <w:t xml:space="preserve"> NDIS’s</w:t>
      </w:r>
      <w:r w:rsidR="00171494" w:rsidRPr="00D9086D">
        <w:rPr>
          <w:rFonts w:eastAsia="Arial" w:cstheme="majorHAnsi"/>
          <w:bCs/>
        </w:rPr>
        <w:t xml:space="preserve"> new </w:t>
      </w:r>
      <w:hyperlink r:id="rId23" w:history="1">
        <w:r w:rsidR="00171494" w:rsidRPr="008D79EB">
          <w:rPr>
            <w:rStyle w:val="Hyperlink"/>
            <w:rFonts w:eastAsia="Arial" w:cstheme="majorHAnsi"/>
            <w:bCs/>
          </w:rPr>
          <w:t>Strengthening Information, Linkages and Capacity Buil</w:t>
        </w:r>
        <w:r w:rsidR="00A34125" w:rsidRPr="008D79EB">
          <w:rPr>
            <w:rStyle w:val="Hyperlink"/>
            <w:rFonts w:eastAsia="Arial" w:cstheme="majorHAnsi"/>
            <w:bCs/>
          </w:rPr>
          <w:t>ding (ILC) Strategy Towards 2022</w:t>
        </w:r>
      </w:hyperlink>
      <w:r w:rsidR="00A34125" w:rsidRPr="00A34125">
        <w:rPr>
          <w:rFonts w:eastAsia="Arial" w:cstheme="majorHAnsi"/>
          <w:bCs/>
        </w:rPr>
        <w:t xml:space="preserve"> </w:t>
      </w:r>
      <w:r w:rsidR="00171494" w:rsidRPr="00D9086D">
        <w:rPr>
          <w:rFonts w:eastAsia="Arial" w:cstheme="majorHAnsi"/>
          <w:bCs/>
        </w:rPr>
        <w:t xml:space="preserve">refocuses the ILC Program </w:t>
      </w:r>
      <w:r w:rsidR="00AB13CE">
        <w:rPr>
          <w:rFonts w:eastAsia="Arial" w:cstheme="majorHAnsi"/>
          <w:bCs/>
        </w:rPr>
        <w:t xml:space="preserve">by </w:t>
      </w:r>
      <w:r w:rsidR="00E33256">
        <w:rPr>
          <w:rFonts w:eastAsia="Arial" w:cstheme="majorHAnsi"/>
          <w:bCs/>
        </w:rPr>
        <w:t>s</w:t>
      </w:r>
      <w:r w:rsidR="00171494" w:rsidRPr="00E33256">
        <w:rPr>
          <w:rFonts w:eastAsia="Arial" w:cstheme="majorHAnsi"/>
          <w:bCs/>
        </w:rPr>
        <w:t>hifting from high volume and short-term grant programs to a more strategic, multi-year approach</w:t>
      </w:r>
      <w:r w:rsidR="00E33256">
        <w:rPr>
          <w:rFonts w:eastAsia="Arial" w:cstheme="majorHAnsi"/>
          <w:bCs/>
        </w:rPr>
        <w:t>.</w:t>
      </w:r>
    </w:p>
    <w:p w14:paraId="407529BE" w14:textId="77777777" w:rsidR="003B5452" w:rsidRPr="002C211E" w:rsidRDefault="003B5452" w:rsidP="0055292B">
      <w:pPr>
        <w:pStyle w:val="Heading3"/>
      </w:pPr>
      <w:r w:rsidRPr="002C211E">
        <w:t>Recommendation 7</w:t>
      </w:r>
    </w:p>
    <w:p w14:paraId="407529BF" w14:textId="77777777" w:rsidR="000632D1" w:rsidRDefault="003B5452" w:rsidP="003B5452">
      <w:pPr>
        <w:spacing w:after="0"/>
        <w:rPr>
          <w:rFonts w:cstheme="minorHAnsi"/>
        </w:rPr>
      </w:pPr>
      <w:r w:rsidRPr="0046077A">
        <w:rPr>
          <w:rFonts w:cstheme="minorHAnsi"/>
        </w:rPr>
        <w:t>The committee recommends that Commonwealt</w:t>
      </w:r>
      <w:r>
        <w:rPr>
          <w:rFonts w:cstheme="minorHAnsi"/>
        </w:rPr>
        <w:t xml:space="preserve">h, State and Territory </w:t>
      </w:r>
      <w:r w:rsidRPr="0046077A">
        <w:rPr>
          <w:rFonts w:cstheme="minorHAnsi"/>
        </w:rPr>
        <w:t>Governments consider the re</w:t>
      </w:r>
      <w:r w:rsidR="00D7570C">
        <w:rPr>
          <w:rFonts w:cstheme="minorHAnsi"/>
        </w:rPr>
        <w:t>-</w:t>
      </w:r>
      <w:r w:rsidRPr="0046077A">
        <w:rPr>
          <w:rFonts w:cstheme="minorHAnsi"/>
        </w:rPr>
        <w:t xml:space="preserve">establishment of </w:t>
      </w:r>
      <w:r>
        <w:rPr>
          <w:rFonts w:cstheme="minorHAnsi"/>
        </w:rPr>
        <w:t xml:space="preserve">block funding for mental health </w:t>
      </w:r>
      <w:r w:rsidRPr="0046077A">
        <w:rPr>
          <w:rFonts w:cstheme="minorHAnsi"/>
        </w:rPr>
        <w:t>services and service providers in reg</w:t>
      </w:r>
      <w:r w:rsidR="0009110F">
        <w:rPr>
          <w:rFonts w:cstheme="minorHAnsi"/>
        </w:rPr>
        <w:t>ional, rural, and remote areas.</w:t>
      </w:r>
    </w:p>
    <w:p w14:paraId="407529C1" w14:textId="77777777" w:rsidR="002C211E" w:rsidRDefault="001C527C" w:rsidP="0055292B">
      <w:pPr>
        <w:pStyle w:val="Heading4"/>
      </w:pPr>
      <w:r w:rsidRPr="002C211E">
        <w:lastRenderedPageBreak/>
        <w:t>Government respo</w:t>
      </w:r>
      <w:r w:rsidR="002C211E">
        <w:t>nse</w:t>
      </w:r>
    </w:p>
    <w:p w14:paraId="407529C2" w14:textId="0CC1B426" w:rsidR="002C211E" w:rsidRPr="008D79EB" w:rsidRDefault="0009110F" w:rsidP="0055292B">
      <w:pPr>
        <w:pStyle w:val="Heading5"/>
      </w:pPr>
      <w:r w:rsidRPr="008D79EB">
        <w:t>The Gover</w:t>
      </w:r>
      <w:r w:rsidR="001518E2">
        <w:t>nment NOTES this recommendation</w:t>
      </w:r>
    </w:p>
    <w:p w14:paraId="407529C4" w14:textId="77777777" w:rsidR="007F77B9" w:rsidRPr="004B2130" w:rsidRDefault="007F77B9" w:rsidP="002815E1">
      <w:pPr>
        <w:spacing w:before="40"/>
        <w:rPr>
          <w:rFonts w:eastAsia="Times New Roman" w:cstheme="minorHAnsi"/>
          <w:lang w:eastAsia="en-AU"/>
        </w:rPr>
      </w:pPr>
      <w:r w:rsidRPr="004B2130">
        <w:rPr>
          <w:rFonts w:eastAsia="Times New Roman" w:cstheme="minorHAnsi"/>
          <w:lang w:eastAsia="en-AU"/>
        </w:rPr>
        <w:t xml:space="preserve">The Australian Government recognises that flexible granting arrangements may be needed in specific circumstances where market mechanisms are not delivering the required service delivery opportunities. </w:t>
      </w:r>
      <w:r w:rsidR="00AF4A54" w:rsidRPr="004B2130">
        <w:rPr>
          <w:rFonts w:eastAsia="Times New Roman" w:cstheme="minorHAnsi"/>
          <w:lang w:eastAsia="en-AU"/>
        </w:rPr>
        <w:t>Block funding is one of a range of mechanisms which may be employed to ensure service quality and continuity, especially in rural and remote areas.</w:t>
      </w:r>
    </w:p>
    <w:p w14:paraId="407529C5" w14:textId="77777777" w:rsidR="000F087A" w:rsidRPr="004B2130" w:rsidRDefault="000F087A" w:rsidP="000F087A">
      <w:pPr>
        <w:spacing w:before="40"/>
        <w:rPr>
          <w:rFonts w:eastAsia="Times New Roman" w:cstheme="minorHAnsi"/>
          <w:lang w:eastAsia="en-AU"/>
        </w:rPr>
      </w:pPr>
      <w:r w:rsidRPr="004B2130">
        <w:rPr>
          <w:rFonts w:eastAsia="Times New Roman" w:cstheme="minorHAnsi"/>
          <w:lang w:eastAsia="en-AU"/>
        </w:rPr>
        <w:t>With regards to the NDIS, the Australian Government recognises the need for timely responses and local solutions to market risks that emerge. Recent examples of responsiveness include rural and remote price loadings, increase in price limits for therapy, attendant care and community participation and complexity and release of NDIS Market Enablement Framework in late 2018. Block funding is not consistent with the purpose of the NDIS to provide participants with choice and control in purchasing the supports they need.</w:t>
      </w:r>
    </w:p>
    <w:p w14:paraId="407529C6" w14:textId="3389ED63" w:rsidR="0009110F" w:rsidRPr="0086039A" w:rsidRDefault="000F087A" w:rsidP="002815E1">
      <w:pPr>
        <w:spacing w:before="40" w:after="160"/>
        <w:rPr>
          <w:bCs/>
        </w:rPr>
      </w:pPr>
      <w:r>
        <w:rPr>
          <w:bCs/>
        </w:rPr>
        <w:t>P</w:t>
      </w:r>
      <w:r w:rsidR="0009110F" w:rsidRPr="0086039A">
        <w:rPr>
          <w:bCs/>
        </w:rPr>
        <w:t xml:space="preserve">ositive results </w:t>
      </w:r>
      <w:r w:rsidR="00AF4A54">
        <w:rPr>
          <w:bCs/>
        </w:rPr>
        <w:t>have showed for</w:t>
      </w:r>
      <w:r w:rsidR="0009110F" w:rsidRPr="0086039A">
        <w:rPr>
          <w:bCs/>
        </w:rPr>
        <w:t xml:space="preserve"> providers who have already transitioned, or are in the process of transitioning, from block funding to a fee</w:t>
      </w:r>
      <w:r w:rsidR="0009110F" w:rsidRPr="0086039A">
        <w:rPr>
          <w:bCs/>
        </w:rPr>
        <w:noBreakHyphen/>
        <w:t>for</w:t>
      </w:r>
      <w:r w:rsidR="0009110F" w:rsidRPr="0086039A">
        <w:rPr>
          <w:bCs/>
        </w:rPr>
        <w:noBreakHyphen/>
        <w:t>service model under the NDIS</w:t>
      </w:r>
      <w:r w:rsidR="00317618">
        <w:rPr>
          <w:bCs/>
        </w:rPr>
        <w:t xml:space="preserve"> </w:t>
      </w:r>
      <w:r w:rsidR="0009110F" w:rsidRPr="0086039A">
        <w:rPr>
          <w:bCs/>
        </w:rPr>
        <w:t xml:space="preserve">in regional, rural and remote areas. Providers who have moved their business model to operate under the NDIS have reported the benefits to participants who are generally very satisfied with the opportunity to access services and supports that they want and need rather than having to </w:t>
      </w:r>
      <w:r w:rsidR="00A32C48">
        <w:rPr>
          <w:bCs/>
        </w:rPr>
        <w:t>take</w:t>
      </w:r>
      <w:r w:rsidR="0009110F" w:rsidRPr="0086039A">
        <w:rPr>
          <w:bCs/>
        </w:rPr>
        <w:t xml:space="preserve"> what wa</w:t>
      </w:r>
      <w:r w:rsidR="001518E2">
        <w:rPr>
          <w:bCs/>
        </w:rPr>
        <w:t>s on offer under block funding.</w:t>
      </w:r>
    </w:p>
    <w:p w14:paraId="407529C7" w14:textId="33AFD4E9" w:rsidR="0009110F" w:rsidRPr="0086039A" w:rsidRDefault="00AF4A54" w:rsidP="0009110F">
      <w:pPr>
        <w:spacing w:before="40" w:after="160"/>
        <w:rPr>
          <w:bCs/>
        </w:rPr>
      </w:pPr>
      <w:r>
        <w:rPr>
          <w:bCs/>
        </w:rPr>
        <w:t>Also in relation to the</w:t>
      </w:r>
      <w:r w:rsidR="0009110F" w:rsidRPr="0086039A">
        <w:rPr>
          <w:bCs/>
        </w:rPr>
        <w:t xml:space="preserve"> NDIS</w:t>
      </w:r>
      <w:r w:rsidR="000B796C">
        <w:rPr>
          <w:bCs/>
        </w:rPr>
        <w:t>,</w:t>
      </w:r>
      <w:r w:rsidR="0009110F" w:rsidRPr="0086039A">
        <w:rPr>
          <w:bCs/>
        </w:rPr>
        <w:t xml:space="preserve"> providers have reported </w:t>
      </w:r>
      <w:r w:rsidR="0083559D">
        <w:rPr>
          <w:bCs/>
        </w:rPr>
        <w:t xml:space="preserve">that the </w:t>
      </w:r>
      <w:r w:rsidR="001A15A8">
        <w:rPr>
          <w:bCs/>
        </w:rPr>
        <w:t xml:space="preserve">NDIS’s </w:t>
      </w:r>
      <w:r w:rsidR="0009110F" w:rsidRPr="0086039A">
        <w:rPr>
          <w:bCs/>
        </w:rPr>
        <w:t>fee-for-se</w:t>
      </w:r>
      <w:r w:rsidR="001A15A8">
        <w:rPr>
          <w:bCs/>
        </w:rPr>
        <w:t xml:space="preserve">rvice approach </w:t>
      </w:r>
      <w:r w:rsidR="0009110F" w:rsidRPr="0086039A">
        <w:rPr>
          <w:bCs/>
        </w:rPr>
        <w:t>allow</w:t>
      </w:r>
      <w:r w:rsidR="0083559D">
        <w:rPr>
          <w:bCs/>
        </w:rPr>
        <w:t>s</w:t>
      </w:r>
      <w:r w:rsidR="0009110F" w:rsidRPr="0086039A">
        <w:rPr>
          <w:bCs/>
        </w:rPr>
        <w:t xml:space="preserve"> them to better manage thei</w:t>
      </w:r>
      <w:r w:rsidR="001A15A8">
        <w:rPr>
          <w:bCs/>
        </w:rPr>
        <w:t xml:space="preserve">r own budgets and grow profits. They can </w:t>
      </w:r>
      <w:r w:rsidR="0009110F" w:rsidRPr="0086039A">
        <w:rPr>
          <w:bCs/>
        </w:rPr>
        <w:t>have greater security as funding is based on how participants rate their performance</w:t>
      </w:r>
      <w:r w:rsidR="0083559D">
        <w:rPr>
          <w:bCs/>
        </w:rPr>
        <w:t>,</w:t>
      </w:r>
      <w:r w:rsidR="0009110F" w:rsidRPr="0086039A">
        <w:rPr>
          <w:bCs/>
        </w:rPr>
        <w:t xml:space="preserve"> rather than a </w:t>
      </w:r>
      <w:r w:rsidR="001A15A8">
        <w:rPr>
          <w:bCs/>
        </w:rPr>
        <w:t>g</w:t>
      </w:r>
      <w:r w:rsidR="0009110F" w:rsidRPr="0086039A">
        <w:rPr>
          <w:bCs/>
        </w:rPr>
        <w:t>overnment budget cycle</w:t>
      </w:r>
      <w:r w:rsidR="001A15A8">
        <w:rPr>
          <w:bCs/>
        </w:rPr>
        <w:t xml:space="preserve">. For example, a provider </w:t>
      </w:r>
      <w:r w:rsidR="0009110F" w:rsidRPr="0086039A">
        <w:rPr>
          <w:bCs/>
        </w:rPr>
        <w:t xml:space="preserve">which delivers </w:t>
      </w:r>
      <w:r w:rsidR="0009110F">
        <w:rPr>
          <w:bCs/>
        </w:rPr>
        <w:t>Australian</w:t>
      </w:r>
      <w:r w:rsidR="0009110F" w:rsidRPr="0086039A">
        <w:rPr>
          <w:bCs/>
        </w:rPr>
        <w:t xml:space="preserve"> mental health services in remote Queensland, is diversifying its service offerings to meet the needs of people with disability in the region, both in and out of the NDIS. The provider has shared feedback with the </w:t>
      </w:r>
      <w:r w:rsidR="001A15A8">
        <w:rPr>
          <w:bCs/>
        </w:rPr>
        <w:t>DSS</w:t>
      </w:r>
      <w:r w:rsidR="0009110F" w:rsidRPr="0086039A">
        <w:rPr>
          <w:bCs/>
        </w:rPr>
        <w:t xml:space="preserve"> that indicates they have seen service delivery hours increased by 75</w:t>
      </w:r>
      <w:r w:rsidR="003F5039">
        <w:rPr>
          <w:bCs/>
        </w:rPr>
        <w:t xml:space="preserve">% </w:t>
      </w:r>
      <w:r w:rsidR="0009110F" w:rsidRPr="0086039A">
        <w:rPr>
          <w:bCs/>
        </w:rPr>
        <w:t>in 2017, and workforce growth by around 40</w:t>
      </w:r>
      <w:r w:rsidR="003F5039">
        <w:rPr>
          <w:bCs/>
        </w:rPr>
        <w:t xml:space="preserve">% </w:t>
      </w:r>
      <w:r w:rsidR="001518E2">
        <w:rPr>
          <w:bCs/>
        </w:rPr>
        <w:t>a year over the past two years.</w:t>
      </w:r>
    </w:p>
    <w:p w14:paraId="407529C8" w14:textId="39DBEB5A" w:rsidR="0009110F" w:rsidRPr="0086039A" w:rsidRDefault="0009110F" w:rsidP="0009110F">
      <w:pPr>
        <w:spacing w:before="40" w:after="160"/>
        <w:rPr>
          <w:bCs/>
        </w:rPr>
      </w:pPr>
      <w:r w:rsidRPr="0086039A">
        <w:rPr>
          <w:bCs/>
        </w:rPr>
        <w:t>The NDIA is also working with local organisations to leverage exist</w:t>
      </w:r>
      <w:r w:rsidR="001518E2">
        <w:rPr>
          <w:bCs/>
        </w:rPr>
        <w:t>ing capability in thin markets.</w:t>
      </w:r>
    </w:p>
    <w:p w14:paraId="407529C9" w14:textId="77777777" w:rsidR="0009110F" w:rsidRDefault="0009110F" w:rsidP="007C7F89">
      <w:pPr>
        <w:spacing w:before="40" w:after="160"/>
        <w:rPr>
          <w:bCs/>
        </w:rPr>
      </w:pPr>
      <w:r w:rsidRPr="0086039A">
        <w:rPr>
          <w:bCs/>
        </w:rPr>
        <w:t xml:space="preserve">The </w:t>
      </w:r>
      <w:r w:rsidR="002815E1">
        <w:rPr>
          <w:bCs/>
        </w:rPr>
        <w:t>G</w:t>
      </w:r>
      <w:r w:rsidR="00224184">
        <w:rPr>
          <w:bCs/>
        </w:rPr>
        <w:t>overnment</w:t>
      </w:r>
      <w:r w:rsidR="000B796C">
        <w:rPr>
          <w:bCs/>
        </w:rPr>
        <w:t xml:space="preserve"> is </w:t>
      </w:r>
      <w:r w:rsidRPr="0086039A">
        <w:rPr>
          <w:bCs/>
        </w:rPr>
        <w:t xml:space="preserve">committed to working with peak bodies, </w:t>
      </w:r>
      <w:r w:rsidR="009777E5">
        <w:rPr>
          <w:bCs/>
        </w:rPr>
        <w:t>PHNs,</w:t>
      </w:r>
      <w:r w:rsidRPr="0086039A">
        <w:rPr>
          <w:bCs/>
        </w:rPr>
        <w:t xml:space="preserve"> national disability organisations and state and territory governments to understand the need for mental health service</w:t>
      </w:r>
      <w:r w:rsidR="007C7F89">
        <w:rPr>
          <w:bCs/>
        </w:rPr>
        <w:t>s and how best to deliver them.</w:t>
      </w:r>
    </w:p>
    <w:p w14:paraId="407529CA" w14:textId="77777777" w:rsidR="003B5452" w:rsidRPr="002C211E" w:rsidRDefault="003B5452" w:rsidP="0055292B">
      <w:pPr>
        <w:pStyle w:val="Heading3"/>
      </w:pPr>
      <w:r w:rsidRPr="002C211E">
        <w:t>Recommendation 8</w:t>
      </w:r>
    </w:p>
    <w:p w14:paraId="407529CB" w14:textId="77777777" w:rsidR="003B5452" w:rsidRDefault="003B5452" w:rsidP="003B5452">
      <w:pPr>
        <w:spacing w:after="0"/>
        <w:rPr>
          <w:rFonts w:cstheme="minorHAnsi"/>
        </w:rPr>
      </w:pPr>
      <w:r w:rsidRPr="0046077A">
        <w:rPr>
          <w:rFonts w:cstheme="minorHAnsi"/>
        </w:rPr>
        <w:t>The committee recommends that the</w:t>
      </w:r>
      <w:r>
        <w:rPr>
          <w:rFonts w:cstheme="minorHAnsi"/>
        </w:rPr>
        <w:t xml:space="preserve"> Commonwealth Government review </w:t>
      </w:r>
      <w:r w:rsidRPr="0046077A">
        <w:rPr>
          <w:rFonts w:cstheme="minorHAnsi"/>
        </w:rPr>
        <w:t>the role of Primary Health Networks in commi</w:t>
      </w:r>
      <w:r>
        <w:rPr>
          <w:rFonts w:cstheme="minorHAnsi"/>
        </w:rPr>
        <w:t xml:space="preserve">ssioning mental health services </w:t>
      </w:r>
      <w:r w:rsidRPr="0046077A">
        <w:rPr>
          <w:rFonts w:cstheme="minorHAnsi"/>
        </w:rPr>
        <w:t>under the stepped care model to ensure effective a</w:t>
      </w:r>
      <w:r>
        <w:rPr>
          <w:rFonts w:cstheme="minorHAnsi"/>
        </w:rPr>
        <w:t xml:space="preserve">nd appropriate service delivery </w:t>
      </w:r>
      <w:r w:rsidRPr="0046077A">
        <w:rPr>
          <w:rFonts w:cstheme="minorHAnsi"/>
        </w:rPr>
        <w:t>in regional, rural and remote areas.</w:t>
      </w:r>
    </w:p>
    <w:p w14:paraId="407529CD" w14:textId="77777777" w:rsidR="002C211E" w:rsidRPr="002C211E" w:rsidRDefault="002C211E" w:rsidP="0055292B">
      <w:pPr>
        <w:pStyle w:val="Heading4"/>
      </w:pPr>
      <w:r w:rsidRPr="002C211E">
        <w:t>Government response</w:t>
      </w:r>
    </w:p>
    <w:p w14:paraId="407529CE" w14:textId="11D66B76" w:rsidR="008D79EB" w:rsidRPr="008D79EB" w:rsidRDefault="00752633" w:rsidP="0055292B">
      <w:pPr>
        <w:pStyle w:val="Heading5"/>
      </w:pPr>
      <w:r w:rsidRPr="008D79EB">
        <w:t xml:space="preserve">The </w:t>
      </w:r>
      <w:r w:rsidR="002815E1">
        <w:t>G</w:t>
      </w:r>
      <w:r w:rsidRPr="008D79EB">
        <w:t xml:space="preserve">overnment </w:t>
      </w:r>
      <w:r w:rsidR="009D6A51">
        <w:t>NOTES</w:t>
      </w:r>
      <w:r w:rsidR="001518E2">
        <w:t xml:space="preserve"> this recommendation</w:t>
      </w:r>
    </w:p>
    <w:p w14:paraId="407529D0" w14:textId="397BC817" w:rsidR="002E15C8" w:rsidRPr="00FE1BD4" w:rsidRDefault="00752633" w:rsidP="00FE1BD4">
      <w:pPr>
        <w:spacing w:before="40" w:after="160"/>
      </w:pPr>
      <w:r w:rsidRPr="00976637">
        <w:rPr>
          <w:color w:val="000000" w:themeColor="text1"/>
        </w:rPr>
        <w:t>Stepped care is an evidence-based, staged system of interventions, from the least to the most intensive, matched to the individual’s needs. While there are multiple levels within a stepped care approach, they do</w:t>
      </w:r>
      <w:r>
        <w:rPr>
          <w:color w:val="000000" w:themeColor="text1"/>
        </w:rPr>
        <w:t xml:space="preserve"> not operate in silos or as one-</w:t>
      </w:r>
      <w:r w:rsidRPr="00976637">
        <w:rPr>
          <w:color w:val="000000" w:themeColor="text1"/>
        </w:rPr>
        <w:t>directional steps, but rather offer a spectrum of service interventions.</w:t>
      </w:r>
      <w:r w:rsidR="00ED7915">
        <w:rPr>
          <w:color w:val="000000" w:themeColor="text1"/>
        </w:rPr>
        <w:t xml:space="preserve"> </w:t>
      </w:r>
      <w:r w:rsidR="00E31280">
        <w:rPr>
          <w:color w:val="000000" w:themeColor="text1"/>
        </w:rPr>
        <w:t xml:space="preserve">The government appreciates the challenge of </w:t>
      </w:r>
      <w:r w:rsidR="00E31280">
        <w:rPr>
          <w:color w:val="000000" w:themeColor="text1"/>
        </w:rPr>
        <w:lastRenderedPageBreak/>
        <w:t xml:space="preserve">working to this best practice model in </w:t>
      </w:r>
      <w:r w:rsidR="00506EB6">
        <w:rPr>
          <w:color w:val="000000" w:themeColor="text1"/>
        </w:rPr>
        <w:t xml:space="preserve">rural and remote </w:t>
      </w:r>
      <w:r w:rsidR="00E31280">
        <w:rPr>
          <w:color w:val="000000" w:themeColor="text1"/>
        </w:rPr>
        <w:t xml:space="preserve">areas where services are sparse and </w:t>
      </w:r>
      <w:r w:rsidR="00506EB6">
        <w:rPr>
          <w:color w:val="000000" w:themeColor="text1"/>
        </w:rPr>
        <w:t xml:space="preserve">have long waiting lists. </w:t>
      </w:r>
      <w:r w:rsidR="00FE1BD4">
        <w:rPr>
          <w:color w:val="000000" w:themeColor="text1"/>
        </w:rPr>
        <w:t xml:space="preserve">Although the </w:t>
      </w:r>
      <w:r w:rsidR="00262182">
        <w:rPr>
          <w:color w:val="000000" w:themeColor="text1"/>
        </w:rPr>
        <w:t>G</w:t>
      </w:r>
      <w:r w:rsidR="00FE1BD4">
        <w:rPr>
          <w:color w:val="000000" w:themeColor="text1"/>
        </w:rPr>
        <w:t xml:space="preserve">overnment is </w:t>
      </w:r>
      <w:r w:rsidR="00FE1BD4" w:rsidRPr="008C79CF">
        <w:rPr>
          <w:color w:val="000000" w:themeColor="text1"/>
        </w:rPr>
        <w:t>continually reviewing</w:t>
      </w:r>
      <w:r w:rsidR="00FE1BD4">
        <w:rPr>
          <w:color w:val="000000" w:themeColor="text1"/>
        </w:rPr>
        <w:t xml:space="preserve"> and assessing the best way to deliver services,</w:t>
      </w:r>
      <w:r w:rsidR="00506EB6">
        <w:rPr>
          <w:color w:val="000000" w:themeColor="text1"/>
        </w:rPr>
        <w:t xml:space="preserve"> </w:t>
      </w:r>
      <w:r w:rsidR="00ED7915">
        <w:rPr>
          <w:color w:val="000000" w:themeColor="text1"/>
        </w:rPr>
        <w:t xml:space="preserve">PHNs are playing a key role </w:t>
      </w:r>
      <w:r w:rsidR="00E31280">
        <w:rPr>
          <w:color w:val="000000" w:themeColor="text1"/>
        </w:rPr>
        <w:t xml:space="preserve">in </w:t>
      </w:r>
      <w:r w:rsidR="00506EB6">
        <w:rPr>
          <w:color w:val="000000" w:themeColor="text1"/>
        </w:rPr>
        <w:t>making stepped care possible</w:t>
      </w:r>
      <w:r w:rsidR="00E31280">
        <w:rPr>
          <w:color w:val="000000" w:themeColor="text1"/>
        </w:rPr>
        <w:t>, supported b</w:t>
      </w:r>
      <w:r w:rsidR="001518E2">
        <w:rPr>
          <w:color w:val="000000" w:themeColor="text1"/>
        </w:rPr>
        <w:t>y other government initiatives.</w:t>
      </w:r>
    </w:p>
    <w:p w14:paraId="407529D1" w14:textId="77777777" w:rsidR="002E15C8" w:rsidRDefault="002E15C8" w:rsidP="009D0658">
      <w:pPr>
        <w:spacing w:after="0"/>
        <w:rPr>
          <w:color w:val="000000" w:themeColor="text1"/>
        </w:rPr>
      </w:pPr>
      <w:r w:rsidRPr="002E15C8">
        <w:rPr>
          <w:color w:val="000000" w:themeColor="text1"/>
        </w:rPr>
        <w:t>Local indicato</w:t>
      </w:r>
      <w:r>
        <w:rPr>
          <w:color w:val="000000" w:themeColor="text1"/>
        </w:rPr>
        <w:t>rs</w:t>
      </w:r>
      <w:r w:rsidRPr="002E15C8">
        <w:rPr>
          <w:color w:val="000000" w:themeColor="text1"/>
        </w:rPr>
        <w:t xml:space="preserve"> oriented around a stepped care system approach</w:t>
      </w:r>
      <w:r>
        <w:rPr>
          <w:color w:val="000000" w:themeColor="text1"/>
        </w:rPr>
        <w:t xml:space="preserve"> are produced by each PHN as part of their evaluation and monitoring activity</w:t>
      </w:r>
      <w:r w:rsidRPr="002E15C8">
        <w:rPr>
          <w:color w:val="000000" w:themeColor="text1"/>
        </w:rPr>
        <w:t xml:space="preserve">. The </w:t>
      </w:r>
      <w:r w:rsidR="00631DB3">
        <w:rPr>
          <w:color w:val="000000" w:themeColor="text1"/>
        </w:rPr>
        <w:t xml:space="preserve">Australian Government </w:t>
      </w:r>
      <w:r w:rsidRPr="002E15C8">
        <w:rPr>
          <w:color w:val="000000" w:themeColor="text1"/>
        </w:rPr>
        <w:t>Department of Health has developed guidance to help PHNs carry out this role including providing advice of best practice examples in stepped care</w:t>
      </w:r>
      <w:r w:rsidR="00E31280">
        <w:rPr>
          <w:color w:val="000000" w:themeColor="text1"/>
        </w:rPr>
        <w:t xml:space="preserve">. PHNs are funding services that offer a ‘no wrong door approach’ and </w:t>
      </w:r>
      <w:r w:rsidR="00405037">
        <w:rPr>
          <w:color w:val="000000" w:themeColor="text1"/>
        </w:rPr>
        <w:t xml:space="preserve">undertake </w:t>
      </w:r>
      <w:r w:rsidR="00E31280">
        <w:rPr>
          <w:color w:val="000000" w:themeColor="text1"/>
        </w:rPr>
        <w:t>holistic assessments within their regions to create more options in under-serviced areas.</w:t>
      </w:r>
    </w:p>
    <w:p w14:paraId="407529D2" w14:textId="77777777" w:rsidR="00405037" w:rsidRDefault="00405037" w:rsidP="009D0658">
      <w:pPr>
        <w:spacing w:after="0"/>
        <w:rPr>
          <w:color w:val="000000" w:themeColor="text1"/>
        </w:rPr>
      </w:pPr>
      <w:r>
        <w:rPr>
          <w:color w:val="000000" w:themeColor="text1"/>
        </w:rPr>
        <w:t xml:space="preserve">The recently </w:t>
      </w:r>
      <w:r w:rsidRPr="009D6A51">
        <w:t xml:space="preserve">announced National Mental Health Workforce </w:t>
      </w:r>
      <w:r w:rsidR="003B3179" w:rsidRPr="009D6A51">
        <w:t xml:space="preserve">Strategy will further assist by focusing on workforce development needs </w:t>
      </w:r>
      <w:r w:rsidR="003B3179">
        <w:rPr>
          <w:color w:val="000000" w:themeColor="text1"/>
        </w:rPr>
        <w:t xml:space="preserve">for all </w:t>
      </w:r>
      <w:r w:rsidR="009D6A51">
        <w:rPr>
          <w:color w:val="000000" w:themeColor="text1"/>
        </w:rPr>
        <w:t xml:space="preserve">the </w:t>
      </w:r>
      <w:r w:rsidR="003B3179">
        <w:rPr>
          <w:color w:val="000000" w:themeColor="text1"/>
        </w:rPr>
        <w:t>occupations needed to deliver stepped care, including peer support and non-professional workers.</w:t>
      </w:r>
    </w:p>
    <w:p w14:paraId="407529D4" w14:textId="77777777" w:rsidR="009D6A51" w:rsidRPr="009D6A51" w:rsidRDefault="009D6A51" w:rsidP="009D6A51">
      <w:pPr>
        <w:spacing w:after="0"/>
      </w:pPr>
      <w:r w:rsidRPr="009D6A51">
        <w:t xml:space="preserve">As noted elsewhere, the </w:t>
      </w:r>
      <w:r w:rsidR="002815E1">
        <w:t>G</w:t>
      </w:r>
      <w:r w:rsidRPr="009D6A51">
        <w:t xml:space="preserve">overnment is also supporting continuous improvement </w:t>
      </w:r>
      <w:r w:rsidR="00750377">
        <w:t xml:space="preserve">of PHN processes </w:t>
      </w:r>
      <w:r w:rsidRPr="009D6A51">
        <w:t xml:space="preserve">through specific guidance </w:t>
      </w:r>
      <w:r>
        <w:t xml:space="preserve">around commissioning </w:t>
      </w:r>
      <w:r w:rsidRPr="009D6A51">
        <w:t>and tailored support.</w:t>
      </w:r>
    </w:p>
    <w:p w14:paraId="407529D6" w14:textId="77DB30B3" w:rsidR="00382141" w:rsidRDefault="00262182" w:rsidP="00382141">
      <w:pPr>
        <w:spacing w:after="0"/>
        <w:rPr>
          <w:color w:val="000000" w:themeColor="text1"/>
        </w:rPr>
      </w:pPr>
      <w:r>
        <w:rPr>
          <w:color w:val="000000" w:themeColor="text1"/>
        </w:rPr>
        <w:t>The G</w:t>
      </w:r>
      <w:r w:rsidR="002E15C8">
        <w:rPr>
          <w:color w:val="000000" w:themeColor="text1"/>
        </w:rPr>
        <w:t>overnment also recognises the role digital technologies can play in stepped care, by providing access to services not available face-to-face</w:t>
      </w:r>
      <w:r w:rsidR="00506EB6">
        <w:rPr>
          <w:color w:val="000000" w:themeColor="text1"/>
        </w:rPr>
        <w:t xml:space="preserve"> in each community</w:t>
      </w:r>
      <w:r w:rsidR="002E15C8">
        <w:rPr>
          <w:color w:val="000000" w:themeColor="text1"/>
        </w:rPr>
        <w:t xml:space="preserve">. </w:t>
      </w:r>
      <w:r w:rsidR="00382141">
        <w:rPr>
          <w:color w:val="000000" w:themeColor="text1"/>
        </w:rPr>
        <w:t xml:space="preserve">It has </w:t>
      </w:r>
      <w:r w:rsidR="00382141" w:rsidRPr="00382141">
        <w:rPr>
          <w:color w:val="000000" w:themeColor="text1"/>
        </w:rPr>
        <w:t>committed funding to several national digital approaches that have specific benefit in rural and remote communities</w:t>
      </w:r>
      <w:r w:rsidR="00382141">
        <w:rPr>
          <w:color w:val="000000" w:themeColor="text1"/>
        </w:rPr>
        <w:t xml:space="preserve">, including telephone support for internet based services to improve connectivity. An example is </w:t>
      </w:r>
      <w:hyperlink r:id="rId24" w:history="1">
        <w:r w:rsidR="00382141" w:rsidRPr="00382141">
          <w:rPr>
            <w:rStyle w:val="Hyperlink"/>
          </w:rPr>
          <w:t>Mindspot</w:t>
        </w:r>
      </w:hyperlink>
      <w:r w:rsidR="00382141">
        <w:rPr>
          <w:color w:val="000000" w:themeColor="text1"/>
        </w:rPr>
        <w:t xml:space="preserve">, where </w:t>
      </w:r>
      <w:r w:rsidR="00382141" w:rsidRPr="00382141">
        <w:rPr>
          <w:color w:val="000000" w:themeColor="text1"/>
        </w:rPr>
        <w:t xml:space="preserve">as the result of initiatives by the Western Australian PHN, people can access high quality clinical care </w:t>
      </w:r>
      <w:r w:rsidR="00382141">
        <w:rPr>
          <w:color w:val="000000" w:themeColor="text1"/>
        </w:rPr>
        <w:t xml:space="preserve">for depression or anxiety </w:t>
      </w:r>
      <w:r w:rsidR="00382141" w:rsidRPr="00382141">
        <w:rPr>
          <w:color w:val="000000" w:themeColor="text1"/>
        </w:rPr>
        <w:t>via telephone, online or face</w:t>
      </w:r>
      <w:r w:rsidR="001518E2">
        <w:rPr>
          <w:color w:val="000000" w:themeColor="text1"/>
        </w:rPr>
        <w:t>-to-face any time day or night.</w:t>
      </w:r>
    </w:p>
    <w:p w14:paraId="407529D8" w14:textId="6B12A85C" w:rsidR="009777E5" w:rsidRDefault="00ED7915" w:rsidP="00484AD6">
      <w:pPr>
        <w:spacing w:after="0"/>
        <w:rPr>
          <w:rFonts w:cstheme="minorHAnsi"/>
          <w:b/>
        </w:rPr>
      </w:pPr>
      <w:r>
        <w:rPr>
          <w:color w:val="000000" w:themeColor="text1"/>
        </w:rPr>
        <w:t>In addition, the</w:t>
      </w:r>
      <w:r w:rsidRPr="00ED7915">
        <w:rPr>
          <w:color w:val="000000" w:themeColor="text1"/>
        </w:rPr>
        <w:t xml:space="preserve"> Australian Government’s digital mental health gateway, </w:t>
      </w:r>
      <w:hyperlink r:id="rId25" w:history="1">
        <w:r w:rsidRPr="00506EB6">
          <w:rPr>
            <w:rStyle w:val="Hyperlink"/>
          </w:rPr>
          <w:t>Head to Health</w:t>
        </w:r>
      </w:hyperlink>
      <w:r w:rsidRPr="00ED7915">
        <w:rPr>
          <w:color w:val="000000" w:themeColor="text1"/>
        </w:rPr>
        <w:t>, was launched in October 2017, and provides 19 digital mental health services that cover a range of counselling, treatment and crisis supports</w:t>
      </w:r>
      <w:r w:rsidR="00631DB3">
        <w:rPr>
          <w:color w:val="000000" w:themeColor="text1"/>
        </w:rPr>
        <w:t xml:space="preserve">. These include </w:t>
      </w:r>
      <w:r w:rsidRPr="00ED7915">
        <w:rPr>
          <w:color w:val="000000" w:themeColor="text1"/>
        </w:rPr>
        <w:t xml:space="preserve">suicide prevention and peer support services, </w:t>
      </w:r>
      <w:r w:rsidR="00631DB3">
        <w:rPr>
          <w:color w:val="000000" w:themeColor="text1"/>
        </w:rPr>
        <w:t>such as</w:t>
      </w:r>
      <w:r w:rsidR="00631DB3" w:rsidRPr="00ED7915">
        <w:rPr>
          <w:color w:val="000000" w:themeColor="text1"/>
        </w:rPr>
        <w:t xml:space="preserve"> </w:t>
      </w:r>
      <w:r w:rsidRPr="00ED7915">
        <w:rPr>
          <w:color w:val="000000" w:themeColor="text1"/>
        </w:rPr>
        <w:t xml:space="preserve">Lifeline, Kids Helpline, ReachOut, MindSpot and Black Dog Institute programs.  The portal makes it easier for those in hard to reach areas to access free or low cost </w:t>
      </w:r>
      <w:r>
        <w:rPr>
          <w:color w:val="000000" w:themeColor="text1"/>
        </w:rPr>
        <w:t>government</w:t>
      </w:r>
      <w:r w:rsidRPr="00ED7915">
        <w:rPr>
          <w:color w:val="000000" w:themeColor="text1"/>
        </w:rPr>
        <w:t xml:space="preserve"> digital mental health services.</w:t>
      </w:r>
      <w:r w:rsidR="00631DB3">
        <w:rPr>
          <w:color w:val="000000" w:themeColor="text1"/>
        </w:rPr>
        <w:t xml:space="preserve"> Some 360,000 unique users have accessed the site since its launch in Octo</w:t>
      </w:r>
      <w:r w:rsidR="001518E2">
        <w:rPr>
          <w:color w:val="000000" w:themeColor="text1"/>
        </w:rPr>
        <w:t>ber 2017 to end December, 2018.</w:t>
      </w:r>
    </w:p>
    <w:p w14:paraId="407529DA" w14:textId="77777777" w:rsidR="003B5452" w:rsidRPr="00AC6BA8" w:rsidRDefault="003B5452" w:rsidP="00AC6BA8">
      <w:pPr>
        <w:pStyle w:val="Heading3"/>
      </w:pPr>
      <w:r w:rsidRPr="00AC6BA8">
        <w:t>Recommendation 9</w:t>
      </w:r>
    </w:p>
    <w:p w14:paraId="407529DB" w14:textId="77777777" w:rsidR="008450C4" w:rsidRDefault="003B5452" w:rsidP="008450C4">
      <w:pPr>
        <w:spacing w:after="0"/>
        <w:rPr>
          <w:rFonts w:cstheme="minorHAnsi"/>
        </w:rPr>
      </w:pPr>
      <w:r w:rsidRPr="0046077A">
        <w:rPr>
          <w:rFonts w:cstheme="minorHAnsi"/>
        </w:rPr>
        <w:t>The committee recommends that the Common</w:t>
      </w:r>
      <w:r>
        <w:rPr>
          <w:rFonts w:cstheme="minorHAnsi"/>
        </w:rPr>
        <w:t xml:space="preserve">wealth Government </w:t>
      </w:r>
      <w:r w:rsidRPr="0046077A">
        <w:rPr>
          <w:rFonts w:cstheme="minorHAnsi"/>
        </w:rPr>
        <w:t>consider pathways for allied health professionals and nurses in rural and remote</w:t>
      </w:r>
      <w:r w:rsidR="000632D1">
        <w:rPr>
          <w:rFonts w:cstheme="minorHAnsi"/>
        </w:rPr>
        <w:t xml:space="preserve"> </w:t>
      </w:r>
      <w:r w:rsidRPr="0046077A">
        <w:rPr>
          <w:rFonts w:cstheme="minorHAnsi"/>
        </w:rPr>
        <w:t>Australia to refer patients under the Better Access to Psychiatrists, Psychologists</w:t>
      </w:r>
      <w:r w:rsidR="000632D1">
        <w:rPr>
          <w:rFonts w:cstheme="minorHAnsi"/>
        </w:rPr>
        <w:t xml:space="preserve"> </w:t>
      </w:r>
      <w:r w:rsidRPr="0046077A">
        <w:rPr>
          <w:rFonts w:cstheme="minorHAnsi"/>
        </w:rPr>
        <w:t>and General Practitioners through the MBS (Better Access) initiative.</w:t>
      </w:r>
    </w:p>
    <w:p w14:paraId="407529DD" w14:textId="77777777" w:rsidR="002C211E" w:rsidRDefault="002C211E" w:rsidP="00E0008C">
      <w:pPr>
        <w:pStyle w:val="Heading4"/>
        <w:ind w:left="864" w:hanging="864"/>
        <w:rPr>
          <w:b w:val="0"/>
        </w:rPr>
      </w:pPr>
      <w:r>
        <w:t>Government response</w:t>
      </w:r>
    </w:p>
    <w:p w14:paraId="407529DE" w14:textId="04AD24DE" w:rsidR="000632D1" w:rsidRPr="00643C0C" w:rsidRDefault="0031399E" w:rsidP="0055292B">
      <w:pPr>
        <w:pStyle w:val="Heading5"/>
      </w:pPr>
      <w:r w:rsidRPr="00643C0C">
        <w:t>The Gover</w:t>
      </w:r>
      <w:r w:rsidR="001518E2">
        <w:t>nment NOTES this recommendation</w:t>
      </w:r>
    </w:p>
    <w:p w14:paraId="407529E0" w14:textId="3C0F1A40" w:rsidR="00506EB6" w:rsidRDefault="0031399E" w:rsidP="0031399E">
      <w:pPr>
        <w:spacing w:after="0"/>
      </w:pPr>
      <w:r w:rsidRPr="0031399E">
        <w:rPr>
          <w:rFonts w:cstheme="minorHAnsi"/>
        </w:rPr>
        <w:t xml:space="preserve">The </w:t>
      </w:r>
      <w:hyperlink r:id="rId26" w:history="1">
        <w:r w:rsidR="00796810">
          <w:rPr>
            <w:rStyle w:val="Hyperlink"/>
            <w:rFonts w:cstheme="minorHAnsi"/>
          </w:rPr>
          <w:t>Better Access to Psychiatrists, Psychologists and General Practitioners through the MBS</w:t>
        </w:r>
      </w:hyperlink>
      <w:r w:rsidRPr="0031399E">
        <w:rPr>
          <w:rFonts w:cstheme="minorHAnsi"/>
        </w:rPr>
        <w:t xml:space="preserve"> </w:t>
      </w:r>
      <w:r w:rsidR="00796810">
        <w:rPr>
          <w:rFonts w:cstheme="minorHAnsi"/>
        </w:rPr>
        <w:t xml:space="preserve">program </w:t>
      </w:r>
      <w:r w:rsidR="00506EB6">
        <w:rPr>
          <w:rFonts w:cstheme="minorHAnsi"/>
        </w:rPr>
        <w:t xml:space="preserve">makes </w:t>
      </w:r>
      <w:r w:rsidR="00506EB6">
        <w:t>Medicare rebates available to patients for selected mental health services provided by general practitioners (GPs), psychiatrists, psychologists (clinical and registered) and eligible social workers and occupational therapists. Medicare rebates are available for up to ten individual and ten group allied mental health services per calendar year to patients with an assessed menta</w:t>
      </w:r>
      <w:r w:rsidR="001518E2">
        <w:t>l disorder who are referred by:</w:t>
      </w:r>
    </w:p>
    <w:p w14:paraId="407529E2" w14:textId="77777777" w:rsidR="00506EB6" w:rsidRPr="001518E2" w:rsidRDefault="00506EB6" w:rsidP="001518E2">
      <w:pPr>
        <w:pStyle w:val="ListParagraph"/>
      </w:pPr>
      <w:r>
        <w:lastRenderedPageBreak/>
        <w:t xml:space="preserve">A GP managing </w:t>
      </w:r>
      <w:r w:rsidRPr="001518E2">
        <w:t xml:space="preserve">the patient under a GP Mental Health Treatment Plan </w:t>
      </w:r>
    </w:p>
    <w:p w14:paraId="407529E3" w14:textId="77777777" w:rsidR="00506EB6" w:rsidRPr="001518E2" w:rsidRDefault="00506EB6" w:rsidP="001518E2">
      <w:pPr>
        <w:pStyle w:val="ListParagraph"/>
      </w:pPr>
      <w:r w:rsidRPr="001518E2">
        <w:t xml:space="preserve">Under a referred psychiatrist assessment and management plan </w:t>
      </w:r>
    </w:p>
    <w:p w14:paraId="407529E4" w14:textId="77777777" w:rsidR="0031399E" w:rsidRPr="00506EB6" w:rsidRDefault="00506EB6" w:rsidP="001518E2">
      <w:pPr>
        <w:pStyle w:val="ListParagraph"/>
        <w:rPr>
          <w:rFonts w:cstheme="minorHAnsi"/>
        </w:rPr>
      </w:pPr>
      <w:r w:rsidRPr="001518E2">
        <w:t>A psychiatrist or</w:t>
      </w:r>
      <w:r>
        <w:t xml:space="preserve"> paediatrician</w:t>
      </w:r>
    </w:p>
    <w:p w14:paraId="407529E6" w14:textId="77777777" w:rsidR="00746E0D" w:rsidRDefault="003E4A17" w:rsidP="0031399E">
      <w:pPr>
        <w:spacing w:after="0"/>
        <w:rPr>
          <w:rFonts w:cstheme="minorHAnsi"/>
        </w:rPr>
      </w:pPr>
      <w:r w:rsidRPr="00031618">
        <w:rPr>
          <w:rFonts w:cstheme="minorHAnsi"/>
        </w:rPr>
        <w:t>In 2017</w:t>
      </w:r>
      <w:r w:rsidR="001C7E04" w:rsidRPr="00031618">
        <w:rPr>
          <w:rFonts w:cstheme="minorHAnsi"/>
        </w:rPr>
        <w:t xml:space="preserve"> and 20</w:t>
      </w:r>
      <w:r w:rsidRPr="00031618">
        <w:rPr>
          <w:rFonts w:cstheme="minorHAnsi"/>
        </w:rPr>
        <w:t>18</w:t>
      </w:r>
      <w:r w:rsidR="00746E0D" w:rsidRPr="00031618">
        <w:rPr>
          <w:rFonts w:cstheme="minorHAnsi"/>
        </w:rPr>
        <w:t xml:space="preserve"> t</w:t>
      </w:r>
      <w:r w:rsidRPr="00031618">
        <w:rPr>
          <w:rFonts w:cstheme="minorHAnsi"/>
        </w:rPr>
        <w:t xml:space="preserve">he program </w:t>
      </w:r>
      <w:r w:rsidR="00F131B4">
        <w:rPr>
          <w:rFonts w:cstheme="minorHAnsi"/>
        </w:rPr>
        <w:t>underwent</w:t>
      </w:r>
      <w:r w:rsidR="00746E0D" w:rsidRPr="00031618">
        <w:rPr>
          <w:rFonts w:cstheme="minorHAnsi"/>
        </w:rPr>
        <w:t xml:space="preserve"> </w:t>
      </w:r>
      <w:hyperlink r:id="rId27" w:history="1">
        <w:r w:rsidR="00746E0D" w:rsidRPr="00031618">
          <w:rPr>
            <w:rStyle w:val="Hyperlink"/>
            <w:rFonts w:cstheme="minorHAnsi"/>
          </w:rPr>
          <w:t>several modifications</w:t>
        </w:r>
      </w:hyperlink>
      <w:r w:rsidR="00746E0D" w:rsidRPr="00031618">
        <w:rPr>
          <w:rFonts w:cstheme="minorHAnsi"/>
        </w:rPr>
        <w:t xml:space="preserve"> to increase the access of people in remote and rural areas (Modified Monash Model areas 4-7):</w:t>
      </w:r>
    </w:p>
    <w:p w14:paraId="407529E8" w14:textId="77777777" w:rsidR="004C63E0" w:rsidRPr="001518E2" w:rsidRDefault="00301EBB" w:rsidP="001518E2">
      <w:pPr>
        <w:pStyle w:val="ListParagraph"/>
      </w:pPr>
      <w:r w:rsidRPr="001518E2">
        <w:t>From</w:t>
      </w:r>
      <w:r w:rsidR="00746E0D" w:rsidRPr="001518E2">
        <w:t xml:space="preserve"> November 2017</w:t>
      </w:r>
      <w:r w:rsidR="0031399E" w:rsidRPr="001518E2">
        <w:t xml:space="preserve"> </w:t>
      </w:r>
      <w:r w:rsidR="00746E0D" w:rsidRPr="001518E2">
        <w:t>people</w:t>
      </w:r>
      <w:r w:rsidR="0031399E" w:rsidRPr="001518E2">
        <w:t xml:space="preserve"> </w:t>
      </w:r>
      <w:r w:rsidR="00746E0D" w:rsidRPr="001518E2">
        <w:t>could</w:t>
      </w:r>
      <w:r w:rsidR="0031399E" w:rsidRPr="001518E2">
        <w:t xml:space="preserve"> access services through video conferencing</w:t>
      </w:r>
      <w:r w:rsidR="00746E0D" w:rsidRPr="001518E2">
        <w:t xml:space="preserve"> (telehealth),</w:t>
      </w:r>
      <w:r w:rsidR="0031399E" w:rsidRPr="001518E2">
        <w:t xml:space="preserve"> where visual and audio links are established between a patient and their treating allied health professional. </w:t>
      </w:r>
      <w:r w:rsidR="00746E0D" w:rsidRPr="001518E2">
        <w:t>T</w:t>
      </w:r>
      <w:r w:rsidR="0031399E" w:rsidRPr="001518E2">
        <w:t xml:space="preserve">elehealth services </w:t>
      </w:r>
      <w:r w:rsidR="00746E0D" w:rsidRPr="001518E2">
        <w:t>are able to be</w:t>
      </w:r>
      <w:r w:rsidR="0031399E" w:rsidRPr="001518E2">
        <w:t xml:space="preserve"> delivered by psychologists, social workers and occupational therapists that are registered with Medicare.</w:t>
      </w:r>
    </w:p>
    <w:p w14:paraId="407529E9" w14:textId="77777777" w:rsidR="00746E0D" w:rsidRPr="001518E2" w:rsidRDefault="00301EBB" w:rsidP="001518E2">
      <w:pPr>
        <w:pStyle w:val="ListParagraph"/>
      </w:pPr>
      <w:r w:rsidRPr="001518E2">
        <w:t>F</w:t>
      </w:r>
      <w:r w:rsidR="00746E0D" w:rsidRPr="001518E2">
        <w:t xml:space="preserve">rom </w:t>
      </w:r>
      <w:r w:rsidR="0031399E" w:rsidRPr="001518E2">
        <w:t xml:space="preserve">September 2018, eligible patients </w:t>
      </w:r>
      <w:r w:rsidR="00746E0D" w:rsidRPr="001518E2">
        <w:t>could access</w:t>
      </w:r>
      <w:r w:rsidR="0031399E" w:rsidRPr="001518E2">
        <w:t xml:space="preserve"> all of their Better Acces</w:t>
      </w:r>
      <w:r w:rsidR="00746E0D" w:rsidRPr="001518E2">
        <w:t>s sessions via videoconference</w:t>
      </w:r>
      <w:r w:rsidRPr="001518E2">
        <w:t>.</w:t>
      </w:r>
    </w:p>
    <w:p w14:paraId="407529EA" w14:textId="77777777" w:rsidR="0031399E" w:rsidRDefault="00301EBB" w:rsidP="001518E2">
      <w:pPr>
        <w:pStyle w:val="ListParagraph"/>
      </w:pPr>
      <w:r w:rsidRPr="001518E2">
        <w:t>F</w:t>
      </w:r>
      <w:r w:rsidR="0031399E" w:rsidRPr="001518E2">
        <w:t>rom</w:t>
      </w:r>
      <w:r w:rsidR="0031399E" w:rsidRPr="00746E0D">
        <w:t xml:space="preserve"> 1 November 2018, eligible general practitioners and medical practitioners </w:t>
      </w:r>
      <w:r w:rsidR="00746E0D" w:rsidRPr="00746E0D">
        <w:t>were also</w:t>
      </w:r>
      <w:r w:rsidR="0031399E" w:rsidRPr="00746E0D">
        <w:t xml:space="preserve"> able to deliver focussed psychological</w:t>
      </w:r>
      <w:r w:rsidR="00746E0D">
        <w:t xml:space="preserve"> strategies via videoconference</w:t>
      </w:r>
      <w:r>
        <w:t>.</w:t>
      </w:r>
    </w:p>
    <w:p w14:paraId="407529EC" w14:textId="77777777" w:rsidR="00383E7E" w:rsidRPr="009777E5" w:rsidRDefault="00383E7E" w:rsidP="009C2BCB">
      <w:r w:rsidRPr="009777E5">
        <w:t xml:space="preserve">Further, a review of the 5,700 Medicare Benefits Schedule </w:t>
      </w:r>
      <w:r w:rsidR="00F907B3">
        <w:t xml:space="preserve">(MBS) </w:t>
      </w:r>
      <w:r w:rsidRPr="009777E5">
        <w:t>items is currently in train. This includes those used to treat people with mental health disorders. Consultation with stakeholders and the community is underway</w:t>
      </w:r>
      <w:r w:rsidR="009777E5">
        <w:t>.</w:t>
      </w:r>
      <w:r w:rsidRPr="009777E5">
        <w:t xml:space="preserve"> </w:t>
      </w:r>
      <w:r w:rsidR="009777E5">
        <w:t>The</w:t>
      </w:r>
      <w:r w:rsidRPr="009777E5">
        <w:t xml:space="preserve"> </w:t>
      </w:r>
      <w:hyperlink r:id="rId28" w:history="1">
        <w:r w:rsidRPr="009777E5">
          <w:rPr>
            <w:rStyle w:val="Hyperlink"/>
            <w:rFonts w:cstheme="minorHAnsi"/>
          </w:rPr>
          <w:t>Mental Health Reference Group Report</w:t>
        </w:r>
      </w:hyperlink>
      <w:r w:rsidRPr="009777E5">
        <w:t xml:space="preserve"> </w:t>
      </w:r>
      <w:r w:rsidR="009777E5">
        <w:t>has made</w:t>
      </w:r>
      <w:r w:rsidRPr="009777E5">
        <w:t xml:space="preserve"> a number of recommendations that aim to achieve more flexible access to care </w:t>
      </w:r>
      <w:r w:rsidRPr="009777E5">
        <w:rPr>
          <w:rFonts w:eastAsiaTheme="minorEastAsia"/>
        </w:rPr>
        <w:t>(particularly in rural areas)</w:t>
      </w:r>
      <w:r w:rsidRPr="009777E5">
        <w:t>.</w:t>
      </w:r>
    </w:p>
    <w:p w14:paraId="407529ED" w14:textId="77777777" w:rsidR="008450C4" w:rsidRDefault="00F15013" w:rsidP="008450C4">
      <w:pPr>
        <w:spacing w:after="0"/>
        <w:rPr>
          <w:rFonts w:cstheme="minorHAnsi"/>
        </w:rPr>
      </w:pPr>
      <w:r w:rsidRPr="00F15013">
        <w:rPr>
          <w:rFonts w:cstheme="minorHAnsi"/>
        </w:rPr>
        <w:t xml:space="preserve">The </w:t>
      </w:r>
      <w:r w:rsidR="009777E5">
        <w:rPr>
          <w:rFonts w:cstheme="minorHAnsi"/>
        </w:rPr>
        <w:t>g</w:t>
      </w:r>
      <w:r w:rsidRPr="00F15013">
        <w:rPr>
          <w:rFonts w:cstheme="minorHAnsi"/>
        </w:rPr>
        <w:t xml:space="preserve">overnment </w:t>
      </w:r>
      <w:r w:rsidR="00F131B4">
        <w:rPr>
          <w:rFonts w:cstheme="minorHAnsi"/>
        </w:rPr>
        <w:t>will</w:t>
      </w:r>
      <w:r>
        <w:rPr>
          <w:rFonts w:cstheme="minorHAnsi"/>
        </w:rPr>
        <w:t xml:space="preserve"> </w:t>
      </w:r>
      <w:r w:rsidR="00F131B4">
        <w:rPr>
          <w:rFonts w:cstheme="minorHAnsi"/>
        </w:rPr>
        <w:t>respond</w:t>
      </w:r>
      <w:r w:rsidRPr="00F15013">
        <w:rPr>
          <w:rFonts w:cstheme="minorHAnsi"/>
        </w:rPr>
        <w:t xml:space="preserve"> to recommendations </w:t>
      </w:r>
      <w:r>
        <w:rPr>
          <w:rFonts w:cstheme="minorHAnsi"/>
        </w:rPr>
        <w:t xml:space="preserve">relating to the 47 </w:t>
      </w:r>
      <w:r w:rsidR="00F907B3">
        <w:rPr>
          <w:rFonts w:cstheme="minorHAnsi"/>
        </w:rPr>
        <w:t xml:space="preserve">MBS </w:t>
      </w:r>
      <w:r>
        <w:rPr>
          <w:rFonts w:cstheme="minorHAnsi"/>
        </w:rPr>
        <w:t>items</w:t>
      </w:r>
      <w:r w:rsidR="00F131B4">
        <w:rPr>
          <w:rFonts w:cstheme="minorHAnsi"/>
        </w:rPr>
        <w:t xml:space="preserve"> in due course</w:t>
      </w:r>
      <w:r>
        <w:rPr>
          <w:rFonts w:cstheme="minorHAnsi"/>
        </w:rPr>
        <w:t xml:space="preserve">. </w:t>
      </w:r>
    </w:p>
    <w:p w14:paraId="407529EF" w14:textId="77777777" w:rsidR="00BD7D85" w:rsidRPr="00E0008C" w:rsidRDefault="00BD7D85" w:rsidP="00E0008C">
      <w:pPr>
        <w:pStyle w:val="Heading3"/>
      </w:pPr>
      <w:r w:rsidRPr="00E0008C">
        <w:t>Recommendation 10</w:t>
      </w:r>
    </w:p>
    <w:p w14:paraId="407529F0" w14:textId="77777777" w:rsidR="00BD7D85" w:rsidRDefault="00BD7D85" w:rsidP="00BD7D85">
      <w:pPr>
        <w:spacing w:before="40" w:after="160"/>
        <w:rPr>
          <w:bCs/>
        </w:rPr>
      </w:pPr>
      <w:r w:rsidRPr="00BD7D85">
        <w:rPr>
          <w:bCs/>
        </w:rPr>
        <w:t>The committee recommends that the Commonwealt</w:t>
      </w:r>
      <w:r>
        <w:rPr>
          <w:bCs/>
        </w:rPr>
        <w:t xml:space="preserve">h Government </w:t>
      </w:r>
      <w:r w:rsidRPr="00BD7D85">
        <w:rPr>
          <w:bCs/>
        </w:rPr>
        <w:t>prioritise the development of implementati</w:t>
      </w:r>
      <w:r>
        <w:rPr>
          <w:bCs/>
        </w:rPr>
        <w:t xml:space="preserve">on and evaluation plans for the </w:t>
      </w:r>
      <w:r w:rsidRPr="00BD7D85">
        <w:rPr>
          <w:bCs/>
        </w:rPr>
        <w:t xml:space="preserve">National Strategic Framework for Aboriginal and </w:t>
      </w:r>
      <w:r>
        <w:rPr>
          <w:bCs/>
        </w:rPr>
        <w:t xml:space="preserve">Torres Strait Islander Peoples' </w:t>
      </w:r>
      <w:r w:rsidRPr="00BD7D85">
        <w:rPr>
          <w:bCs/>
        </w:rPr>
        <w:t>Mental Health and Social and Emotional Wellbeing 2017–2023.</w:t>
      </w:r>
    </w:p>
    <w:p w14:paraId="407529F1" w14:textId="77777777" w:rsidR="002F6235" w:rsidRPr="002F6235" w:rsidRDefault="002F6235" w:rsidP="00E0008C">
      <w:pPr>
        <w:pStyle w:val="Heading4"/>
        <w:rPr>
          <w:b w:val="0"/>
        </w:rPr>
      </w:pPr>
      <w:r w:rsidRPr="002F6235">
        <w:t>Government response</w:t>
      </w:r>
    </w:p>
    <w:p w14:paraId="407529F2" w14:textId="77777777" w:rsidR="002F6235" w:rsidRPr="00AE365B" w:rsidRDefault="00BD7D85" w:rsidP="00E0008C">
      <w:pPr>
        <w:pStyle w:val="Heading5"/>
        <w:rPr>
          <w:b w:val="0"/>
        </w:rPr>
      </w:pPr>
      <w:r w:rsidRPr="00AE365B">
        <w:t xml:space="preserve">The Government </w:t>
      </w:r>
      <w:r w:rsidR="00493975">
        <w:t>SUPPORTS</w:t>
      </w:r>
      <w:r w:rsidRPr="00AE365B">
        <w:t xml:space="preserve"> this recommendation </w:t>
      </w:r>
    </w:p>
    <w:p w14:paraId="407529F4" w14:textId="77777777" w:rsidR="002C2F4C" w:rsidRDefault="002C2F4C" w:rsidP="002C2F4C">
      <w:pPr>
        <w:rPr>
          <w:color w:val="000000" w:themeColor="text1"/>
        </w:rPr>
      </w:pPr>
      <w:r w:rsidRPr="00BC360D">
        <w:rPr>
          <w:color w:val="000000" w:themeColor="text1"/>
        </w:rPr>
        <w:t xml:space="preserve">The </w:t>
      </w:r>
      <w:hyperlink r:id="rId29" w:history="1">
        <w:r w:rsidRPr="002C2F4C">
          <w:rPr>
            <w:rStyle w:val="Hyperlink"/>
          </w:rPr>
          <w:t>National Strategic Framework for Aboriginal and Torres Strait Islander Peoples’ Mental Health and Social and Emotional Wellbeing 2017-2023</w:t>
        </w:r>
      </w:hyperlink>
      <w:r w:rsidR="00944DFB">
        <w:rPr>
          <w:color w:val="000000" w:themeColor="text1"/>
        </w:rPr>
        <w:t xml:space="preserve"> </w:t>
      </w:r>
      <w:r w:rsidRPr="00BC360D">
        <w:rPr>
          <w:color w:val="000000" w:themeColor="text1"/>
        </w:rPr>
        <w:t>guide</w:t>
      </w:r>
      <w:r w:rsidR="00944DFB">
        <w:rPr>
          <w:color w:val="000000" w:themeColor="text1"/>
        </w:rPr>
        <w:t>s</w:t>
      </w:r>
      <w:r w:rsidRPr="00BC360D">
        <w:rPr>
          <w:color w:val="000000" w:themeColor="text1"/>
        </w:rPr>
        <w:t xml:space="preserve"> and inform</w:t>
      </w:r>
      <w:r w:rsidR="00944DFB">
        <w:rPr>
          <w:color w:val="000000" w:themeColor="text1"/>
        </w:rPr>
        <w:t>s</w:t>
      </w:r>
      <w:r w:rsidRPr="00BC360D">
        <w:rPr>
          <w:color w:val="000000" w:themeColor="text1"/>
        </w:rPr>
        <w:t xml:space="preserve"> Aboriginal and Torres Strait Islander men</w:t>
      </w:r>
      <w:r w:rsidR="009777E5">
        <w:rPr>
          <w:color w:val="000000" w:themeColor="text1"/>
        </w:rPr>
        <w:t xml:space="preserve">tal health and wellbeing reform. It is </w:t>
      </w:r>
      <w:r w:rsidRPr="00BC360D">
        <w:rPr>
          <w:color w:val="000000" w:themeColor="text1"/>
        </w:rPr>
        <w:t>designed to complement the Fifth National Mental Health and Suicide Prevention Plan and contribute</w:t>
      </w:r>
      <w:r w:rsidR="00377FF0">
        <w:rPr>
          <w:color w:val="000000" w:themeColor="text1"/>
        </w:rPr>
        <w:t>s</w:t>
      </w:r>
      <w:r w:rsidRPr="00BC360D">
        <w:rPr>
          <w:color w:val="000000" w:themeColor="text1"/>
        </w:rPr>
        <w:t xml:space="preserve"> to the vision of the National Aboriginal and Torres Strait Islander Health Plan 2012-2023</w:t>
      </w:r>
      <w:r w:rsidR="00797CC0">
        <w:rPr>
          <w:color w:val="000000" w:themeColor="text1"/>
        </w:rPr>
        <w:t>.</w:t>
      </w:r>
      <w:r w:rsidR="00377FF0">
        <w:rPr>
          <w:color w:val="000000" w:themeColor="text1"/>
        </w:rPr>
        <w:t xml:space="preserve"> Responsibility implementing and evaluating the broad sweeping National Strategic Framework is shared between the Commonwealth and States and Territories.</w:t>
      </w:r>
    </w:p>
    <w:p w14:paraId="407529F5" w14:textId="297CFF2C" w:rsidR="00170B3B" w:rsidRPr="007E6ABF" w:rsidRDefault="00C81582" w:rsidP="007E6ABF">
      <w:pPr>
        <w:rPr>
          <w:color w:val="000000" w:themeColor="text1"/>
        </w:rPr>
      </w:pPr>
      <w:r>
        <w:rPr>
          <w:color w:val="000000" w:themeColor="text1"/>
        </w:rPr>
        <w:t>T</w:t>
      </w:r>
      <w:r w:rsidR="002C2F4C" w:rsidRPr="00BC360D">
        <w:rPr>
          <w:color w:val="000000" w:themeColor="text1"/>
        </w:rPr>
        <w:t xml:space="preserve">he Aboriginal and Torres Strait Islander Mental Health and Suicide Prevention Project Reference Group has been established to determine priorities for planning and investment for Aboriginal and Torres Strait Islander mental health and suicide prevention arising from the Plan. Membership of the Reference Group consists of representatives from the </w:t>
      </w:r>
      <w:r w:rsidR="002C2F4C">
        <w:rPr>
          <w:color w:val="000000" w:themeColor="text1"/>
        </w:rPr>
        <w:t>Australian Government</w:t>
      </w:r>
      <w:r w:rsidR="002C2F4C" w:rsidRPr="00BC360D">
        <w:rPr>
          <w:color w:val="000000" w:themeColor="text1"/>
        </w:rPr>
        <w:t xml:space="preserve"> and each state and territory government, together with expert representatives from key peak bodies, research and academia, and the Aboriginal and Torres</w:t>
      </w:r>
      <w:r w:rsidR="001518E2">
        <w:rPr>
          <w:color w:val="000000" w:themeColor="text1"/>
        </w:rPr>
        <w:t xml:space="preserve"> Strait Islander health sector.</w:t>
      </w:r>
    </w:p>
    <w:p w14:paraId="407529F6" w14:textId="77777777" w:rsidR="00484AD6" w:rsidRPr="00484AD6" w:rsidRDefault="008D3869" w:rsidP="00484AD6">
      <w:pPr>
        <w:spacing w:after="0"/>
        <w:rPr>
          <w:rFonts w:cstheme="minorHAnsi"/>
        </w:rPr>
      </w:pPr>
      <w:r>
        <w:rPr>
          <w:rFonts w:cstheme="minorHAnsi"/>
        </w:rPr>
        <w:lastRenderedPageBreak/>
        <w:t>The majority of</w:t>
      </w:r>
      <w:r w:rsidRPr="001160FD">
        <w:rPr>
          <w:rFonts w:cstheme="minorHAnsi"/>
        </w:rPr>
        <w:t xml:space="preserve"> </w:t>
      </w:r>
      <w:r w:rsidR="00C126C2">
        <w:rPr>
          <w:rFonts w:cstheme="minorHAnsi"/>
        </w:rPr>
        <w:t xml:space="preserve">such </w:t>
      </w:r>
      <w:r w:rsidRPr="001160FD">
        <w:rPr>
          <w:rFonts w:cstheme="minorHAnsi"/>
        </w:rPr>
        <w:t xml:space="preserve">social and emotional wellbeing funding goes to Aboriginal Community Controlled Health </w:t>
      </w:r>
      <w:r>
        <w:rPr>
          <w:rFonts w:cstheme="minorHAnsi"/>
        </w:rPr>
        <w:t xml:space="preserve">Organisations </w:t>
      </w:r>
      <w:r w:rsidRPr="001160FD">
        <w:rPr>
          <w:rFonts w:cstheme="minorHAnsi"/>
        </w:rPr>
        <w:t>or other Aboriginal and Torres Strait Islander community organisations.</w:t>
      </w:r>
      <w:r w:rsidR="00484AD6">
        <w:rPr>
          <w:rFonts w:cstheme="minorHAnsi"/>
        </w:rPr>
        <w:t xml:space="preserve"> </w:t>
      </w:r>
      <w:r w:rsidR="002C2F4C" w:rsidRPr="00BC360D">
        <w:rPr>
          <w:color w:val="000000" w:themeColor="text1"/>
        </w:rPr>
        <w:t xml:space="preserve">The </w:t>
      </w:r>
      <w:r w:rsidR="00F33893">
        <w:rPr>
          <w:color w:val="000000" w:themeColor="text1"/>
        </w:rPr>
        <w:t>Australian Government also</w:t>
      </w:r>
      <w:r w:rsidR="002C2F4C" w:rsidRPr="00BC360D">
        <w:rPr>
          <w:color w:val="000000" w:themeColor="text1"/>
        </w:rPr>
        <w:t xml:space="preserve"> funds the Aboriginal and Torres Strait Islander Mental Health and Suicide Prevent</w:t>
      </w:r>
      <w:r w:rsidR="00F33893">
        <w:rPr>
          <w:color w:val="000000" w:themeColor="text1"/>
        </w:rPr>
        <w:t xml:space="preserve">ion Advisory Group </w:t>
      </w:r>
      <w:r w:rsidR="002C2F4C" w:rsidRPr="00BC360D">
        <w:rPr>
          <w:color w:val="000000" w:themeColor="text1"/>
        </w:rPr>
        <w:t>to provide advice on Aboriginal and Torres Strait Islander mental health and suicide prevention</w:t>
      </w:r>
      <w:r w:rsidR="00F33893">
        <w:rPr>
          <w:color w:val="000000" w:themeColor="text1"/>
        </w:rPr>
        <w:t>, including strategies within the Framework.</w:t>
      </w:r>
    </w:p>
    <w:p w14:paraId="407529F8" w14:textId="77777777" w:rsidR="003B5452" w:rsidRPr="001160FD" w:rsidRDefault="003B5452" w:rsidP="00E0008C">
      <w:pPr>
        <w:pStyle w:val="Heading3"/>
      </w:pPr>
      <w:r w:rsidRPr="001160FD">
        <w:t>Recommendation 11</w:t>
      </w:r>
    </w:p>
    <w:p w14:paraId="407529F9" w14:textId="77777777" w:rsidR="003B5452" w:rsidRPr="0046077A" w:rsidRDefault="003B5452" w:rsidP="003B5452">
      <w:pPr>
        <w:spacing w:after="0"/>
        <w:rPr>
          <w:rFonts w:cstheme="minorHAnsi"/>
        </w:rPr>
      </w:pPr>
      <w:r w:rsidRPr="0046077A">
        <w:rPr>
          <w:rFonts w:cstheme="minorHAnsi"/>
        </w:rPr>
        <w:t>The committee recommends the Commonwealth Government implement</w:t>
      </w:r>
      <w:r w:rsidR="000632D1">
        <w:rPr>
          <w:rFonts w:cstheme="minorHAnsi"/>
        </w:rPr>
        <w:t xml:space="preserve"> </w:t>
      </w:r>
      <w:r w:rsidRPr="0046077A">
        <w:rPr>
          <w:rFonts w:cstheme="minorHAnsi"/>
        </w:rPr>
        <w:t xml:space="preserve">measures to ensure that services commissioned by </w:t>
      </w:r>
      <w:r w:rsidR="007A12A8">
        <w:rPr>
          <w:rFonts w:cstheme="minorHAnsi"/>
        </w:rPr>
        <w:t xml:space="preserve">PHNs </w:t>
      </w:r>
      <w:r w:rsidRPr="0046077A">
        <w:rPr>
          <w:rFonts w:cstheme="minorHAnsi"/>
        </w:rPr>
        <w:t xml:space="preserve">embody the action plans of the </w:t>
      </w:r>
      <w:r w:rsidRPr="00301EBB">
        <w:rPr>
          <w:rFonts w:cstheme="minorHAnsi"/>
        </w:rPr>
        <w:t>National Strategic Framework for Aboriginal and</w:t>
      </w:r>
      <w:r w:rsidR="000632D1" w:rsidRPr="00301EBB">
        <w:rPr>
          <w:rFonts w:cstheme="minorHAnsi"/>
        </w:rPr>
        <w:t xml:space="preserve"> </w:t>
      </w:r>
      <w:r w:rsidRPr="00301EBB">
        <w:rPr>
          <w:rFonts w:cstheme="minorHAnsi"/>
        </w:rPr>
        <w:t>Torres Strait Islander Peoples' Mental Health and Social and Emotional Wellbeing</w:t>
      </w:r>
      <w:r w:rsidR="000632D1" w:rsidRPr="00301EBB">
        <w:rPr>
          <w:rFonts w:cstheme="minorHAnsi"/>
        </w:rPr>
        <w:t xml:space="preserve"> 2017–2023 </w:t>
      </w:r>
      <w:r w:rsidRPr="0046077A">
        <w:rPr>
          <w:rFonts w:cstheme="minorHAnsi"/>
        </w:rPr>
        <w:t>and are delivered by, or in genuine long-term partnerships with,</w:t>
      </w:r>
      <w:r w:rsidR="007A12A8">
        <w:rPr>
          <w:rFonts w:cstheme="minorHAnsi"/>
        </w:rPr>
        <w:t xml:space="preserve"> </w:t>
      </w:r>
      <w:r w:rsidRPr="0046077A">
        <w:rPr>
          <w:rFonts w:cstheme="minorHAnsi"/>
        </w:rPr>
        <w:t>Aboriginal Community Controlled Health Services and other Aboriginal and</w:t>
      </w:r>
      <w:r w:rsidR="000632D1">
        <w:rPr>
          <w:rFonts w:cstheme="minorHAnsi"/>
        </w:rPr>
        <w:t xml:space="preserve"> </w:t>
      </w:r>
      <w:r w:rsidRPr="0046077A">
        <w:rPr>
          <w:rFonts w:cstheme="minorHAnsi"/>
        </w:rPr>
        <w:t>Torres Strait Islander community organisations.</w:t>
      </w:r>
    </w:p>
    <w:p w14:paraId="407529FB" w14:textId="77777777" w:rsidR="000632D1" w:rsidRPr="00E0008C" w:rsidRDefault="001160FD" w:rsidP="00E0008C">
      <w:pPr>
        <w:pStyle w:val="Heading4"/>
      </w:pPr>
      <w:r w:rsidRPr="00E0008C">
        <w:t>Government response</w:t>
      </w:r>
    </w:p>
    <w:p w14:paraId="407529FC" w14:textId="77777777" w:rsidR="00B7453C" w:rsidRPr="007F2CE7" w:rsidRDefault="00B7453C" w:rsidP="00E0008C">
      <w:pPr>
        <w:pStyle w:val="Heading5"/>
      </w:pPr>
      <w:r w:rsidRPr="007F2CE7">
        <w:t xml:space="preserve">The Government </w:t>
      </w:r>
      <w:r w:rsidR="0066220B">
        <w:t>SUPPORTS</w:t>
      </w:r>
      <w:r w:rsidRPr="007F2CE7">
        <w:t xml:space="preserve"> this recommendation</w:t>
      </w:r>
      <w:r w:rsidR="00280C6E">
        <w:t>.</w:t>
      </w:r>
    </w:p>
    <w:p w14:paraId="407529FE" w14:textId="77777777" w:rsidR="008C56B6" w:rsidRDefault="001160FD" w:rsidP="001160FD">
      <w:pPr>
        <w:spacing w:after="0"/>
        <w:rPr>
          <w:rFonts w:cstheme="minorHAnsi"/>
        </w:rPr>
      </w:pPr>
      <w:r w:rsidRPr="001160FD">
        <w:rPr>
          <w:rFonts w:cstheme="minorHAnsi"/>
        </w:rPr>
        <w:t>PHNs are expected to work closely with the communities and key stakeholders in their regions, including Aboriginal and Torres Strait Islander communities and organisations, in assessing and prioritising health needs and in planning and commissioning primary health care services.</w:t>
      </w:r>
    </w:p>
    <w:p w14:paraId="40752A00" w14:textId="7F192708" w:rsidR="001160FD" w:rsidRDefault="007F2CE7" w:rsidP="001160FD">
      <w:pPr>
        <w:spacing w:after="0"/>
        <w:rPr>
          <w:rFonts w:cstheme="minorHAnsi"/>
        </w:rPr>
      </w:pPr>
      <w:r w:rsidRPr="001160FD">
        <w:rPr>
          <w:rFonts w:cstheme="minorHAnsi"/>
        </w:rPr>
        <w:t>PHNs an</w:t>
      </w:r>
      <w:r>
        <w:rPr>
          <w:rFonts w:cstheme="minorHAnsi"/>
        </w:rPr>
        <w:t>d ACCHO peak bodies together designed</w:t>
      </w:r>
      <w:r w:rsidRPr="001160FD">
        <w:rPr>
          <w:rFonts w:cstheme="minorHAnsi"/>
        </w:rPr>
        <w:t xml:space="preserve"> </w:t>
      </w:r>
      <w:hyperlink r:id="rId30" w:history="1">
        <w:r w:rsidR="001160FD" w:rsidRPr="007F2CE7">
          <w:rPr>
            <w:rStyle w:val="Hyperlink"/>
            <w:rFonts w:cstheme="minorHAnsi"/>
          </w:rPr>
          <w:t>Guiding Principles</w:t>
        </w:r>
      </w:hyperlink>
      <w:r>
        <w:rPr>
          <w:rFonts w:cstheme="minorHAnsi"/>
        </w:rPr>
        <w:t xml:space="preserve"> for working together </w:t>
      </w:r>
      <w:r w:rsidR="001160FD" w:rsidRPr="001160FD">
        <w:rPr>
          <w:rFonts w:cstheme="minorHAnsi"/>
        </w:rPr>
        <w:t>in March 2016</w:t>
      </w:r>
      <w:r>
        <w:rPr>
          <w:rFonts w:cstheme="minorHAnsi"/>
        </w:rPr>
        <w:t xml:space="preserve">. </w:t>
      </w:r>
      <w:r w:rsidR="008C56B6">
        <w:rPr>
          <w:rFonts w:cstheme="minorHAnsi"/>
        </w:rPr>
        <w:t>These</w:t>
      </w:r>
      <w:r w:rsidR="001160FD" w:rsidRPr="001160FD">
        <w:rPr>
          <w:rFonts w:cstheme="minorHAnsi"/>
        </w:rPr>
        <w:t xml:space="preserve"> </w:t>
      </w:r>
      <w:r w:rsidR="008C56B6">
        <w:rPr>
          <w:rFonts w:cstheme="minorHAnsi"/>
        </w:rPr>
        <w:t>recognise</w:t>
      </w:r>
      <w:r w:rsidR="001160FD" w:rsidRPr="001160FD">
        <w:rPr>
          <w:rFonts w:cstheme="minorHAnsi"/>
        </w:rPr>
        <w:t xml:space="preserve"> the commitment by both to improve six key domains for Aboriginal and Torres Strait Islander health, including cultural competency,</w:t>
      </w:r>
      <w:r w:rsidR="001518E2">
        <w:rPr>
          <w:rFonts w:cstheme="minorHAnsi"/>
        </w:rPr>
        <w:t xml:space="preserve"> engagement and representation.</w:t>
      </w:r>
    </w:p>
    <w:p w14:paraId="40752A01" w14:textId="77777777" w:rsidR="008C56B6" w:rsidRDefault="008C56B6" w:rsidP="001160FD">
      <w:pPr>
        <w:spacing w:after="0"/>
        <w:rPr>
          <w:rFonts w:cstheme="minorHAnsi"/>
        </w:rPr>
      </w:pPr>
      <w:r>
        <w:rPr>
          <w:rFonts w:cstheme="minorHAnsi"/>
        </w:rPr>
        <w:t>It specifically notes the role of both groups in working towards the vision of the</w:t>
      </w:r>
      <w:r w:rsidRPr="008C56B6">
        <w:t xml:space="preserve"> </w:t>
      </w:r>
      <w:r>
        <w:t>Implementation Plan for the Aboriginal and Torres Strait Islander Health Plan 2013-2023.</w:t>
      </w:r>
    </w:p>
    <w:p w14:paraId="40752A03" w14:textId="188A811B" w:rsidR="001160FD" w:rsidRDefault="008C56B6" w:rsidP="001160FD">
      <w:pPr>
        <w:spacing w:after="0"/>
        <w:rPr>
          <w:rFonts w:cstheme="minorHAnsi"/>
        </w:rPr>
      </w:pPr>
      <w:r>
        <w:t xml:space="preserve">Similarly, the </w:t>
      </w:r>
      <w:hyperlink r:id="rId31" w:history="1">
        <w:r w:rsidR="001160FD" w:rsidRPr="00301EBB">
          <w:rPr>
            <w:rStyle w:val="Hyperlink"/>
            <w:rFonts w:cstheme="minorHAnsi"/>
          </w:rPr>
          <w:t>Integrated Mental Health and Suicide Prevention Services – A Guide for Local Health Networks and Primary Health Networks</w:t>
        </w:r>
      </w:hyperlink>
      <w:r>
        <w:rPr>
          <w:rFonts w:cstheme="minorHAnsi"/>
        </w:rPr>
        <w:t xml:space="preserve"> </w:t>
      </w:r>
      <w:r w:rsidR="00280C6E">
        <w:rPr>
          <w:rFonts w:cstheme="minorHAnsi"/>
        </w:rPr>
        <w:t>recognises</w:t>
      </w:r>
      <w:r w:rsidR="001160FD" w:rsidRPr="001160FD">
        <w:rPr>
          <w:rFonts w:cstheme="minorHAnsi"/>
        </w:rPr>
        <w:t xml:space="preserve"> that better integration of services for Aboriginal and Torres Strait Islander people requires an holistic approach to care </w:t>
      </w:r>
      <w:r w:rsidR="00280C6E">
        <w:rPr>
          <w:rFonts w:cstheme="minorHAnsi"/>
        </w:rPr>
        <w:t>reflecting</w:t>
      </w:r>
      <w:r w:rsidR="001160FD" w:rsidRPr="001160FD">
        <w:rPr>
          <w:rFonts w:cstheme="minorHAnsi"/>
        </w:rPr>
        <w:t xml:space="preserve"> the importance of physical health, mental health, spiritual needs and social and emotional wellbeing. The Guide requires that regional plans are developed with genuine inclusion of consumers, including local </w:t>
      </w:r>
      <w:r w:rsidR="00587960">
        <w:rPr>
          <w:rFonts w:cstheme="minorHAnsi"/>
        </w:rPr>
        <w:t>ACCHOs</w:t>
      </w:r>
      <w:r w:rsidR="001518E2">
        <w:rPr>
          <w:rFonts w:cstheme="minorHAnsi"/>
        </w:rPr>
        <w:t>.</w:t>
      </w:r>
    </w:p>
    <w:p w14:paraId="40752A05" w14:textId="77777777" w:rsidR="004C2BB7" w:rsidRDefault="004C2BB7" w:rsidP="004C2BB7">
      <w:pPr>
        <w:rPr>
          <w:rFonts w:eastAsia="Calibri" w:cs="Times New Roman"/>
          <w:color w:val="000000" w:themeColor="text1"/>
          <w:szCs w:val="24"/>
        </w:rPr>
      </w:pPr>
      <w:r>
        <w:rPr>
          <w:rFonts w:cstheme="minorHAnsi"/>
        </w:rPr>
        <w:t xml:space="preserve">PHNs are required to monitor and report on the type of organisations funded under the Integrated Team Care </w:t>
      </w:r>
      <w:r>
        <w:rPr>
          <w:rFonts w:eastAsia="Calibri" w:cs="Times New Roman"/>
          <w:color w:val="000000" w:themeColor="text1"/>
        </w:rPr>
        <w:t xml:space="preserve">program funds </w:t>
      </w:r>
      <w:r w:rsidR="007C2861">
        <w:rPr>
          <w:rFonts w:eastAsia="Calibri" w:cs="Times New Roman"/>
          <w:color w:val="000000" w:themeColor="text1"/>
        </w:rPr>
        <w:t>to ensure that a</w:t>
      </w:r>
      <w:r>
        <w:rPr>
          <w:rFonts w:eastAsia="Calibri" w:cs="Times New Roman"/>
          <w:color w:val="000000" w:themeColor="text1"/>
        </w:rPr>
        <w:t xml:space="preserve"> range of organisations, including A</w:t>
      </w:r>
      <w:r w:rsidR="007C2861">
        <w:rPr>
          <w:rFonts w:eastAsia="Calibri" w:cs="Times New Roman"/>
          <w:color w:val="000000" w:themeColor="text1"/>
        </w:rPr>
        <w:t>boriginal Medical Services</w:t>
      </w:r>
      <w:r>
        <w:rPr>
          <w:rFonts w:eastAsia="Calibri" w:cs="Times New Roman"/>
          <w:color w:val="000000" w:themeColor="text1"/>
        </w:rPr>
        <w:t>, mainstream organisations and sometimes PHN</w:t>
      </w:r>
      <w:r w:rsidR="007C2861">
        <w:rPr>
          <w:rFonts w:eastAsia="Calibri" w:cs="Times New Roman"/>
          <w:color w:val="000000" w:themeColor="text1"/>
        </w:rPr>
        <w:t>s themselves are funded for these coordination activities. (</w:t>
      </w:r>
      <w:r>
        <w:rPr>
          <w:rFonts w:eastAsia="Calibri" w:cs="Times New Roman"/>
          <w:color w:val="000000" w:themeColor="text1"/>
        </w:rPr>
        <w:t>PHNs may engage Indigenous</w:t>
      </w:r>
      <w:r w:rsidR="007C2861">
        <w:rPr>
          <w:rFonts w:eastAsia="Calibri" w:cs="Times New Roman"/>
          <w:color w:val="000000" w:themeColor="text1"/>
        </w:rPr>
        <w:t xml:space="preserve"> Health Project Officers </w:t>
      </w:r>
      <w:r>
        <w:rPr>
          <w:rFonts w:eastAsia="Calibri" w:cs="Times New Roman"/>
          <w:color w:val="000000" w:themeColor="text1"/>
        </w:rPr>
        <w:t>to undertake ITC activities</w:t>
      </w:r>
      <w:r w:rsidR="007C2861">
        <w:rPr>
          <w:rFonts w:eastAsia="Calibri" w:cs="Times New Roman"/>
          <w:color w:val="000000" w:themeColor="text1"/>
        </w:rPr>
        <w:t>).</w:t>
      </w:r>
    </w:p>
    <w:p w14:paraId="40752A06" w14:textId="14E878DE" w:rsidR="001160FD" w:rsidRDefault="008C56B6" w:rsidP="001160FD">
      <w:pPr>
        <w:spacing w:after="0"/>
        <w:rPr>
          <w:rFonts w:cstheme="minorHAnsi"/>
        </w:rPr>
      </w:pPr>
      <w:r>
        <w:rPr>
          <w:rFonts w:cstheme="minorHAnsi"/>
        </w:rPr>
        <w:t>A</w:t>
      </w:r>
      <w:r w:rsidR="001160FD" w:rsidRPr="001160FD">
        <w:rPr>
          <w:rFonts w:cstheme="minorHAnsi"/>
        </w:rPr>
        <w:t xml:space="preserve"> priority function for </w:t>
      </w:r>
      <w:r w:rsidR="00301EBB">
        <w:rPr>
          <w:rFonts w:cstheme="minorHAnsi"/>
        </w:rPr>
        <w:t xml:space="preserve">the </w:t>
      </w:r>
      <w:r w:rsidR="00301EBB" w:rsidRPr="001160FD">
        <w:rPr>
          <w:rFonts w:cstheme="minorHAnsi"/>
        </w:rPr>
        <w:t>Aboriginal and Torres Strait Islander Mental Health and Suicide Prevent</w:t>
      </w:r>
      <w:r w:rsidR="00301EBB">
        <w:rPr>
          <w:rFonts w:cstheme="minorHAnsi"/>
        </w:rPr>
        <w:t xml:space="preserve">ion Advisory Group </w:t>
      </w:r>
      <w:r w:rsidR="001160FD" w:rsidRPr="001160FD">
        <w:rPr>
          <w:rFonts w:cstheme="minorHAnsi"/>
        </w:rPr>
        <w:t xml:space="preserve">in its current term is to provide practical advice on improving Aboriginal and Torres Strait Islander mental health and suicide prevention outcomes through effective partnerships between the </w:t>
      </w:r>
      <w:r w:rsidR="00301EBB">
        <w:rPr>
          <w:rFonts w:cstheme="minorHAnsi"/>
        </w:rPr>
        <w:t>PHNs,</w:t>
      </w:r>
      <w:r w:rsidR="001160FD" w:rsidRPr="001160FD">
        <w:rPr>
          <w:rFonts w:cstheme="minorHAnsi"/>
        </w:rPr>
        <w:t xml:space="preserve"> the </w:t>
      </w:r>
      <w:r w:rsidR="00301EBB">
        <w:rPr>
          <w:rFonts w:cstheme="minorHAnsi"/>
        </w:rPr>
        <w:t>ACCHOs</w:t>
      </w:r>
      <w:r w:rsidR="001160FD" w:rsidRPr="001160FD">
        <w:rPr>
          <w:rFonts w:cstheme="minorHAnsi"/>
        </w:rPr>
        <w:t xml:space="preserve"> and mainstream providers, including by implementing better integrated planning and service delivery for Aboriginal and Torres Strait Islander people</w:t>
      </w:r>
      <w:r>
        <w:rPr>
          <w:rFonts w:cstheme="minorHAnsi"/>
        </w:rPr>
        <w:t>s</w:t>
      </w:r>
      <w:r w:rsidR="001518E2">
        <w:rPr>
          <w:rFonts w:cstheme="minorHAnsi"/>
        </w:rPr>
        <w:t>.</w:t>
      </w:r>
    </w:p>
    <w:p w14:paraId="40752A08" w14:textId="77777777" w:rsidR="003B5452" w:rsidRPr="001160FD" w:rsidRDefault="003B5452" w:rsidP="00E0008C">
      <w:pPr>
        <w:pStyle w:val="Heading3"/>
      </w:pPr>
      <w:r w:rsidRPr="001160FD">
        <w:lastRenderedPageBreak/>
        <w:t>Recommendation 12</w:t>
      </w:r>
    </w:p>
    <w:p w14:paraId="40752A09" w14:textId="77777777" w:rsidR="003B5452" w:rsidRPr="0046077A" w:rsidRDefault="003B5452" w:rsidP="003B5452">
      <w:pPr>
        <w:spacing w:after="0"/>
        <w:rPr>
          <w:rFonts w:cstheme="minorHAnsi"/>
        </w:rPr>
      </w:pPr>
      <w:r w:rsidRPr="0046077A">
        <w:rPr>
          <w:rFonts w:cstheme="minorHAnsi"/>
        </w:rPr>
        <w:t>The committee recommends that all Primary Health Networks have an</w:t>
      </w:r>
      <w:r w:rsidR="000632D1">
        <w:rPr>
          <w:rFonts w:cstheme="minorHAnsi"/>
        </w:rPr>
        <w:t xml:space="preserve"> </w:t>
      </w:r>
      <w:r w:rsidRPr="0046077A">
        <w:rPr>
          <w:rFonts w:cstheme="minorHAnsi"/>
        </w:rPr>
        <w:t>Aboriginal and Torres Strait Islander member on their board.</w:t>
      </w:r>
    </w:p>
    <w:p w14:paraId="40752A0B" w14:textId="77777777" w:rsidR="00AB3FD5" w:rsidRPr="00A6772C" w:rsidRDefault="001160FD" w:rsidP="00E0008C">
      <w:pPr>
        <w:pStyle w:val="Heading4"/>
      </w:pPr>
      <w:r w:rsidRPr="00A6772C">
        <w:t>Government response</w:t>
      </w:r>
    </w:p>
    <w:p w14:paraId="40752A0C" w14:textId="77777777" w:rsidR="00AB3FD5" w:rsidRPr="00280C6E" w:rsidRDefault="001160FD" w:rsidP="00E0008C">
      <w:pPr>
        <w:pStyle w:val="Heading5"/>
        <w:rPr>
          <w:rFonts w:cstheme="minorHAnsi"/>
        </w:rPr>
      </w:pPr>
      <w:r w:rsidRPr="00A6772C">
        <w:t xml:space="preserve">The Government </w:t>
      </w:r>
      <w:r w:rsidR="00DC4A79" w:rsidRPr="00A6772C">
        <w:t>SUPPORTS the intent of</w:t>
      </w:r>
      <w:r w:rsidR="00E91BEF" w:rsidRPr="00A6772C">
        <w:t xml:space="preserve"> </w:t>
      </w:r>
      <w:r w:rsidRPr="00A6772C">
        <w:t>this recommendation</w:t>
      </w:r>
    </w:p>
    <w:p w14:paraId="40752A0E" w14:textId="77777777" w:rsidR="001160FD" w:rsidRDefault="001160FD" w:rsidP="001160FD">
      <w:pPr>
        <w:spacing w:before="40" w:after="160"/>
      </w:pPr>
      <w:r w:rsidRPr="00C23263">
        <w:t xml:space="preserve">PHNs are independent, incorporated entities under the </w:t>
      </w:r>
      <w:r w:rsidRPr="00C23263">
        <w:rPr>
          <w:i/>
        </w:rPr>
        <w:t>Corporations Act 2001</w:t>
      </w:r>
      <w:r>
        <w:t xml:space="preserve"> </w:t>
      </w:r>
      <w:r w:rsidRPr="00C23263">
        <w:t xml:space="preserve">and are all registered charities with the </w:t>
      </w:r>
      <w:hyperlink r:id="rId32" w:history="1">
        <w:r w:rsidRPr="00AB3FD5">
          <w:rPr>
            <w:rStyle w:val="Hyperlink"/>
          </w:rPr>
          <w:t>Australian Charities and Not-for-profits Commission</w:t>
        </w:r>
      </w:hyperlink>
      <w:r w:rsidRPr="00C23263">
        <w:t xml:space="preserve">. As independent entities, PHNs have some flexibility in how they establish their governance arrangements; however they must comply with their obligations under the Act and contractual obligations with the </w:t>
      </w:r>
      <w:r>
        <w:t xml:space="preserve">Australian Government </w:t>
      </w:r>
      <w:r w:rsidRPr="00C23263">
        <w:t>Department</w:t>
      </w:r>
      <w:r>
        <w:t xml:space="preserve"> of Health.</w:t>
      </w:r>
    </w:p>
    <w:p w14:paraId="40752A0F" w14:textId="77777777" w:rsidR="001160FD" w:rsidRDefault="001160FD" w:rsidP="001160FD">
      <w:pPr>
        <w:spacing w:before="40" w:after="160"/>
      </w:pPr>
      <w:r w:rsidRPr="00C23263">
        <w:t xml:space="preserve">PHNs are required to establish skills-based </w:t>
      </w:r>
      <w:r w:rsidR="00AB3FD5">
        <w:t>b</w:t>
      </w:r>
      <w:r w:rsidRPr="00C23263">
        <w:t>oards, GP-led Clinical Councils and representative Community Advisory Committees. These are designed to ensure PHNs make appropriate decisions, informed by local clinical and patient perspectives, to satisfy the unique needs of their respective communities, including in rural and remote areas.</w:t>
      </w:r>
    </w:p>
    <w:p w14:paraId="40752A10" w14:textId="77777777" w:rsidR="00875526" w:rsidRPr="00875526" w:rsidRDefault="00875526" w:rsidP="009B661D">
      <w:pPr>
        <w:spacing w:before="40" w:after="160"/>
        <w:rPr>
          <w:b/>
        </w:rPr>
      </w:pPr>
      <w:bookmarkStart w:id="18" w:name="_Toc517769840"/>
      <w:bookmarkStart w:id="19" w:name="_Toc517334324"/>
      <w:bookmarkStart w:id="20" w:name="_Toc517267787"/>
      <w:r>
        <w:t>PHNs are</w:t>
      </w:r>
      <w:r w:rsidRPr="000B57D5">
        <w:t xml:space="preserve"> encouraged</w:t>
      </w:r>
      <w:r>
        <w:t xml:space="preserve"> </w:t>
      </w:r>
      <w:r w:rsidRPr="000B57D5">
        <w:t xml:space="preserve">to consider the skills of the National Aboriginal Community Controlled Health Organisation and Aboriginal Community Controlled Health </w:t>
      </w:r>
      <w:r>
        <w:t>Services</w:t>
      </w:r>
      <w:r w:rsidRPr="000B57D5">
        <w:t xml:space="preserve"> as part </w:t>
      </w:r>
      <w:r>
        <w:t xml:space="preserve">of their governance </w:t>
      </w:r>
      <w:bookmarkEnd w:id="18"/>
      <w:bookmarkEnd w:id="19"/>
      <w:bookmarkEnd w:id="20"/>
      <w:r w:rsidR="009B661D">
        <w:t>structures.</w:t>
      </w:r>
    </w:p>
    <w:p w14:paraId="40752A11" w14:textId="77777777" w:rsidR="001160FD" w:rsidRDefault="001160FD" w:rsidP="001160FD">
      <w:pPr>
        <w:spacing w:before="40" w:after="160"/>
      </w:pPr>
      <w:r w:rsidRPr="000B57D5">
        <w:t>A</w:t>
      </w:r>
      <w:r>
        <w:t>s a</w:t>
      </w:r>
      <w:r w:rsidRPr="000B57D5">
        <w:t xml:space="preserve">t </w:t>
      </w:r>
      <w:r>
        <w:t>June</w:t>
      </w:r>
      <w:r w:rsidRPr="000B57D5">
        <w:t xml:space="preserve"> 2018, there were 16 Aboriginal and/or Torres Strait Islander PHN Board </w:t>
      </w:r>
      <w:r w:rsidR="008C79CF" w:rsidRPr="000B57D5">
        <w:t>members</w:t>
      </w:r>
      <w:r w:rsidR="008C79CF">
        <w:t>,</w:t>
      </w:r>
      <w:r w:rsidR="00932FB3">
        <w:t xml:space="preserve"> two Board chairs, </w:t>
      </w:r>
      <w:r w:rsidRPr="000B57D5">
        <w:t>11</w:t>
      </w:r>
      <w:r>
        <w:t>3</w:t>
      </w:r>
      <w:r w:rsidRPr="000B57D5">
        <w:t xml:space="preserve"> members of Clinical Councils and Community Advisory Committees. </w:t>
      </w:r>
      <w:r>
        <w:t xml:space="preserve">In addition, </w:t>
      </w:r>
      <w:r w:rsidRPr="000B57D5">
        <w:t>18 PHN Board members and 140 members of Clinical Councils and Community Advisory Committees ha</w:t>
      </w:r>
      <w:r>
        <w:t>d</w:t>
      </w:r>
      <w:r w:rsidRPr="000B57D5">
        <w:t xml:space="preserve"> experience in, or are affiliated with, Aboriginal Controlled Community Health</w:t>
      </w:r>
      <w:r>
        <w:t xml:space="preserve"> Organisations</w:t>
      </w:r>
      <w:r w:rsidRPr="000B57D5">
        <w:t>.</w:t>
      </w:r>
    </w:p>
    <w:p w14:paraId="40752A12" w14:textId="1FE8A2FB" w:rsidR="00932FB3" w:rsidRDefault="001160FD" w:rsidP="001160FD">
      <w:pPr>
        <w:spacing w:before="40" w:after="160"/>
      </w:pPr>
      <w:r w:rsidRPr="00335A66">
        <w:t>In line with the</w:t>
      </w:r>
      <w:r w:rsidRPr="00335A66">
        <w:rPr>
          <w:i/>
        </w:rPr>
        <w:t xml:space="preserve"> </w:t>
      </w:r>
      <w:hyperlink r:id="rId33" w:history="1">
        <w:r w:rsidRPr="00AB3FD5">
          <w:rPr>
            <w:rStyle w:val="Hyperlink"/>
          </w:rPr>
          <w:t>Primary Health Networks and Aboriginal Community Controlled Health Organisations – Guiding Principles</w:t>
        </w:r>
      </w:hyperlink>
      <w:r w:rsidRPr="00335A66">
        <w:t>, a number</w:t>
      </w:r>
      <w:r w:rsidR="00AB3FD5">
        <w:t xml:space="preserve"> </w:t>
      </w:r>
      <w:r w:rsidRPr="00335A66">
        <w:t xml:space="preserve">of PHNs have also established specific </w:t>
      </w:r>
      <w:r>
        <w:t>a</w:t>
      </w:r>
      <w:r w:rsidRPr="00335A66">
        <w:t xml:space="preserve">dvisory </w:t>
      </w:r>
      <w:r>
        <w:t>g</w:t>
      </w:r>
      <w:r w:rsidRPr="00335A66">
        <w:t xml:space="preserve">roups with their local Aboriginal and Torres Strait Islander health </w:t>
      </w:r>
      <w:r w:rsidR="00AB3FD5">
        <w:t>stakeholders</w:t>
      </w:r>
      <w:r w:rsidRPr="00335A66">
        <w:t xml:space="preserve"> to ensure advice is provided directly to the PHN</w:t>
      </w:r>
      <w:r>
        <w:t xml:space="preserve"> to inform planning and commissioning decisions</w:t>
      </w:r>
      <w:r w:rsidRPr="00335A66">
        <w:t>.</w:t>
      </w:r>
    </w:p>
    <w:p w14:paraId="40752A13" w14:textId="3124273B" w:rsidR="000632D1" w:rsidRDefault="009E0A19" w:rsidP="00E91AB3">
      <w:pPr>
        <w:pStyle w:val="Heading2"/>
        <w:numPr>
          <w:ilvl w:val="1"/>
          <w:numId w:val="30"/>
        </w:numPr>
        <w:ind w:left="426"/>
      </w:pPr>
      <w:bookmarkStart w:id="21" w:name="_Toc5262028"/>
      <w:bookmarkStart w:id="22" w:name="_Toc11401974"/>
      <w:r w:rsidRPr="00E0008C">
        <w:t>Strengthening</w:t>
      </w:r>
      <w:r>
        <w:t xml:space="preserve"> t</w:t>
      </w:r>
      <w:r w:rsidR="000632D1">
        <w:t>he rural and remote mental health services workforce</w:t>
      </w:r>
      <w:bookmarkEnd w:id="21"/>
      <w:bookmarkEnd w:id="22"/>
      <w:r w:rsidR="000632D1" w:rsidRPr="0046077A">
        <w:t xml:space="preserve"> </w:t>
      </w:r>
    </w:p>
    <w:p w14:paraId="40752A15" w14:textId="77777777" w:rsidR="003B5452" w:rsidRPr="00915D02" w:rsidRDefault="003B5452" w:rsidP="00E0008C">
      <w:pPr>
        <w:pStyle w:val="Heading3"/>
      </w:pPr>
      <w:r w:rsidRPr="00915D02">
        <w:t>Recommendation 13</w:t>
      </w:r>
    </w:p>
    <w:p w14:paraId="40752A16" w14:textId="77777777" w:rsidR="000632D1" w:rsidRDefault="003B5452" w:rsidP="003B5452">
      <w:pPr>
        <w:spacing w:after="0"/>
        <w:rPr>
          <w:rFonts w:cstheme="minorHAnsi"/>
        </w:rPr>
      </w:pPr>
      <w:r w:rsidRPr="0046077A">
        <w:rPr>
          <w:rFonts w:cstheme="minorHAnsi"/>
        </w:rPr>
        <w:t>The committee recommends the Commonwealth Minister for Health work</w:t>
      </w:r>
      <w:r w:rsidR="000632D1">
        <w:rPr>
          <w:rFonts w:cstheme="minorHAnsi"/>
        </w:rPr>
        <w:t xml:space="preserve"> </w:t>
      </w:r>
      <w:r w:rsidRPr="0046077A">
        <w:rPr>
          <w:rFonts w:cstheme="minorHAnsi"/>
        </w:rPr>
        <w:t>with health professional colleges to develop strategies for the immediate</w:t>
      </w:r>
      <w:r w:rsidR="000632D1">
        <w:rPr>
          <w:rFonts w:cstheme="minorHAnsi"/>
        </w:rPr>
        <w:t xml:space="preserve"> </w:t>
      </w:r>
      <w:r w:rsidRPr="0046077A">
        <w:rPr>
          <w:rFonts w:cstheme="minorHAnsi"/>
        </w:rPr>
        <w:t>improvement of professional supports and clinical supervision for registered</w:t>
      </w:r>
      <w:r w:rsidR="000632D1">
        <w:rPr>
          <w:rFonts w:cstheme="minorHAnsi"/>
        </w:rPr>
        <w:t xml:space="preserve"> </w:t>
      </w:r>
      <w:r w:rsidRPr="0046077A">
        <w:rPr>
          <w:rFonts w:cstheme="minorHAnsi"/>
        </w:rPr>
        <w:t>health practitioners working in rural and remote locations.</w:t>
      </w:r>
    </w:p>
    <w:p w14:paraId="40752A18" w14:textId="77777777" w:rsidR="001D0649" w:rsidRPr="002C211E" w:rsidRDefault="001D0649" w:rsidP="00E0008C">
      <w:pPr>
        <w:pStyle w:val="Heading4"/>
      </w:pPr>
      <w:r w:rsidRPr="002C211E">
        <w:t>Government response</w:t>
      </w:r>
    </w:p>
    <w:p w14:paraId="40752A19" w14:textId="09AB7FBE" w:rsidR="001D0649" w:rsidRPr="001518E2" w:rsidRDefault="001D0649" w:rsidP="001518E2">
      <w:pPr>
        <w:pStyle w:val="Heading5"/>
      </w:pPr>
      <w:r w:rsidRPr="008D79EB">
        <w:t xml:space="preserve">The </w:t>
      </w:r>
      <w:r w:rsidR="009A4086" w:rsidRPr="008C79CF">
        <w:t>Government</w:t>
      </w:r>
      <w:r w:rsidRPr="008D79EB">
        <w:t xml:space="preserve"> </w:t>
      </w:r>
      <w:r>
        <w:t>SUPPORTS</w:t>
      </w:r>
      <w:r w:rsidR="001518E2">
        <w:t xml:space="preserve"> this recommendation</w:t>
      </w:r>
    </w:p>
    <w:p w14:paraId="40752A1B" w14:textId="77777777" w:rsidR="00FC2B3D" w:rsidRDefault="00951EB1" w:rsidP="00915D02">
      <w:pPr>
        <w:spacing w:after="0"/>
        <w:rPr>
          <w:rFonts w:cstheme="majorHAnsi"/>
        </w:rPr>
      </w:pPr>
      <w:r>
        <w:rPr>
          <w:rFonts w:cstheme="majorHAnsi"/>
        </w:rPr>
        <w:t xml:space="preserve">The </w:t>
      </w:r>
      <w:r w:rsidR="004F2C09">
        <w:rPr>
          <w:rFonts w:cstheme="majorHAnsi"/>
        </w:rPr>
        <w:t>g</w:t>
      </w:r>
      <w:r>
        <w:rPr>
          <w:rFonts w:cstheme="majorHAnsi"/>
        </w:rPr>
        <w:t>overnment</w:t>
      </w:r>
      <w:r w:rsidRPr="001D0649">
        <w:rPr>
          <w:rFonts w:cstheme="majorHAnsi"/>
        </w:rPr>
        <w:t xml:space="preserve"> </w:t>
      </w:r>
      <w:r w:rsidR="001D0649" w:rsidRPr="001D0649">
        <w:rPr>
          <w:rFonts w:cstheme="majorHAnsi"/>
        </w:rPr>
        <w:t>provides leadership and support through a range of initiatives that aim to attract, train, retain and deliver a more accessible mental health workforce.</w:t>
      </w:r>
      <w:r w:rsidR="001D0649">
        <w:rPr>
          <w:rFonts w:cstheme="majorHAnsi"/>
        </w:rPr>
        <w:t xml:space="preserve"> </w:t>
      </w:r>
    </w:p>
    <w:p w14:paraId="40752A1D" w14:textId="77777777" w:rsidR="00FC2B3D" w:rsidRPr="00926ADF" w:rsidRDefault="00FC2B3D" w:rsidP="005814EE">
      <w:pPr>
        <w:spacing w:after="0"/>
        <w:rPr>
          <w:rFonts w:cstheme="majorHAnsi"/>
        </w:rPr>
      </w:pPr>
      <w:r>
        <w:rPr>
          <w:rFonts w:cstheme="majorHAnsi"/>
        </w:rPr>
        <w:t xml:space="preserve">At the centre of these initiatives is the </w:t>
      </w:r>
      <w:r w:rsidR="0079720D">
        <w:rPr>
          <w:rFonts w:cstheme="majorHAnsi"/>
        </w:rPr>
        <w:t>10-</w:t>
      </w:r>
      <w:r w:rsidR="00A3639E">
        <w:rPr>
          <w:rFonts w:cstheme="majorHAnsi"/>
        </w:rPr>
        <w:t xml:space="preserve">year </w:t>
      </w:r>
      <w:hyperlink r:id="rId34" w:history="1">
        <w:r w:rsidRPr="0079720D">
          <w:rPr>
            <w:rStyle w:val="Hyperlink"/>
            <w:rFonts w:cstheme="majorHAnsi"/>
          </w:rPr>
          <w:t>Stronger Rural Health Strategy</w:t>
        </w:r>
      </w:hyperlink>
      <w:r>
        <w:rPr>
          <w:rFonts w:cstheme="majorHAnsi"/>
        </w:rPr>
        <w:t xml:space="preserve"> to </w:t>
      </w:r>
      <w:r w:rsidR="0079720D">
        <w:rPr>
          <w:rFonts w:cstheme="majorHAnsi"/>
        </w:rPr>
        <w:t>begin</w:t>
      </w:r>
      <w:r>
        <w:rPr>
          <w:rFonts w:cstheme="majorHAnsi"/>
        </w:rPr>
        <w:t xml:space="preserve"> in July 2019. This includes a </w:t>
      </w:r>
      <w:r w:rsidRPr="00FC2B3D">
        <w:rPr>
          <w:rFonts w:cstheme="majorHAnsi"/>
        </w:rPr>
        <w:t>Rural Primary Care Stream – funding for educational support for junior doctors working and training in rural primary care settings</w:t>
      </w:r>
      <w:r>
        <w:rPr>
          <w:rFonts w:cstheme="majorHAnsi"/>
        </w:rPr>
        <w:t>.</w:t>
      </w:r>
      <w:r w:rsidR="00926ADF">
        <w:rPr>
          <w:rFonts w:cstheme="majorHAnsi"/>
        </w:rPr>
        <w:t xml:space="preserve"> </w:t>
      </w:r>
      <w:r w:rsidR="005814EE">
        <w:rPr>
          <w:rFonts w:cstheme="majorHAnsi"/>
        </w:rPr>
        <w:t xml:space="preserve">It also includes the </w:t>
      </w:r>
      <w:hyperlink r:id="rId35" w:history="1">
        <w:r w:rsidR="005814EE" w:rsidRPr="005814EE">
          <w:rPr>
            <w:rStyle w:val="Hyperlink"/>
            <w:rFonts w:eastAsia="Calibri" w:cstheme="minorHAnsi"/>
          </w:rPr>
          <w:t>Workforce Incentive Program</w:t>
        </w:r>
      </w:hyperlink>
      <w:r w:rsidR="005814EE">
        <w:rPr>
          <w:rFonts w:eastAsia="Calibri" w:cstheme="minorHAnsi"/>
        </w:rPr>
        <w:t xml:space="preserve"> </w:t>
      </w:r>
      <w:r w:rsidR="005814EE" w:rsidRPr="0038598F">
        <w:rPr>
          <w:rFonts w:eastAsia="Calibri" w:cstheme="minorHAnsi"/>
        </w:rPr>
        <w:t xml:space="preserve">which </w:t>
      </w:r>
      <w:r w:rsidR="005814EE">
        <w:rPr>
          <w:rFonts w:eastAsia="Calibri" w:cstheme="minorHAnsi"/>
        </w:rPr>
        <w:t xml:space="preserve">includes </w:t>
      </w:r>
      <w:r w:rsidR="005814EE" w:rsidRPr="0038598F">
        <w:rPr>
          <w:rFonts w:eastAsia="Calibri" w:cstheme="minorHAnsi"/>
        </w:rPr>
        <w:t>financial incentives to support eligible general practices to engage multidisciplinary teams, including in rural, remote and</w:t>
      </w:r>
      <w:r w:rsidR="005814EE">
        <w:rPr>
          <w:rFonts w:eastAsia="Calibri" w:cstheme="minorHAnsi"/>
        </w:rPr>
        <w:t xml:space="preserve"> </w:t>
      </w:r>
      <w:r w:rsidR="005814EE" w:rsidRPr="0038598F">
        <w:rPr>
          <w:rFonts w:eastAsia="Calibri" w:cstheme="minorHAnsi"/>
        </w:rPr>
        <w:t>regional settings.</w:t>
      </w:r>
    </w:p>
    <w:p w14:paraId="40752A1F" w14:textId="77777777" w:rsidR="00915D02" w:rsidRDefault="00915D02" w:rsidP="00915D02">
      <w:pPr>
        <w:spacing w:after="0"/>
        <w:rPr>
          <w:rFonts w:cstheme="majorHAnsi"/>
        </w:rPr>
      </w:pPr>
      <w:r>
        <w:rPr>
          <w:rFonts w:cstheme="majorHAnsi"/>
        </w:rPr>
        <w:t xml:space="preserve">Australian Government-funded measures already </w:t>
      </w:r>
      <w:r w:rsidR="00C9637A">
        <w:rPr>
          <w:rFonts w:cstheme="majorHAnsi"/>
        </w:rPr>
        <w:t xml:space="preserve">in place </w:t>
      </w:r>
      <w:r>
        <w:rPr>
          <w:rFonts w:cstheme="majorHAnsi"/>
        </w:rPr>
        <w:t>include the following</w:t>
      </w:r>
      <w:r w:rsidR="00EE5F2A">
        <w:rPr>
          <w:rFonts w:cstheme="majorHAnsi"/>
        </w:rPr>
        <w:t xml:space="preserve">. While some are specifically targeted to rural and remote professionals, others are nation-wide measures but are implemented with </w:t>
      </w:r>
      <w:r w:rsidR="00032EEA">
        <w:rPr>
          <w:rFonts w:cstheme="majorHAnsi"/>
        </w:rPr>
        <w:t xml:space="preserve">regard to the impact on </w:t>
      </w:r>
      <w:r w:rsidR="00EE5F2A">
        <w:rPr>
          <w:rFonts w:cstheme="majorHAnsi"/>
        </w:rPr>
        <w:t>rural and remote communities.</w:t>
      </w:r>
    </w:p>
    <w:p w14:paraId="40752A21" w14:textId="766FDBF8" w:rsidR="004F2C09" w:rsidRDefault="004F2C09" w:rsidP="001518E2">
      <w:pPr>
        <w:pStyle w:val="Heading6"/>
        <w:rPr>
          <w:lang w:eastAsia="en-AU"/>
        </w:rPr>
      </w:pPr>
      <w:r w:rsidRPr="0059696D">
        <w:rPr>
          <w:lang w:eastAsia="en-AU"/>
        </w:rPr>
        <w:t>The</w:t>
      </w:r>
      <w:r w:rsidRPr="0059696D">
        <w:t xml:space="preserve"> </w:t>
      </w:r>
      <w:hyperlink r:id="rId36" w:history="1">
        <w:r w:rsidRPr="008450C4">
          <w:rPr>
            <w:rStyle w:val="Hyperlink"/>
            <w:lang w:eastAsia="en-AU"/>
          </w:rPr>
          <w:t>Mental Health Professional</w:t>
        </w:r>
        <w:r w:rsidR="000449D3">
          <w:rPr>
            <w:rStyle w:val="Hyperlink"/>
            <w:lang w:eastAsia="en-AU"/>
          </w:rPr>
          <w:t>s</w:t>
        </w:r>
        <w:r w:rsidRPr="008450C4">
          <w:rPr>
            <w:rStyle w:val="Hyperlink"/>
            <w:lang w:eastAsia="en-AU"/>
          </w:rPr>
          <w:t xml:space="preserve"> Network</w:t>
        </w:r>
      </w:hyperlink>
    </w:p>
    <w:p w14:paraId="40752A22" w14:textId="77777777" w:rsidR="001019BF" w:rsidRPr="0059696D" w:rsidRDefault="001019BF" w:rsidP="001019BF">
      <w:pPr>
        <w:jc w:val="both"/>
        <w:rPr>
          <w:lang w:eastAsia="en-AU"/>
        </w:rPr>
      </w:pPr>
      <w:r w:rsidRPr="0059696D">
        <w:rPr>
          <w:lang w:eastAsia="en-AU"/>
        </w:rPr>
        <w:t>The</w:t>
      </w:r>
      <w:r w:rsidRPr="0059696D">
        <w:t xml:space="preserve"> </w:t>
      </w:r>
      <w:r w:rsidRPr="0059696D">
        <w:rPr>
          <w:lang w:eastAsia="en-AU"/>
        </w:rPr>
        <w:t>Mental Hea</w:t>
      </w:r>
      <w:r w:rsidR="00946659">
        <w:rPr>
          <w:lang w:eastAsia="en-AU"/>
        </w:rPr>
        <w:t>lth Professional</w:t>
      </w:r>
      <w:r w:rsidR="000449D3">
        <w:rPr>
          <w:lang w:eastAsia="en-AU"/>
        </w:rPr>
        <w:t>s</w:t>
      </w:r>
      <w:r w:rsidR="00946659">
        <w:rPr>
          <w:lang w:eastAsia="en-AU"/>
        </w:rPr>
        <w:t xml:space="preserve"> Network (MHPN) is</w:t>
      </w:r>
      <w:r>
        <w:rPr>
          <w:lang w:eastAsia="en-AU"/>
        </w:rPr>
        <w:t xml:space="preserve"> </w:t>
      </w:r>
      <w:r w:rsidRPr="0059696D">
        <w:rPr>
          <w:lang w:eastAsia="en-AU"/>
        </w:rPr>
        <w:t xml:space="preserve">funded by the Australian Government to develop profession-specific materials and activities to support the provision of </w:t>
      </w:r>
      <w:r w:rsidR="00946659">
        <w:rPr>
          <w:lang w:eastAsia="en-AU"/>
        </w:rPr>
        <w:t xml:space="preserve">quality mental health care and </w:t>
      </w:r>
      <w:r w:rsidRPr="0059696D">
        <w:rPr>
          <w:lang w:eastAsia="en-AU"/>
        </w:rPr>
        <w:t>to facilitate multidisciplinary, inter-professional networks to support the delivery of primary mental health care at the local level.</w:t>
      </w:r>
    </w:p>
    <w:p w14:paraId="40752A23" w14:textId="77777777" w:rsidR="001019BF" w:rsidRPr="0059696D" w:rsidRDefault="001019BF" w:rsidP="001019BF">
      <w:pPr>
        <w:jc w:val="both"/>
        <w:rPr>
          <w:lang w:eastAsia="en-AU"/>
        </w:rPr>
      </w:pPr>
      <w:r w:rsidRPr="0059696D">
        <w:rPr>
          <w:lang w:eastAsia="en-AU"/>
        </w:rPr>
        <w:t>The MHPN maintains and supports 380 interdisciplinary mental health networks of which 41 per cent are located in regional, rur</w:t>
      </w:r>
      <w:r w:rsidR="00946659">
        <w:rPr>
          <w:lang w:eastAsia="en-AU"/>
        </w:rPr>
        <w:t xml:space="preserve">al or remote locations. The </w:t>
      </w:r>
      <w:r w:rsidRPr="0059696D">
        <w:rPr>
          <w:lang w:eastAsia="en-AU"/>
        </w:rPr>
        <w:t xml:space="preserve">MHPN has enabled practitioners to engage in over 280,000 hours of professional development, with participation rates increasing over successive years. </w:t>
      </w:r>
      <w:r w:rsidR="00EE5F2A">
        <w:rPr>
          <w:lang w:eastAsia="en-AU"/>
        </w:rPr>
        <w:t>The MHPN</w:t>
      </w:r>
      <w:r w:rsidRPr="0059696D">
        <w:rPr>
          <w:lang w:eastAsia="en-AU"/>
        </w:rPr>
        <w:t xml:space="preserve"> currently </w:t>
      </w:r>
      <w:r w:rsidR="00EE5F2A">
        <w:rPr>
          <w:lang w:eastAsia="en-AU"/>
        </w:rPr>
        <w:t>receives</w:t>
      </w:r>
      <w:r w:rsidRPr="0059696D">
        <w:rPr>
          <w:lang w:eastAsia="en-AU"/>
        </w:rPr>
        <w:t xml:space="preserve"> $5.2 million </w:t>
      </w:r>
      <w:r w:rsidR="00EE5F2A">
        <w:rPr>
          <w:lang w:eastAsia="en-AU"/>
        </w:rPr>
        <w:t>over three years from 2017-18.</w:t>
      </w:r>
    </w:p>
    <w:p w14:paraId="40752A24" w14:textId="77777777" w:rsidR="00915D02" w:rsidRPr="001518E2" w:rsidRDefault="00915D02" w:rsidP="001518E2">
      <w:pPr>
        <w:pStyle w:val="Heading6"/>
      </w:pPr>
      <w:r w:rsidRPr="001518E2">
        <w:t xml:space="preserve">Psychiatry </w:t>
      </w:r>
      <w:r w:rsidR="003959A5" w:rsidRPr="001518E2">
        <w:t>t</w:t>
      </w:r>
      <w:r w:rsidRPr="001518E2">
        <w:t xml:space="preserve">raining and </w:t>
      </w:r>
      <w:r w:rsidR="003959A5" w:rsidRPr="001518E2">
        <w:t>s</w:t>
      </w:r>
      <w:r w:rsidRPr="001518E2">
        <w:t>upport</w:t>
      </w:r>
    </w:p>
    <w:p w14:paraId="40752A25" w14:textId="77777777" w:rsidR="00915D02" w:rsidRDefault="00915D02" w:rsidP="00915D02">
      <w:pPr>
        <w:spacing w:after="0"/>
        <w:rPr>
          <w:rFonts w:cstheme="majorHAnsi"/>
          <w:color w:val="000000"/>
        </w:rPr>
      </w:pPr>
      <w:r w:rsidRPr="001024CE">
        <w:rPr>
          <w:rFonts w:cstheme="majorHAnsi"/>
          <w:color w:val="000000"/>
        </w:rPr>
        <w:t>Under the S</w:t>
      </w:r>
      <w:r w:rsidR="001B1169">
        <w:rPr>
          <w:rFonts w:cstheme="majorHAnsi"/>
          <w:color w:val="000000"/>
        </w:rPr>
        <w:t>pecialist Training Program</w:t>
      </w:r>
      <w:r w:rsidRPr="001024CE">
        <w:rPr>
          <w:rFonts w:cstheme="majorHAnsi"/>
          <w:color w:val="000000"/>
        </w:rPr>
        <w:t xml:space="preserve">, the Royal Australian and New Zealand College of Psychiatrists </w:t>
      </w:r>
      <w:r w:rsidR="00453356">
        <w:rPr>
          <w:rFonts w:cstheme="majorHAnsi"/>
          <w:color w:val="000000"/>
        </w:rPr>
        <w:t xml:space="preserve">is </w:t>
      </w:r>
      <w:r w:rsidR="000409D4">
        <w:rPr>
          <w:rFonts w:cstheme="majorHAnsi"/>
          <w:color w:val="000000"/>
        </w:rPr>
        <w:t>receiv</w:t>
      </w:r>
      <w:r w:rsidR="00453356">
        <w:rPr>
          <w:rFonts w:cstheme="majorHAnsi"/>
          <w:color w:val="000000"/>
        </w:rPr>
        <w:t>ing</w:t>
      </w:r>
      <w:r w:rsidRPr="001024CE">
        <w:rPr>
          <w:rFonts w:cstheme="majorHAnsi"/>
          <w:color w:val="000000"/>
        </w:rPr>
        <w:t xml:space="preserve"> </w:t>
      </w:r>
      <w:r w:rsidRPr="000B10FD">
        <w:rPr>
          <w:rFonts w:cstheme="majorHAnsi"/>
          <w:iCs/>
          <w:color w:val="000000"/>
        </w:rPr>
        <w:t>$84.2 million, from 2018-19 to 2020-21</w:t>
      </w:r>
      <w:r w:rsidRPr="000B10FD">
        <w:rPr>
          <w:rFonts w:cstheme="majorHAnsi"/>
          <w:i/>
          <w:iCs/>
          <w:color w:val="000000"/>
        </w:rPr>
        <w:t xml:space="preserve">, </w:t>
      </w:r>
      <w:r w:rsidRPr="001024CE">
        <w:rPr>
          <w:rFonts w:cstheme="majorHAnsi"/>
          <w:color w:val="000000"/>
        </w:rPr>
        <w:t xml:space="preserve">to manage and administer 194 full time equivalent (FTE) psychiatry training positions </w:t>
      </w:r>
      <w:r w:rsidR="001B1169">
        <w:rPr>
          <w:rFonts w:cstheme="majorHAnsi"/>
          <w:color w:val="000000"/>
        </w:rPr>
        <w:t>each year</w:t>
      </w:r>
      <w:r w:rsidRPr="001024CE">
        <w:rPr>
          <w:rFonts w:cstheme="majorHAnsi"/>
          <w:color w:val="000000"/>
        </w:rPr>
        <w:t xml:space="preserve">. Of </w:t>
      </w:r>
      <w:r w:rsidR="001B1169">
        <w:rPr>
          <w:rFonts w:cstheme="majorHAnsi"/>
          <w:color w:val="000000"/>
        </w:rPr>
        <w:t>these</w:t>
      </w:r>
      <w:r w:rsidRPr="001024CE">
        <w:rPr>
          <w:rFonts w:cstheme="majorHAnsi"/>
          <w:color w:val="000000"/>
        </w:rPr>
        <w:t>, 84 FTE</w:t>
      </w:r>
      <w:r w:rsidR="001B1169">
        <w:rPr>
          <w:rFonts w:cstheme="majorHAnsi"/>
          <w:color w:val="000000"/>
        </w:rPr>
        <w:t>s</w:t>
      </w:r>
      <w:r w:rsidRPr="001024CE">
        <w:rPr>
          <w:rFonts w:cstheme="majorHAnsi"/>
          <w:color w:val="000000"/>
        </w:rPr>
        <w:t xml:space="preserve"> are located in regional, rural and remote communities including 34</w:t>
      </w:r>
      <w:r w:rsidR="001B1169">
        <w:rPr>
          <w:rFonts w:cstheme="majorHAnsi"/>
          <w:color w:val="000000"/>
        </w:rPr>
        <w:t xml:space="preserve"> FTE who will spend at least 66% </w:t>
      </w:r>
      <w:r w:rsidRPr="001024CE">
        <w:rPr>
          <w:rFonts w:cstheme="majorHAnsi"/>
          <w:color w:val="000000"/>
        </w:rPr>
        <w:t>of their fellowship training in rural areas as part of the Integrated Rural Training Pipeline Initiative. Trainees in these positions are delivering much needed psychiatry services within their local communities.</w:t>
      </w:r>
    </w:p>
    <w:p w14:paraId="40752A27" w14:textId="77777777" w:rsidR="00915D02" w:rsidRDefault="00915D02" w:rsidP="001B1169">
      <w:pPr>
        <w:rPr>
          <w:rFonts w:cstheme="majorHAnsi"/>
          <w:color w:val="000000"/>
        </w:rPr>
      </w:pPr>
      <w:r w:rsidRPr="001024CE">
        <w:rPr>
          <w:rFonts w:cstheme="majorHAnsi"/>
          <w:color w:val="000000"/>
        </w:rPr>
        <w:t>The Supporting Rur</w:t>
      </w:r>
      <w:r w:rsidR="000409D4">
        <w:rPr>
          <w:rFonts w:cstheme="majorHAnsi"/>
          <w:color w:val="000000"/>
        </w:rPr>
        <w:t xml:space="preserve">al Specialists Australia </w:t>
      </w:r>
      <w:r w:rsidRPr="001024CE">
        <w:rPr>
          <w:rFonts w:cstheme="majorHAnsi"/>
          <w:color w:val="000000"/>
        </w:rPr>
        <w:t xml:space="preserve">program </w:t>
      </w:r>
      <w:r w:rsidR="00133CEB">
        <w:rPr>
          <w:rFonts w:cstheme="majorHAnsi"/>
          <w:color w:val="000000"/>
        </w:rPr>
        <w:t xml:space="preserve">separately </w:t>
      </w:r>
      <w:r w:rsidR="001B1169">
        <w:rPr>
          <w:rFonts w:cstheme="majorHAnsi"/>
          <w:color w:val="000000"/>
        </w:rPr>
        <w:t>provides</w:t>
      </w:r>
      <w:r w:rsidRPr="001024CE">
        <w:rPr>
          <w:rFonts w:cstheme="majorHAnsi"/>
          <w:color w:val="000000"/>
        </w:rPr>
        <w:t xml:space="preserve"> $4.6 million</w:t>
      </w:r>
      <w:r w:rsidR="00946659">
        <w:rPr>
          <w:rFonts w:cstheme="majorHAnsi"/>
          <w:color w:val="000000"/>
        </w:rPr>
        <w:t xml:space="preserve"> </w:t>
      </w:r>
      <w:r w:rsidR="00946659" w:rsidRPr="000B10FD">
        <w:rPr>
          <w:rFonts w:cstheme="majorHAnsi"/>
          <w:iCs/>
          <w:color w:val="000000"/>
        </w:rPr>
        <w:t>from 2018-19 to 2020-21</w:t>
      </w:r>
      <w:r w:rsidR="00946659">
        <w:rPr>
          <w:rFonts w:cstheme="majorHAnsi"/>
          <w:color w:val="000000"/>
        </w:rPr>
        <w:t xml:space="preserve"> </w:t>
      </w:r>
      <w:r w:rsidRPr="000B10FD">
        <w:rPr>
          <w:rFonts w:cstheme="majorHAnsi"/>
          <w:iCs/>
          <w:color w:val="000000"/>
        </w:rPr>
        <w:t xml:space="preserve">to </w:t>
      </w:r>
      <w:r w:rsidR="001B1169">
        <w:rPr>
          <w:rFonts w:cstheme="majorHAnsi"/>
          <w:color w:val="000000"/>
        </w:rPr>
        <w:t xml:space="preserve">give </w:t>
      </w:r>
      <w:r w:rsidRPr="001024CE">
        <w:rPr>
          <w:rFonts w:cstheme="majorHAnsi"/>
          <w:color w:val="000000"/>
        </w:rPr>
        <w:t>rural specialists</w:t>
      </w:r>
      <w:r w:rsidR="001B1169">
        <w:rPr>
          <w:rFonts w:cstheme="majorHAnsi"/>
          <w:color w:val="000000"/>
        </w:rPr>
        <w:t xml:space="preserve">, including psychiatrists, </w:t>
      </w:r>
      <w:r w:rsidRPr="001024CE">
        <w:rPr>
          <w:rFonts w:cstheme="majorHAnsi"/>
          <w:color w:val="000000"/>
        </w:rPr>
        <w:t>access to professional support and online learning programs that are not available in their region. In addition, the program has annual funding rounds for rural and remote specialists to apply for grants for continuin</w:t>
      </w:r>
      <w:r w:rsidR="001B1169">
        <w:rPr>
          <w:rFonts w:cstheme="majorHAnsi"/>
          <w:color w:val="000000"/>
        </w:rPr>
        <w:t>g professional development</w:t>
      </w:r>
      <w:r w:rsidRPr="001024CE">
        <w:rPr>
          <w:rFonts w:cstheme="majorHAnsi"/>
          <w:color w:val="000000"/>
        </w:rPr>
        <w:t>.</w:t>
      </w:r>
    </w:p>
    <w:p w14:paraId="40752A28" w14:textId="77777777" w:rsidR="009A3E97" w:rsidRDefault="00CD06F3" w:rsidP="001518E2">
      <w:pPr>
        <w:pStyle w:val="Heading6"/>
        <w:rPr>
          <w:rStyle w:val="Hyperlink"/>
        </w:rPr>
      </w:pPr>
      <w:hyperlink r:id="rId37" w:history="1">
        <w:r w:rsidR="009A3E97" w:rsidRPr="00A81600">
          <w:rPr>
            <w:rStyle w:val="Hyperlink"/>
          </w:rPr>
          <w:t>CRANAplus</w:t>
        </w:r>
      </w:hyperlink>
    </w:p>
    <w:p w14:paraId="40752A29" w14:textId="77777777" w:rsidR="00A3639E" w:rsidRPr="00A3639E" w:rsidRDefault="009A3E97" w:rsidP="00A3639E">
      <w:pPr>
        <w:rPr>
          <w:rFonts w:cstheme="majorHAnsi"/>
          <w:color w:val="000000"/>
        </w:rPr>
      </w:pPr>
      <w:r>
        <w:rPr>
          <w:rFonts w:cstheme="majorHAnsi"/>
          <w:color w:val="000000"/>
        </w:rPr>
        <w:t xml:space="preserve">CRANAplus is the </w:t>
      </w:r>
      <w:r w:rsidR="00A81600">
        <w:rPr>
          <w:rFonts w:cstheme="majorHAnsi"/>
          <w:color w:val="000000"/>
        </w:rPr>
        <w:t xml:space="preserve">peak professional body for the remote and isolated health workforce in Australia. </w:t>
      </w:r>
      <w:r w:rsidR="00A3639E" w:rsidRPr="00A3639E">
        <w:rPr>
          <w:rFonts w:cstheme="majorHAnsi"/>
          <w:color w:val="000000"/>
        </w:rPr>
        <w:t>The Australian Gove</w:t>
      </w:r>
      <w:r w:rsidR="00A81600">
        <w:rPr>
          <w:rFonts w:cstheme="majorHAnsi"/>
          <w:color w:val="000000"/>
        </w:rPr>
        <w:t xml:space="preserve">rnment provides CRANAplus with core funding </w:t>
      </w:r>
      <w:r w:rsidR="00A3639E" w:rsidRPr="00A3639E">
        <w:rPr>
          <w:rFonts w:cstheme="majorHAnsi"/>
          <w:color w:val="000000"/>
        </w:rPr>
        <w:t xml:space="preserve">to deliver programs that help to improve </w:t>
      </w:r>
      <w:r w:rsidR="00A3639E">
        <w:rPr>
          <w:rFonts w:cstheme="majorHAnsi"/>
          <w:color w:val="000000"/>
        </w:rPr>
        <w:t>the</w:t>
      </w:r>
      <w:r w:rsidR="00A3639E" w:rsidRPr="00A3639E">
        <w:rPr>
          <w:rFonts w:cstheme="majorHAnsi"/>
          <w:color w:val="000000"/>
        </w:rPr>
        <w:t xml:space="preserve"> quality of health care provided in rura</w:t>
      </w:r>
      <w:r w:rsidR="00A81600">
        <w:rPr>
          <w:rFonts w:cstheme="majorHAnsi"/>
          <w:color w:val="000000"/>
        </w:rPr>
        <w:t>l and remote areas and improve</w:t>
      </w:r>
      <w:r w:rsidR="00A3639E" w:rsidRPr="00A3639E">
        <w:rPr>
          <w:rFonts w:cstheme="majorHAnsi"/>
          <w:color w:val="000000"/>
        </w:rPr>
        <w:t xml:space="preserve"> the safety and security of the remote area health workforce. </w:t>
      </w:r>
      <w:r w:rsidR="00A81600">
        <w:rPr>
          <w:rFonts w:cstheme="majorHAnsi"/>
          <w:color w:val="000000"/>
        </w:rPr>
        <w:t xml:space="preserve">It </w:t>
      </w:r>
      <w:r w:rsidR="00A3639E" w:rsidRPr="00A3639E">
        <w:rPr>
          <w:rFonts w:cstheme="majorHAnsi"/>
          <w:color w:val="000000"/>
        </w:rPr>
        <w:t>achieves this in three ways</w:t>
      </w:r>
      <w:r w:rsidR="00A3639E">
        <w:rPr>
          <w:rFonts w:cstheme="majorHAnsi"/>
          <w:color w:val="000000"/>
        </w:rPr>
        <w:t>:</w:t>
      </w:r>
    </w:p>
    <w:p w14:paraId="40752A2A" w14:textId="77777777" w:rsidR="00A3639E" w:rsidRPr="001518E2" w:rsidRDefault="00A3639E" w:rsidP="001518E2">
      <w:pPr>
        <w:pStyle w:val="ListParagraph"/>
      </w:pPr>
      <w:r w:rsidRPr="001518E2">
        <w:t xml:space="preserve">Accredited professional development courses are provided to remote health professionals at an affordable cost. </w:t>
      </w:r>
    </w:p>
    <w:p w14:paraId="40752A2B" w14:textId="77777777" w:rsidR="00A3639E" w:rsidRPr="001518E2" w:rsidRDefault="00A3639E" w:rsidP="001518E2">
      <w:pPr>
        <w:pStyle w:val="ListParagraph"/>
      </w:pPr>
      <w:r w:rsidRPr="001518E2">
        <w:t xml:space="preserve">A telephone and internet-based counselling service is available to remote health professionals and their families. The Bush Services Support Line is available 24 hours a day, seven days a week. </w:t>
      </w:r>
    </w:p>
    <w:p w14:paraId="40752A2C" w14:textId="77777777" w:rsidR="00A3639E" w:rsidRDefault="00A3639E" w:rsidP="001518E2">
      <w:pPr>
        <w:pStyle w:val="ListParagraph"/>
      </w:pPr>
      <w:r w:rsidRPr="001518E2">
        <w:t>Short courses are offered to help remote health professionals gain the knowledge, confidence, ability and skills to identify and respond to potential or actual episodes of aggression</w:t>
      </w:r>
      <w:r w:rsidRPr="00A3639E">
        <w:t xml:space="preserve"> and violence.</w:t>
      </w:r>
    </w:p>
    <w:p w14:paraId="40752A2D" w14:textId="156167C5" w:rsidR="007D0EB0" w:rsidRPr="007D0EB0" w:rsidRDefault="00A3639E" w:rsidP="007D0EB0">
      <w:pPr>
        <w:spacing w:after="0"/>
        <w:rPr>
          <w:rFonts w:cstheme="majorHAnsi"/>
        </w:rPr>
      </w:pPr>
      <w:r>
        <w:rPr>
          <w:rFonts w:cstheme="majorHAnsi"/>
          <w:color w:val="000000"/>
        </w:rPr>
        <w:lastRenderedPageBreak/>
        <w:t xml:space="preserve">In addition, </w:t>
      </w:r>
      <w:r w:rsidRPr="00003F0E">
        <w:t xml:space="preserve">Minister McKenzie </w:t>
      </w:r>
      <w:r>
        <w:t xml:space="preserve">has directed the </w:t>
      </w:r>
      <w:r w:rsidRPr="001B5F4F">
        <w:rPr>
          <w:rFonts w:cstheme="majorHAnsi"/>
        </w:rPr>
        <w:t>Nati</w:t>
      </w:r>
      <w:r>
        <w:rPr>
          <w:rFonts w:cstheme="majorHAnsi"/>
        </w:rPr>
        <w:t xml:space="preserve">onal Rural Health Commissioner </w:t>
      </w:r>
      <w:r w:rsidRPr="00003F0E">
        <w:t xml:space="preserve">to provide advice to </w:t>
      </w:r>
      <w:r>
        <w:t>g</w:t>
      </w:r>
      <w:r w:rsidRPr="00003F0E">
        <w:t xml:space="preserve">overnment on matters relating to allied health services and workforce in rural Australia. This is due </w:t>
      </w:r>
      <w:r w:rsidR="004F2C09">
        <w:t xml:space="preserve">by </w:t>
      </w:r>
      <w:r w:rsidR="001518E2">
        <w:t>October 2019.</w:t>
      </w:r>
    </w:p>
    <w:p w14:paraId="40752A2F" w14:textId="77777777" w:rsidR="003B5452" w:rsidRPr="00C9373B" w:rsidRDefault="003B5452" w:rsidP="00E0008C">
      <w:pPr>
        <w:pStyle w:val="Heading3"/>
      </w:pPr>
      <w:r w:rsidRPr="00C9373B">
        <w:t>Recommendation 14</w:t>
      </w:r>
    </w:p>
    <w:p w14:paraId="40752A30" w14:textId="77777777" w:rsidR="007C2861" w:rsidRPr="004F2C09" w:rsidRDefault="003B5452" w:rsidP="004F2C09">
      <w:pPr>
        <w:spacing w:after="0"/>
        <w:rPr>
          <w:rFonts w:cstheme="minorHAnsi"/>
        </w:rPr>
      </w:pPr>
      <w:r w:rsidRPr="0046077A">
        <w:rPr>
          <w:rFonts w:cstheme="minorHAnsi"/>
        </w:rPr>
        <w:t>The committee recommends that all mental health service providers,</w:t>
      </w:r>
      <w:r w:rsidR="000632D1">
        <w:rPr>
          <w:rFonts w:cstheme="minorHAnsi"/>
        </w:rPr>
        <w:t xml:space="preserve"> </w:t>
      </w:r>
      <w:r w:rsidRPr="0046077A">
        <w:rPr>
          <w:rFonts w:cstheme="minorHAnsi"/>
        </w:rPr>
        <w:t>including government and community sector, ensure their workforces are</w:t>
      </w:r>
      <w:r w:rsidR="000632D1">
        <w:rPr>
          <w:rFonts w:cstheme="minorHAnsi"/>
        </w:rPr>
        <w:t xml:space="preserve"> </w:t>
      </w:r>
      <w:r w:rsidRPr="0046077A">
        <w:rPr>
          <w:rFonts w:cstheme="minorHAnsi"/>
        </w:rPr>
        <w:t>culturally competent and that such training be endorsed by and delivered in</w:t>
      </w:r>
      <w:r w:rsidR="000632D1">
        <w:rPr>
          <w:rFonts w:cstheme="minorHAnsi"/>
        </w:rPr>
        <w:t xml:space="preserve"> </w:t>
      </w:r>
      <w:r w:rsidRPr="0046077A">
        <w:rPr>
          <w:rFonts w:cstheme="minorHAnsi"/>
        </w:rPr>
        <w:t>partnership with the communitie</w:t>
      </w:r>
      <w:r w:rsidR="004F2C09">
        <w:rPr>
          <w:rFonts w:cstheme="minorHAnsi"/>
        </w:rPr>
        <w:t>s into which they are embedded</w:t>
      </w:r>
    </w:p>
    <w:p w14:paraId="40752A33" w14:textId="77777777" w:rsidR="008D7736" w:rsidRPr="002C211E" w:rsidRDefault="008D7736" w:rsidP="00E0008C">
      <w:pPr>
        <w:pStyle w:val="Heading4"/>
      </w:pPr>
      <w:r w:rsidRPr="002C211E">
        <w:t>Government response</w:t>
      </w:r>
    </w:p>
    <w:p w14:paraId="40752A34" w14:textId="66105B51" w:rsidR="008D7736" w:rsidRDefault="008D7736" w:rsidP="00E0008C">
      <w:pPr>
        <w:pStyle w:val="Heading5"/>
      </w:pPr>
      <w:r w:rsidRPr="008D79EB">
        <w:t xml:space="preserve">The </w:t>
      </w:r>
      <w:r>
        <w:t>g</w:t>
      </w:r>
      <w:r w:rsidRPr="008D79EB">
        <w:t xml:space="preserve">overnment </w:t>
      </w:r>
      <w:r>
        <w:t>SUPPORTS</w:t>
      </w:r>
      <w:r w:rsidR="001518E2">
        <w:t xml:space="preserve"> this recommendation</w:t>
      </w:r>
    </w:p>
    <w:p w14:paraId="40752A36" w14:textId="77777777" w:rsidR="000323F7" w:rsidRDefault="002815E1" w:rsidP="00136224">
      <w:pPr>
        <w:spacing w:after="0"/>
        <w:rPr>
          <w:rFonts w:cstheme="minorHAnsi"/>
        </w:rPr>
      </w:pPr>
      <w:r>
        <w:rPr>
          <w:rFonts w:cstheme="minorHAnsi"/>
        </w:rPr>
        <w:t>The G</w:t>
      </w:r>
      <w:r w:rsidR="008D7736">
        <w:rPr>
          <w:rFonts w:cstheme="minorHAnsi"/>
        </w:rPr>
        <w:t>overnment supports</w:t>
      </w:r>
      <w:r w:rsidR="00136224" w:rsidRPr="00136224">
        <w:rPr>
          <w:rFonts w:cstheme="minorHAnsi"/>
        </w:rPr>
        <w:t xml:space="preserve"> </w:t>
      </w:r>
      <w:r w:rsidR="0081394F" w:rsidRPr="00136224">
        <w:rPr>
          <w:rFonts w:cstheme="minorHAnsi"/>
        </w:rPr>
        <w:t xml:space="preserve">the culturally competency of the mental health workforce </w:t>
      </w:r>
      <w:r w:rsidR="008D7736">
        <w:rPr>
          <w:rFonts w:cstheme="minorHAnsi"/>
        </w:rPr>
        <w:t>via</w:t>
      </w:r>
      <w:r w:rsidR="0081394F">
        <w:rPr>
          <w:rFonts w:cstheme="minorHAnsi"/>
        </w:rPr>
        <w:t xml:space="preserve"> a range of mechanisms</w:t>
      </w:r>
      <w:r w:rsidR="00136224" w:rsidRPr="00136224">
        <w:rPr>
          <w:rFonts w:cstheme="minorHAnsi"/>
        </w:rPr>
        <w:t xml:space="preserve">.  </w:t>
      </w:r>
      <w:r w:rsidR="000323F7">
        <w:rPr>
          <w:rFonts w:cstheme="minorHAnsi"/>
        </w:rPr>
        <w:t>We welcome</w:t>
      </w:r>
      <w:r w:rsidR="000323F7" w:rsidRPr="00136224">
        <w:rPr>
          <w:rFonts w:cstheme="minorHAnsi"/>
        </w:rPr>
        <w:t xml:space="preserve"> ongoing efforts by the sector, including service providers and health professional bodies, </w:t>
      </w:r>
      <w:r w:rsidR="001019BF">
        <w:rPr>
          <w:rFonts w:cstheme="minorHAnsi"/>
        </w:rPr>
        <w:t>to further embed</w:t>
      </w:r>
      <w:r w:rsidR="000323F7" w:rsidRPr="00136224">
        <w:rPr>
          <w:rFonts w:cstheme="minorHAnsi"/>
        </w:rPr>
        <w:t xml:space="preserve"> cultural competency in Austral</w:t>
      </w:r>
      <w:r w:rsidR="000323F7">
        <w:rPr>
          <w:rFonts w:cstheme="minorHAnsi"/>
        </w:rPr>
        <w:t xml:space="preserve">ia’s mental health workforce.  </w:t>
      </w:r>
      <w:r w:rsidR="001019BF">
        <w:rPr>
          <w:rFonts w:cstheme="minorHAnsi"/>
        </w:rPr>
        <w:t>This will be a key focus of the National Mental Health Workforce Strategy currently under development.</w:t>
      </w:r>
    </w:p>
    <w:p w14:paraId="40752A38" w14:textId="77777777" w:rsidR="000323F7" w:rsidRDefault="00F71AF8" w:rsidP="000323F7">
      <w:pPr>
        <w:spacing w:after="0"/>
        <w:rPr>
          <w:rFonts w:cstheme="minorHAnsi"/>
        </w:rPr>
      </w:pPr>
      <w:r>
        <w:rPr>
          <w:rFonts w:cstheme="minorHAnsi"/>
        </w:rPr>
        <w:t>T</w:t>
      </w:r>
      <w:r w:rsidR="000323F7" w:rsidRPr="008D7736">
        <w:rPr>
          <w:rFonts w:cstheme="minorHAnsi"/>
        </w:rPr>
        <w:t xml:space="preserve">he Australian Government </w:t>
      </w:r>
      <w:r>
        <w:rPr>
          <w:rFonts w:cstheme="minorHAnsi"/>
        </w:rPr>
        <w:t>a</w:t>
      </w:r>
      <w:r w:rsidR="00A81CC4">
        <w:rPr>
          <w:rFonts w:cstheme="minorHAnsi"/>
        </w:rPr>
        <w:t>lso requ</w:t>
      </w:r>
      <w:r>
        <w:rPr>
          <w:rFonts w:cstheme="minorHAnsi"/>
        </w:rPr>
        <w:t>ires</w:t>
      </w:r>
      <w:r w:rsidR="000323F7" w:rsidRPr="008D7736">
        <w:rPr>
          <w:rFonts w:cstheme="minorHAnsi"/>
        </w:rPr>
        <w:t xml:space="preserve"> PHNs commission culturally appropriate, evidence-based mental health services for Indigenous people and to ensure services meet the needs and preferences of patients, their families and communities.</w:t>
      </w:r>
    </w:p>
    <w:p w14:paraId="40752A3A" w14:textId="77777777" w:rsidR="00F61290" w:rsidRDefault="000323F7" w:rsidP="00136224">
      <w:pPr>
        <w:spacing w:after="0"/>
        <w:rPr>
          <w:rFonts w:cstheme="minorHAnsi"/>
        </w:rPr>
      </w:pPr>
      <w:r>
        <w:rPr>
          <w:rFonts w:cstheme="minorHAnsi"/>
        </w:rPr>
        <w:t>Other government p</w:t>
      </w:r>
      <w:r w:rsidR="0081394F">
        <w:rPr>
          <w:rFonts w:cstheme="minorHAnsi"/>
        </w:rPr>
        <w:t xml:space="preserve">olicies </w:t>
      </w:r>
      <w:r w:rsidR="00273FCF">
        <w:rPr>
          <w:rFonts w:cstheme="minorHAnsi"/>
        </w:rPr>
        <w:t xml:space="preserve">and initiatives </w:t>
      </w:r>
      <w:r w:rsidR="0081394F">
        <w:rPr>
          <w:rFonts w:cstheme="minorHAnsi"/>
        </w:rPr>
        <w:t>include</w:t>
      </w:r>
      <w:r w:rsidR="00F61290">
        <w:rPr>
          <w:rFonts w:cstheme="minorHAnsi"/>
        </w:rPr>
        <w:t>:</w:t>
      </w:r>
    </w:p>
    <w:p w14:paraId="40752A3C" w14:textId="77777777" w:rsidR="00F61290" w:rsidRPr="00273FCF" w:rsidRDefault="00F61290" w:rsidP="0027066D">
      <w:pPr>
        <w:pStyle w:val="ListParagraph"/>
        <w:numPr>
          <w:ilvl w:val="0"/>
          <w:numId w:val="17"/>
        </w:numPr>
        <w:spacing w:after="0"/>
        <w:ind w:left="360"/>
        <w:rPr>
          <w:rFonts w:cstheme="minorHAnsi"/>
        </w:rPr>
      </w:pPr>
      <w:r w:rsidRPr="00273FCF">
        <w:rPr>
          <w:rFonts w:cstheme="minorHAnsi"/>
        </w:rPr>
        <w:t>T</w:t>
      </w:r>
      <w:r w:rsidR="00A81CC4">
        <w:rPr>
          <w:rFonts w:cstheme="minorHAnsi"/>
        </w:rPr>
        <w:t>he</w:t>
      </w:r>
      <w:r w:rsidR="00136224" w:rsidRPr="00273FCF">
        <w:rPr>
          <w:rFonts w:cstheme="minorHAnsi"/>
        </w:rPr>
        <w:t xml:space="preserve"> </w:t>
      </w:r>
      <w:hyperlink r:id="rId38" w:history="1">
        <w:r w:rsidR="00136224" w:rsidRPr="00273FCF">
          <w:rPr>
            <w:rStyle w:val="Hyperlink"/>
            <w:rFonts w:cstheme="minorHAnsi"/>
          </w:rPr>
          <w:t>Cultural Respect Framework 2016-2026</w:t>
        </w:r>
      </w:hyperlink>
      <w:r w:rsidR="00136224" w:rsidRPr="00273FCF">
        <w:rPr>
          <w:rFonts w:cstheme="minorHAnsi"/>
        </w:rPr>
        <w:t xml:space="preserve"> </w:t>
      </w:r>
      <w:r w:rsidRPr="00273FCF">
        <w:rPr>
          <w:rFonts w:cstheme="minorHAnsi"/>
        </w:rPr>
        <w:t>which applies to all health systems nationally. W</w:t>
      </w:r>
      <w:r w:rsidR="00136224" w:rsidRPr="00273FCF">
        <w:rPr>
          <w:rFonts w:cstheme="minorHAnsi"/>
        </w:rPr>
        <w:t>orkforce development and training</w:t>
      </w:r>
      <w:r w:rsidRPr="00273FCF">
        <w:rPr>
          <w:rFonts w:cstheme="minorHAnsi"/>
        </w:rPr>
        <w:t xml:space="preserve"> is a domain for action within this framework.</w:t>
      </w:r>
    </w:p>
    <w:p w14:paraId="40752A3D" w14:textId="77777777" w:rsidR="00BD28CA" w:rsidRPr="00BD28CA" w:rsidRDefault="00273FCF" w:rsidP="0027066D">
      <w:pPr>
        <w:pStyle w:val="ListParagraph"/>
        <w:numPr>
          <w:ilvl w:val="0"/>
          <w:numId w:val="17"/>
        </w:numPr>
        <w:spacing w:after="0"/>
        <w:ind w:left="360"/>
        <w:rPr>
          <w:rFonts w:cstheme="minorHAnsi"/>
        </w:rPr>
      </w:pPr>
      <w:r>
        <w:rPr>
          <w:rFonts w:cstheme="minorHAnsi"/>
        </w:rPr>
        <w:t xml:space="preserve">The </w:t>
      </w:r>
      <w:r w:rsidR="00F61290" w:rsidRPr="00273FCF">
        <w:rPr>
          <w:rFonts w:cstheme="minorHAnsi"/>
        </w:rPr>
        <w:t xml:space="preserve">National Aboriginal and Torres Strait Islander Health Plan 2013-2023 has an  </w:t>
      </w:r>
      <w:hyperlink r:id="rId39" w:anchor="impl" w:history="1">
        <w:r w:rsidR="00F61290" w:rsidRPr="00273FCF">
          <w:rPr>
            <w:rStyle w:val="Hyperlink"/>
            <w:rFonts w:cstheme="minorHAnsi"/>
          </w:rPr>
          <w:t>Implementation Plan</w:t>
        </w:r>
      </w:hyperlink>
      <w:r w:rsidR="00F61290" w:rsidRPr="00273FCF">
        <w:rPr>
          <w:rFonts w:cstheme="minorHAnsi"/>
        </w:rPr>
        <w:t xml:space="preserve"> which includes </w:t>
      </w:r>
      <w:r w:rsidR="00BD28CA">
        <w:rPr>
          <w:rFonts w:cstheme="minorHAnsi"/>
        </w:rPr>
        <w:t xml:space="preserve">a </w:t>
      </w:r>
      <w:r w:rsidR="00136224" w:rsidRPr="00273FCF">
        <w:rPr>
          <w:rFonts w:cstheme="minorHAnsi"/>
        </w:rPr>
        <w:t>Health System Effectiveness domain</w:t>
      </w:r>
      <w:r w:rsidR="00BD28CA">
        <w:rPr>
          <w:rFonts w:cstheme="minorHAnsi"/>
        </w:rPr>
        <w:t xml:space="preserve"> which includes the following goal:</w:t>
      </w:r>
      <w:r w:rsidR="00BD28CA" w:rsidRPr="00BD28CA">
        <w:t xml:space="preserve"> </w:t>
      </w:r>
    </w:p>
    <w:p w14:paraId="40752A3F" w14:textId="77777777" w:rsidR="00BD28CA" w:rsidRDefault="007A5395" w:rsidP="001518E2">
      <w:pPr>
        <w:spacing w:after="0"/>
        <w:ind w:left="851"/>
      </w:pPr>
      <w:r w:rsidRPr="00507719">
        <w:t>Mainstream health services are supported to provide clinically competent, culturally safe, accessible, accountable and responsive services to Aboriginal and Torres Strait Islander peoples in a health system that is free of racism and inequality.</w:t>
      </w:r>
    </w:p>
    <w:p w14:paraId="40752A41" w14:textId="77777777" w:rsidR="000323F7" w:rsidRPr="000A7234" w:rsidRDefault="000323F7" w:rsidP="000323F7">
      <w:pPr>
        <w:spacing w:after="0"/>
        <w:rPr>
          <w:rFonts w:cstheme="minorHAnsi"/>
        </w:rPr>
      </w:pPr>
      <w:r w:rsidRPr="000A7234">
        <w:rPr>
          <w:rFonts w:cstheme="minorHAnsi"/>
        </w:rPr>
        <w:t>The following projects are funded through the Department of Health to support this aim:</w:t>
      </w:r>
    </w:p>
    <w:p w14:paraId="40752A43" w14:textId="77777777" w:rsidR="000323F7" w:rsidRPr="001518E2" w:rsidRDefault="000323F7" w:rsidP="001518E2">
      <w:pPr>
        <w:pStyle w:val="Heading6"/>
      </w:pPr>
      <w:r w:rsidRPr="001518E2">
        <w:t>Cultural Responsiveness Framework Training Program</w:t>
      </w:r>
    </w:p>
    <w:p w14:paraId="40752A44" w14:textId="77777777" w:rsidR="000323F7" w:rsidRPr="00E0008C" w:rsidRDefault="000323F7" w:rsidP="00E0008C">
      <w:r w:rsidRPr="000A7234">
        <w:t xml:space="preserve">Indigenous Allied Health Australia has been funded to develop </w:t>
      </w:r>
      <w:hyperlink r:id="rId40" w:history="1">
        <w:r w:rsidRPr="00E0008C">
          <w:rPr>
            <w:rStyle w:val="Hyperlink"/>
          </w:rPr>
          <w:t>a suite of resources and associated support</w:t>
        </w:r>
      </w:hyperlink>
      <w:r w:rsidRPr="00E0008C">
        <w:t xml:space="preserve"> to deliver cultural responsiveness training workshops across </w:t>
      </w:r>
      <w:r w:rsidR="001019BF" w:rsidRPr="00E0008C">
        <w:t xml:space="preserve">Australia. </w:t>
      </w:r>
    </w:p>
    <w:p w14:paraId="40752A46" w14:textId="77777777" w:rsidR="000323F7" w:rsidRPr="001518E2" w:rsidRDefault="00CD06F3" w:rsidP="001518E2">
      <w:pPr>
        <w:pStyle w:val="Heading6"/>
      </w:pPr>
      <w:hyperlink r:id="rId41" w:history="1">
        <w:r w:rsidR="000323F7" w:rsidRPr="001518E2">
          <w:rPr>
            <w:rStyle w:val="Hyperlink"/>
            <w:color w:val="auto"/>
          </w:rPr>
          <w:t>Leaders in Indigenous Nursing and Midwifery Education Network</w:t>
        </w:r>
      </w:hyperlink>
    </w:p>
    <w:p w14:paraId="40752A47" w14:textId="77777777" w:rsidR="000323F7" w:rsidRPr="000A7234" w:rsidRDefault="000323F7" w:rsidP="000323F7">
      <w:pPr>
        <w:spacing w:after="0"/>
        <w:rPr>
          <w:rFonts w:cstheme="minorHAnsi"/>
        </w:rPr>
      </w:pPr>
      <w:r w:rsidRPr="000A7234">
        <w:rPr>
          <w:rFonts w:cstheme="minorHAnsi"/>
        </w:rPr>
        <w:t>The Congress of Aboriginal and Torres Strait Islander Nurses and Midwives has been funded to oversee the development of a forum to improve the overall capacity of nursing an</w:t>
      </w:r>
      <w:r w:rsidR="00A81CC4">
        <w:rPr>
          <w:rFonts w:cstheme="minorHAnsi"/>
        </w:rPr>
        <w:t>d midwifery higher educators.</w:t>
      </w:r>
    </w:p>
    <w:p w14:paraId="40752A49" w14:textId="77777777" w:rsidR="000323F7" w:rsidRPr="001518E2" w:rsidRDefault="00CD06F3" w:rsidP="001518E2">
      <w:pPr>
        <w:pStyle w:val="Heading6"/>
      </w:pPr>
      <w:hyperlink r:id="rId42" w:history="1">
        <w:r w:rsidR="000323F7" w:rsidRPr="001518E2">
          <w:rPr>
            <w:rStyle w:val="Hyperlink"/>
            <w:color w:val="auto"/>
          </w:rPr>
          <w:t>Aboriginal and Torres Strait Islander medical specialists project</w:t>
        </w:r>
      </w:hyperlink>
    </w:p>
    <w:p w14:paraId="40752A4A" w14:textId="77777777" w:rsidR="000323F7" w:rsidRPr="000A7234" w:rsidRDefault="000323F7" w:rsidP="000323F7">
      <w:pPr>
        <w:spacing w:after="0"/>
        <w:rPr>
          <w:rFonts w:cstheme="minorHAnsi"/>
        </w:rPr>
      </w:pPr>
      <w:r w:rsidRPr="000A7234">
        <w:rPr>
          <w:rFonts w:cstheme="minorHAnsi"/>
        </w:rPr>
        <w:t xml:space="preserve">The Australian Indigenous Doctors’ Association has been funded to undertake a project to investigate and explore options for developing pathways for Aboriginal and Torres Strait Islander doctors into specialist medical training. </w:t>
      </w:r>
    </w:p>
    <w:p w14:paraId="40752A4C" w14:textId="77777777" w:rsidR="00136224" w:rsidRPr="007C2861" w:rsidRDefault="007C2861" w:rsidP="007C2861">
      <w:pPr>
        <w:spacing w:after="0"/>
        <w:rPr>
          <w:rFonts w:cstheme="minorHAnsi"/>
        </w:rPr>
      </w:pPr>
      <w:r>
        <w:rPr>
          <w:rFonts w:cstheme="minorHAnsi"/>
        </w:rPr>
        <w:lastRenderedPageBreak/>
        <w:t>In a</w:t>
      </w:r>
      <w:r w:rsidR="00136224" w:rsidRPr="007C2861">
        <w:rPr>
          <w:rFonts w:cstheme="minorHAnsi"/>
        </w:rPr>
        <w:t>ddition, the Australian Government funds a number of Indigenous health ou</w:t>
      </w:r>
      <w:r w:rsidR="00273FCF" w:rsidRPr="007C2861">
        <w:rPr>
          <w:rFonts w:cstheme="minorHAnsi"/>
        </w:rPr>
        <w:t xml:space="preserve">treach measures, which include </w:t>
      </w:r>
      <w:r w:rsidR="00136224" w:rsidRPr="007C2861">
        <w:rPr>
          <w:rFonts w:cstheme="minorHAnsi"/>
        </w:rPr>
        <w:t xml:space="preserve">support for services delivered by the mental health workforce.  </w:t>
      </w:r>
      <w:r w:rsidR="00273FCF" w:rsidRPr="007C2861">
        <w:rPr>
          <w:rFonts w:cstheme="minorHAnsi"/>
        </w:rPr>
        <w:t>F</w:t>
      </w:r>
      <w:r w:rsidR="00136224" w:rsidRPr="007C2861">
        <w:rPr>
          <w:rFonts w:cstheme="minorHAnsi"/>
        </w:rPr>
        <w:t>unded providers are required to ensure the engaged health professionals have undertaken appropriate cultural awareness training.</w:t>
      </w:r>
    </w:p>
    <w:p w14:paraId="40752A4E" w14:textId="77777777" w:rsidR="0036378E" w:rsidRPr="00C73518" w:rsidRDefault="0036378E" w:rsidP="0036378E">
      <w:pPr>
        <w:spacing w:after="0"/>
        <w:rPr>
          <w:rFonts w:cstheme="minorHAnsi"/>
        </w:rPr>
      </w:pPr>
      <w:r>
        <w:rPr>
          <w:rFonts w:cstheme="minorHAnsi"/>
        </w:rPr>
        <w:t>T</w:t>
      </w:r>
      <w:r w:rsidRPr="00136224">
        <w:rPr>
          <w:rFonts w:cstheme="minorHAnsi"/>
        </w:rPr>
        <w:t xml:space="preserve">he new NDIS Quality and Safeguards Commission established by the Australian Government </w:t>
      </w:r>
      <w:r>
        <w:rPr>
          <w:rFonts w:cstheme="minorHAnsi"/>
        </w:rPr>
        <w:t>is progressively taking over r</w:t>
      </w:r>
      <w:r w:rsidRPr="00136224">
        <w:rPr>
          <w:rFonts w:cstheme="minorHAnsi"/>
        </w:rPr>
        <w:t xml:space="preserve">esponsibility for regulating NDIS providers. The </w:t>
      </w:r>
      <w:hyperlink r:id="rId43" w:history="1">
        <w:r w:rsidRPr="00A85115">
          <w:rPr>
            <w:rStyle w:val="Hyperlink"/>
            <w:rFonts w:cstheme="minorHAnsi"/>
          </w:rPr>
          <w:t>NDIS (Provider Registration and Practice Standards) Rules 2018</w:t>
        </w:r>
      </w:hyperlink>
      <w:r w:rsidRPr="00136224">
        <w:rPr>
          <w:rFonts w:cstheme="minorHAnsi"/>
        </w:rPr>
        <w:t xml:space="preserve"> include a core module </w:t>
      </w:r>
      <w:r>
        <w:rPr>
          <w:rFonts w:cstheme="minorHAnsi"/>
        </w:rPr>
        <w:t xml:space="preserve">on participant </w:t>
      </w:r>
      <w:r w:rsidRPr="00136224">
        <w:rPr>
          <w:rFonts w:cstheme="minorHAnsi"/>
        </w:rPr>
        <w:t xml:space="preserve">rights </w:t>
      </w:r>
      <w:r>
        <w:rPr>
          <w:rFonts w:cstheme="minorHAnsi"/>
        </w:rPr>
        <w:t xml:space="preserve">and </w:t>
      </w:r>
      <w:r w:rsidRPr="00136224">
        <w:rPr>
          <w:rFonts w:cstheme="minorHAnsi"/>
        </w:rPr>
        <w:t>provider</w:t>
      </w:r>
      <w:r>
        <w:rPr>
          <w:rFonts w:cstheme="minorHAnsi"/>
        </w:rPr>
        <w:t xml:space="preserve"> responsibilitie</w:t>
      </w:r>
      <w:r w:rsidRPr="00136224">
        <w:rPr>
          <w:rFonts w:cstheme="minorHAnsi"/>
        </w:rPr>
        <w:t>s</w:t>
      </w:r>
      <w:r>
        <w:rPr>
          <w:rFonts w:cstheme="minorHAnsi"/>
        </w:rPr>
        <w:t xml:space="preserve">. Under module </w:t>
      </w:r>
      <w:r w:rsidRPr="001518E2">
        <w:rPr>
          <w:rStyle w:val="Strong"/>
        </w:rPr>
        <w:t>2.4 Individual values and beliefs</w:t>
      </w:r>
      <w:r>
        <w:rPr>
          <w:rFonts w:cstheme="minorHAnsi"/>
          <w:b/>
        </w:rPr>
        <w:t xml:space="preserve"> </w:t>
      </w:r>
      <w:r w:rsidRPr="00C73518">
        <w:rPr>
          <w:rFonts w:cstheme="minorHAnsi"/>
        </w:rPr>
        <w:t xml:space="preserve">it is required </w:t>
      </w:r>
      <w:r>
        <w:rPr>
          <w:rFonts w:cstheme="minorHAnsi"/>
        </w:rPr>
        <w:t xml:space="preserve">by law </w:t>
      </w:r>
      <w:r w:rsidRPr="00C73518">
        <w:rPr>
          <w:rFonts w:cstheme="minorHAnsi"/>
        </w:rPr>
        <w:t>that:</w:t>
      </w:r>
    </w:p>
    <w:p w14:paraId="40752A50" w14:textId="77777777" w:rsidR="0090649C" w:rsidRPr="00A81CC4" w:rsidRDefault="0036378E" w:rsidP="00A81CC4">
      <w:pPr>
        <w:spacing w:after="0"/>
        <w:ind w:left="720"/>
        <w:rPr>
          <w:rFonts w:cstheme="minorHAnsi"/>
        </w:rPr>
      </w:pPr>
      <w:r>
        <w:rPr>
          <w:rFonts w:cstheme="minorHAnsi"/>
        </w:rPr>
        <w:t>‘</w:t>
      </w:r>
      <w:r w:rsidRPr="00C73518">
        <w:rPr>
          <w:rFonts w:cstheme="minorHAnsi"/>
        </w:rPr>
        <w:t>Each participant can access supports that respect their culture, diversity, values and beliefs.</w:t>
      </w:r>
      <w:r w:rsidRPr="00136224">
        <w:rPr>
          <w:rFonts w:cstheme="minorHAnsi"/>
        </w:rPr>
        <w:t xml:space="preserve"> can access supports that respect their culture, diversity values and beliefs.</w:t>
      </w:r>
      <w:r w:rsidR="00A81CC4">
        <w:rPr>
          <w:rFonts w:cstheme="minorHAnsi"/>
        </w:rPr>
        <w:t>’</w:t>
      </w:r>
    </w:p>
    <w:p w14:paraId="40752A52" w14:textId="77777777" w:rsidR="003B5452" w:rsidRPr="00166E29" w:rsidRDefault="003B5452" w:rsidP="00E0008C">
      <w:pPr>
        <w:pStyle w:val="Heading3"/>
      </w:pPr>
      <w:r w:rsidRPr="00166E29">
        <w:t>Recommendation 15</w:t>
      </w:r>
    </w:p>
    <w:p w14:paraId="40752A53" w14:textId="77777777" w:rsidR="000632D1" w:rsidRDefault="003B5452" w:rsidP="003B5452">
      <w:pPr>
        <w:spacing w:after="0"/>
        <w:rPr>
          <w:rFonts w:cstheme="minorHAnsi"/>
        </w:rPr>
      </w:pPr>
      <w:r w:rsidRPr="0046077A">
        <w:rPr>
          <w:rFonts w:cstheme="minorHAnsi"/>
        </w:rPr>
        <w:t>The committee recommends that all providers of fly-in, fly-out mental</w:t>
      </w:r>
      <w:r w:rsidR="000632D1">
        <w:rPr>
          <w:rFonts w:cstheme="minorHAnsi"/>
        </w:rPr>
        <w:t xml:space="preserve"> </w:t>
      </w:r>
      <w:r w:rsidRPr="0046077A">
        <w:rPr>
          <w:rFonts w:cstheme="minorHAnsi"/>
        </w:rPr>
        <w:t>health services ensure that mental health professionals are supported by long</w:t>
      </w:r>
      <w:r w:rsidR="009E0A19">
        <w:rPr>
          <w:rFonts w:cstheme="minorHAnsi"/>
        </w:rPr>
        <w:t>-</w:t>
      </w:r>
      <w:r w:rsidRPr="0046077A">
        <w:rPr>
          <w:rFonts w:cstheme="minorHAnsi"/>
        </w:rPr>
        <w:t>term</w:t>
      </w:r>
      <w:r w:rsidR="000632D1">
        <w:rPr>
          <w:rFonts w:cstheme="minorHAnsi"/>
        </w:rPr>
        <w:t xml:space="preserve"> </w:t>
      </w:r>
      <w:r w:rsidRPr="0046077A">
        <w:rPr>
          <w:rFonts w:cstheme="minorHAnsi"/>
        </w:rPr>
        <w:t>investment to enable them to provide reliable and regular support services</w:t>
      </w:r>
      <w:r w:rsidR="000632D1">
        <w:rPr>
          <w:rFonts w:cstheme="minorHAnsi"/>
        </w:rPr>
        <w:t xml:space="preserve"> </w:t>
      </w:r>
      <w:r w:rsidRPr="0046077A">
        <w:rPr>
          <w:rFonts w:cstheme="minorHAnsi"/>
        </w:rPr>
        <w:t>to rural and remote communities, with consistency of personnel an essential</w:t>
      </w:r>
      <w:r w:rsidR="000632D1">
        <w:rPr>
          <w:rFonts w:cstheme="minorHAnsi"/>
        </w:rPr>
        <w:t xml:space="preserve"> </w:t>
      </w:r>
      <w:r w:rsidRPr="0046077A">
        <w:rPr>
          <w:rFonts w:cstheme="minorHAnsi"/>
        </w:rPr>
        <w:t>requir</w:t>
      </w:r>
      <w:r w:rsidR="00166E29">
        <w:rPr>
          <w:rFonts w:cstheme="minorHAnsi"/>
        </w:rPr>
        <w:t>ement for any service provider.</w:t>
      </w:r>
    </w:p>
    <w:p w14:paraId="40752A55" w14:textId="77777777" w:rsidR="000037A2" w:rsidRPr="002C211E" w:rsidRDefault="000037A2" w:rsidP="00E0008C">
      <w:pPr>
        <w:pStyle w:val="Heading4"/>
      </w:pPr>
      <w:r w:rsidRPr="002C211E">
        <w:t>Government response</w:t>
      </w:r>
    </w:p>
    <w:p w14:paraId="40752A56" w14:textId="1898C023" w:rsidR="000037A2" w:rsidRDefault="000037A2" w:rsidP="00E0008C">
      <w:pPr>
        <w:pStyle w:val="Heading5"/>
      </w:pPr>
      <w:r w:rsidRPr="008D79EB">
        <w:t xml:space="preserve">The </w:t>
      </w:r>
      <w:r>
        <w:t>g</w:t>
      </w:r>
      <w:r w:rsidRPr="008D79EB">
        <w:t xml:space="preserve">overnment </w:t>
      </w:r>
      <w:r>
        <w:t>SUPPORTS</w:t>
      </w:r>
      <w:r w:rsidR="001518E2">
        <w:t xml:space="preserve"> this recommendation</w:t>
      </w:r>
    </w:p>
    <w:p w14:paraId="40752A58" w14:textId="77777777" w:rsidR="00166E29" w:rsidRPr="00842913" w:rsidRDefault="00A81CC4" w:rsidP="00607556">
      <w:pPr>
        <w:spacing w:before="40" w:after="160"/>
      </w:pPr>
      <w:r>
        <w:t>The</w:t>
      </w:r>
      <w:r w:rsidR="00D14C8A">
        <w:t xml:space="preserve"> G</w:t>
      </w:r>
      <w:r w:rsidR="00A06A9C">
        <w:t xml:space="preserve">overnment has </w:t>
      </w:r>
      <w:r w:rsidR="00607556">
        <w:t>included requirements for continuity and local collaboration in funding for this type of service. For example, n</w:t>
      </w:r>
      <w:r w:rsidR="00607556" w:rsidRPr="00842913">
        <w:t xml:space="preserve">ew mental health outreach services </w:t>
      </w:r>
      <w:r w:rsidR="00607556">
        <w:t xml:space="preserve">will be provided by the </w:t>
      </w:r>
      <w:r w:rsidR="00166E29" w:rsidRPr="00166E29">
        <w:t>Royal Flyin</w:t>
      </w:r>
      <w:r w:rsidR="00607556">
        <w:t xml:space="preserve">g Doctor Service (RFDS) which has received </w:t>
      </w:r>
      <w:r w:rsidR="00166E29" w:rsidRPr="00842913">
        <w:t>approximately $20 million over four years from 1 January 2019.</w:t>
      </w:r>
      <w:r w:rsidR="00607556">
        <w:t xml:space="preserve"> </w:t>
      </w:r>
      <w:r w:rsidR="00166E29" w:rsidRPr="00842913">
        <w:t xml:space="preserve">The RFDS will identify </w:t>
      </w:r>
      <w:r w:rsidR="0010074E">
        <w:t xml:space="preserve">service locations </w:t>
      </w:r>
      <w:r w:rsidR="00166E29" w:rsidRPr="00842913">
        <w:t xml:space="preserve">where there are currently few or no mental health services and will plan with local health providers to deliver outreach services with regular attendance. </w:t>
      </w:r>
      <w:r w:rsidR="00607556" w:rsidRPr="00607556">
        <w:t xml:space="preserve">Telehealth access to mental health care will </w:t>
      </w:r>
      <w:r w:rsidR="004F2C09">
        <w:t>be</w:t>
      </w:r>
      <w:r w:rsidR="00607556" w:rsidRPr="00607556">
        <w:t xml:space="preserve"> part </w:t>
      </w:r>
      <w:r w:rsidR="004F2C09">
        <w:t xml:space="preserve">of </w:t>
      </w:r>
      <w:r w:rsidR="00607556" w:rsidRPr="00607556">
        <w:t>the new service.</w:t>
      </w:r>
    </w:p>
    <w:p w14:paraId="40752A59" w14:textId="59C0DD0F" w:rsidR="00274D4F" w:rsidRDefault="00274D4F" w:rsidP="00166E29">
      <w:pPr>
        <w:spacing w:before="40" w:after="160"/>
      </w:pPr>
      <w:r>
        <w:t>Several</w:t>
      </w:r>
      <w:r w:rsidR="00607556">
        <w:t xml:space="preserve"> programs </w:t>
      </w:r>
      <w:r>
        <w:t xml:space="preserve">address disincentives health professionals face in providing outreach services in order to encourage regular, reliable and reliable services. </w:t>
      </w:r>
      <w:r w:rsidR="004F2C09">
        <w:t>Under changes to be introduced in July 2019 as part of the Workforce Incentives Program, GP practices will be able to receive financial incentives to employ allied health professi</w:t>
      </w:r>
      <w:r w:rsidR="001518E2">
        <w:t>onals, including psychologists.</w:t>
      </w:r>
    </w:p>
    <w:p w14:paraId="40752A5A" w14:textId="77777777" w:rsidR="003B5452" w:rsidRPr="00166E29" w:rsidRDefault="003B5452" w:rsidP="00E0008C">
      <w:pPr>
        <w:pStyle w:val="Heading3"/>
      </w:pPr>
      <w:r w:rsidRPr="00166E29">
        <w:t>Recommendation 16</w:t>
      </w:r>
    </w:p>
    <w:p w14:paraId="40752A5B" w14:textId="77777777" w:rsidR="003B5452" w:rsidRPr="0046077A" w:rsidRDefault="003B5452" w:rsidP="003B5452">
      <w:pPr>
        <w:spacing w:after="0"/>
        <w:rPr>
          <w:rFonts w:cstheme="minorHAnsi"/>
        </w:rPr>
      </w:pPr>
      <w:r w:rsidRPr="0046077A">
        <w:rPr>
          <w:rFonts w:cstheme="minorHAnsi"/>
        </w:rPr>
        <w:t>The committee recommends that peer support workers be given</w:t>
      </w:r>
      <w:r w:rsidR="000632D1">
        <w:rPr>
          <w:rFonts w:cstheme="minorHAnsi"/>
        </w:rPr>
        <w:t xml:space="preserve"> </w:t>
      </w:r>
      <w:r w:rsidRPr="0046077A">
        <w:rPr>
          <w:rFonts w:cstheme="minorHAnsi"/>
        </w:rPr>
        <w:t>appropriate training to enable them to continue their role in helping people</w:t>
      </w:r>
      <w:r w:rsidR="000632D1">
        <w:rPr>
          <w:rFonts w:cstheme="minorHAnsi"/>
        </w:rPr>
        <w:t xml:space="preserve"> </w:t>
      </w:r>
      <w:r w:rsidRPr="0046077A">
        <w:rPr>
          <w:rFonts w:cstheme="minorHAnsi"/>
        </w:rPr>
        <w:t>experiencing mental health issues. The committee further considers that peer</w:t>
      </w:r>
      <w:r w:rsidR="000632D1">
        <w:rPr>
          <w:rFonts w:cstheme="minorHAnsi"/>
        </w:rPr>
        <w:t xml:space="preserve"> </w:t>
      </w:r>
      <w:r w:rsidRPr="0046077A">
        <w:rPr>
          <w:rFonts w:cstheme="minorHAnsi"/>
        </w:rPr>
        <w:t>support workers should be recognised as a valuable support service by being</w:t>
      </w:r>
      <w:r w:rsidR="000632D1">
        <w:rPr>
          <w:rFonts w:cstheme="minorHAnsi"/>
        </w:rPr>
        <w:t xml:space="preserve"> </w:t>
      </w:r>
      <w:r w:rsidRPr="0046077A">
        <w:rPr>
          <w:rFonts w:cstheme="minorHAnsi"/>
        </w:rPr>
        <w:t>paid to perform this role in rural and remote communities.</w:t>
      </w:r>
    </w:p>
    <w:p w14:paraId="40752A5D" w14:textId="77777777" w:rsidR="00536D55" w:rsidRPr="002C211E" w:rsidRDefault="00536D55" w:rsidP="00E0008C">
      <w:pPr>
        <w:pStyle w:val="Heading4"/>
      </w:pPr>
      <w:r w:rsidRPr="002C211E">
        <w:t>Government response</w:t>
      </w:r>
    </w:p>
    <w:p w14:paraId="40752A5E" w14:textId="77777777" w:rsidR="00536D55" w:rsidRDefault="00536D55" w:rsidP="00E0008C">
      <w:pPr>
        <w:pStyle w:val="Heading5"/>
      </w:pPr>
      <w:r w:rsidRPr="008D79EB">
        <w:t xml:space="preserve">The </w:t>
      </w:r>
      <w:r>
        <w:t>g</w:t>
      </w:r>
      <w:r w:rsidRPr="008D79EB">
        <w:t xml:space="preserve">overnment </w:t>
      </w:r>
      <w:r>
        <w:t>SUPPORTS</w:t>
      </w:r>
      <w:r w:rsidRPr="008D79EB">
        <w:t xml:space="preserve"> this recommendation</w:t>
      </w:r>
      <w:r w:rsidR="004F2C09">
        <w:t>.</w:t>
      </w:r>
    </w:p>
    <w:p w14:paraId="40752A60" w14:textId="7721B4C5" w:rsidR="00BA7672" w:rsidRDefault="0050658E" w:rsidP="00BA7672">
      <w:pPr>
        <w:spacing w:after="0"/>
        <w:rPr>
          <w:rFonts w:cstheme="minorHAnsi"/>
        </w:rPr>
      </w:pPr>
      <w:r>
        <w:rPr>
          <w:rFonts w:cstheme="minorHAnsi"/>
        </w:rPr>
        <w:t xml:space="preserve">Peer support workers are an important part of the Government’s commitment to mental health service provision. </w:t>
      </w:r>
      <w:r w:rsidR="00166E29" w:rsidRPr="00166E29">
        <w:rPr>
          <w:rFonts w:cstheme="minorHAnsi"/>
        </w:rPr>
        <w:t xml:space="preserve">PHNs are </w:t>
      </w:r>
      <w:r w:rsidR="00E826B2">
        <w:rPr>
          <w:rFonts w:cstheme="minorHAnsi"/>
        </w:rPr>
        <w:t xml:space="preserve">currently </w:t>
      </w:r>
      <w:r w:rsidR="00166E29" w:rsidRPr="00166E29">
        <w:rPr>
          <w:rFonts w:cstheme="minorHAnsi"/>
        </w:rPr>
        <w:t>expected to support models of practice that incorpor</w:t>
      </w:r>
      <w:r w:rsidR="00E826B2">
        <w:rPr>
          <w:rFonts w:cstheme="minorHAnsi"/>
        </w:rPr>
        <w:t xml:space="preserve">ate peer workers as </w:t>
      </w:r>
      <w:r w:rsidR="00166E29" w:rsidRPr="00166E29">
        <w:rPr>
          <w:rFonts w:cstheme="minorHAnsi"/>
        </w:rPr>
        <w:t xml:space="preserve">members of multidisciplinary teams providing person-centred, recovery-oriented and trauma-informed stepped care in mental health and suicide </w:t>
      </w:r>
      <w:r w:rsidR="00166E29" w:rsidRPr="00166E29">
        <w:rPr>
          <w:rFonts w:cstheme="minorHAnsi"/>
        </w:rPr>
        <w:lastRenderedPageBreak/>
        <w:t>prevention services, including promoting training, peer supervision and career development for peer workers</w:t>
      </w:r>
      <w:r w:rsidR="00E826B2">
        <w:rPr>
          <w:rFonts w:cstheme="minorHAnsi"/>
        </w:rPr>
        <w:t>.</w:t>
      </w:r>
    </w:p>
    <w:p w14:paraId="40752A62" w14:textId="77777777" w:rsidR="00BA7672" w:rsidRDefault="00BA7672" w:rsidP="00166E29">
      <w:pPr>
        <w:spacing w:after="0"/>
        <w:rPr>
          <w:rFonts w:cstheme="minorHAnsi"/>
        </w:rPr>
      </w:pPr>
      <w:r>
        <w:rPr>
          <w:rFonts w:cstheme="minorHAnsi"/>
        </w:rPr>
        <w:t xml:space="preserve">The department has developed </w:t>
      </w:r>
      <w:hyperlink r:id="rId44" w:history="1">
        <w:r w:rsidRPr="00BA7672">
          <w:rPr>
            <w:rStyle w:val="Hyperlink"/>
            <w:rFonts w:cstheme="minorHAnsi"/>
          </w:rPr>
          <w:t>specific guidelines</w:t>
        </w:r>
      </w:hyperlink>
      <w:r>
        <w:rPr>
          <w:rFonts w:cstheme="minorHAnsi"/>
        </w:rPr>
        <w:t xml:space="preserve"> on the</w:t>
      </w:r>
      <w:r w:rsidRPr="00BA7672">
        <w:rPr>
          <w:rFonts w:cstheme="minorHAnsi"/>
        </w:rPr>
        <w:t xml:space="preserve"> mental health and suicid</w:t>
      </w:r>
      <w:r w:rsidR="00E826B2">
        <w:rPr>
          <w:rFonts w:cstheme="minorHAnsi"/>
        </w:rPr>
        <w:t>e prevention peer workforce. These</w:t>
      </w:r>
      <w:r>
        <w:rPr>
          <w:rFonts w:cstheme="minorHAnsi"/>
        </w:rPr>
        <w:t xml:space="preserve"> explain </w:t>
      </w:r>
      <w:r w:rsidRPr="00BA7672">
        <w:rPr>
          <w:rFonts w:cstheme="minorHAnsi"/>
        </w:rPr>
        <w:t>ho</w:t>
      </w:r>
      <w:r>
        <w:rPr>
          <w:rFonts w:cstheme="minorHAnsi"/>
        </w:rPr>
        <w:t>w PHNs</w:t>
      </w:r>
      <w:r w:rsidRPr="00BA7672">
        <w:rPr>
          <w:rFonts w:cstheme="minorHAnsi"/>
        </w:rPr>
        <w:t xml:space="preserve"> can support better outcomes in mental health by promoting and supporting the employment of peer workers as part of multi-disciplinary teams</w:t>
      </w:r>
      <w:r>
        <w:rPr>
          <w:rFonts w:cstheme="minorHAnsi"/>
        </w:rPr>
        <w:t>.</w:t>
      </w:r>
    </w:p>
    <w:p w14:paraId="40752A64" w14:textId="1EDE8B4A" w:rsidR="00770C25" w:rsidRPr="001518E2" w:rsidRDefault="00770C25" w:rsidP="002A5627">
      <w:r w:rsidRPr="002A5627">
        <w:t xml:space="preserve">Consultations with communities in drought affected areas undertaken by the Coordinator-General for Drought, Major General Day, found that people often preferred to talk to a trusted or respected member of the community rather than engaging in the formal mental health </w:t>
      </w:r>
      <w:r w:rsidR="00011FAC" w:rsidRPr="002A5627">
        <w:t>pathways f</w:t>
      </w:r>
      <w:r w:rsidR="001518E2">
        <w:t>or help.</w:t>
      </w:r>
    </w:p>
    <w:p w14:paraId="40752A65" w14:textId="77777777" w:rsidR="00770C25" w:rsidRPr="002A5627" w:rsidRDefault="00770C25" w:rsidP="00770C25">
      <w:r w:rsidRPr="002A5627">
        <w:t xml:space="preserve">Funding </w:t>
      </w:r>
      <w:r w:rsidR="00011FAC" w:rsidRPr="002A5627">
        <w:t xml:space="preserve">of $463,815 over three years has been provided </w:t>
      </w:r>
      <w:r w:rsidRPr="002A5627">
        <w:t xml:space="preserve">to nine PHNs for the Trusted Advocates Network Trial </w:t>
      </w:r>
      <w:r w:rsidR="00011FAC" w:rsidRPr="002A5627">
        <w:t xml:space="preserve">to </w:t>
      </w:r>
      <w:r w:rsidRPr="002A5627">
        <w:t>provide additional informal mental health support and referral pathways to individuals affected by drought. Community members nominated as ‘trusted advocates’ will receive mental health first aid and/or ‘accidental counsellor’ training to assist them in their role supporting people in their communities.  The Trial will enable local communities to strengthen their own local drought support network</w:t>
      </w:r>
      <w:r w:rsidR="00011FAC" w:rsidRPr="002A5627">
        <w:t xml:space="preserve"> and additional mental health support and referral pathways</w:t>
      </w:r>
      <w:r w:rsidRPr="002A5627">
        <w:t>.</w:t>
      </w:r>
    </w:p>
    <w:p w14:paraId="40752A66" w14:textId="56AE37FD" w:rsidR="009E0A19" w:rsidRDefault="0010074E" w:rsidP="00E91AB3">
      <w:pPr>
        <w:pStyle w:val="Heading2"/>
        <w:numPr>
          <w:ilvl w:val="1"/>
          <w:numId w:val="30"/>
        </w:numPr>
        <w:ind w:left="426"/>
      </w:pPr>
      <w:bookmarkStart w:id="23" w:name="_Toc5262029"/>
      <w:bookmarkStart w:id="24" w:name="_Toc11401975"/>
      <w:r>
        <w:t>Reducing the</w:t>
      </w:r>
      <w:r w:rsidR="009E0A19">
        <w:t xml:space="preserve"> stigma</w:t>
      </w:r>
      <w:r w:rsidR="009E0A19" w:rsidRPr="009E0A19">
        <w:t xml:space="preserve"> </w:t>
      </w:r>
      <w:r>
        <w:t>associated with seeking help</w:t>
      </w:r>
      <w:bookmarkEnd w:id="23"/>
      <w:bookmarkEnd w:id="24"/>
    </w:p>
    <w:p w14:paraId="40752A68" w14:textId="77777777" w:rsidR="003B5452" w:rsidRPr="000C0512" w:rsidRDefault="003B5452" w:rsidP="00E0008C">
      <w:pPr>
        <w:pStyle w:val="Heading3"/>
      </w:pPr>
      <w:r w:rsidRPr="000C0512">
        <w:t>Recommendation 17</w:t>
      </w:r>
    </w:p>
    <w:p w14:paraId="40752A69" w14:textId="77777777" w:rsidR="009E0A19" w:rsidRDefault="003B5452" w:rsidP="003B5452">
      <w:pPr>
        <w:spacing w:after="0"/>
        <w:rPr>
          <w:rFonts w:cstheme="minorHAnsi"/>
        </w:rPr>
      </w:pPr>
      <w:r w:rsidRPr="0046077A">
        <w:rPr>
          <w:rFonts w:cstheme="minorHAnsi"/>
        </w:rPr>
        <w:t>The committee recommends that Commonwealth, State and Territory</w:t>
      </w:r>
      <w:r w:rsidR="000632D1">
        <w:rPr>
          <w:rFonts w:cstheme="minorHAnsi"/>
        </w:rPr>
        <w:t xml:space="preserve"> </w:t>
      </w:r>
      <w:r w:rsidRPr="0046077A">
        <w:rPr>
          <w:rFonts w:cstheme="minorHAnsi"/>
        </w:rPr>
        <w:t>Governments, as well as mental health service providers and local communities,</w:t>
      </w:r>
      <w:r w:rsidR="000632D1">
        <w:rPr>
          <w:rFonts w:cstheme="minorHAnsi"/>
        </w:rPr>
        <w:t xml:space="preserve"> </w:t>
      </w:r>
      <w:r w:rsidRPr="0046077A">
        <w:rPr>
          <w:rFonts w:cstheme="minorHAnsi"/>
        </w:rPr>
        <w:t>continue to educate rural and remote communities about mental health and</w:t>
      </w:r>
      <w:r w:rsidR="009E0A19">
        <w:rPr>
          <w:rFonts w:cstheme="minorHAnsi"/>
        </w:rPr>
        <w:t xml:space="preserve"> </w:t>
      </w:r>
      <w:r w:rsidRPr="0046077A">
        <w:rPr>
          <w:rFonts w:cstheme="minorHAnsi"/>
        </w:rPr>
        <w:t>advertise local and digitally-available support services, with a view to reducing</w:t>
      </w:r>
      <w:r w:rsidR="009E0A19">
        <w:rPr>
          <w:rFonts w:cstheme="minorHAnsi"/>
        </w:rPr>
        <w:t xml:space="preserve"> </w:t>
      </w:r>
      <w:r w:rsidR="000C0512">
        <w:rPr>
          <w:rFonts w:cstheme="minorHAnsi"/>
        </w:rPr>
        <w:t>the associated stigma.</w:t>
      </w:r>
    </w:p>
    <w:p w14:paraId="40752A6B" w14:textId="77777777" w:rsidR="00E11371" w:rsidRPr="009B1C33" w:rsidRDefault="00E11371" w:rsidP="0055292B">
      <w:pPr>
        <w:pStyle w:val="Heading3"/>
      </w:pPr>
      <w:r w:rsidRPr="009B1C33">
        <w:t>Recommendation 18</w:t>
      </w:r>
    </w:p>
    <w:p w14:paraId="40752A6C" w14:textId="77777777" w:rsidR="00E11371" w:rsidRDefault="00E11371" w:rsidP="00E11371">
      <w:pPr>
        <w:spacing w:after="0"/>
        <w:rPr>
          <w:rFonts w:cstheme="minorHAnsi"/>
        </w:rPr>
      </w:pPr>
      <w:r w:rsidRPr="0046077A">
        <w:rPr>
          <w:rFonts w:cstheme="minorHAnsi"/>
        </w:rPr>
        <w:t>The committee recommends that Co</w:t>
      </w:r>
      <w:r>
        <w:rPr>
          <w:rFonts w:cstheme="minorHAnsi"/>
        </w:rPr>
        <w:t xml:space="preserve">mmonwealth, State and Territory </w:t>
      </w:r>
      <w:r w:rsidRPr="0046077A">
        <w:rPr>
          <w:rFonts w:cstheme="minorHAnsi"/>
        </w:rPr>
        <w:t>Governments work with mental health service providers and local communities</w:t>
      </w:r>
      <w:r>
        <w:rPr>
          <w:rFonts w:cstheme="minorHAnsi"/>
        </w:rPr>
        <w:t xml:space="preserve"> </w:t>
      </w:r>
      <w:r w:rsidRPr="0046077A">
        <w:rPr>
          <w:rFonts w:cstheme="minorHAnsi"/>
        </w:rPr>
        <w:t>to co-design appropriate educational materials t</w:t>
      </w:r>
      <w:r>
        <w:rPr>
          <w:rFonts w:cstheme="minorHAnsi"/>
        </w:rPr>
        <w:t xml:space="preserve">o reduce the stigma surrounding </w:t>
      </w:r>
      <w:r w:rsidRPr="0046077A">
        <w:rPr>
          <w:rFonts w:cstheme="minorHAnsi"/>
        </w:rPr>
        <w:t>mental health in rural and remote communities.</w:t>
      </w:r>
    </w:p>
    <w:p w14:paraId="40752A6E" w14:textId="77777777" w:rsidR="00D778A2" w:rsidRPr="002C211E" w:rsidRDefault="00D778A2" w:rsidP="0055292B">
      <w:pPr>
        <w:pStyle w:val="Heading4"/>
      </w:pPr>
      <w:r w:rsidRPr="002C211E">
        <w:t>Government response</w:t>
      </w:r>
    </w:p>
    <w:p w14:paraId="40752A6F" w14:textId="5737FEF0" w:rsidR="00D778A2" w:rsidRDefault="00D778A2" w:rsidP="0055292B">
      <w:pPr>
        <w:pStyle w:val="Heading5"/>
      </w:pPr>
      <w:r w:rsidRPr="008D79EB">
        <w:t xml:space="preserve">The </w:t>
      </w:r>
      <w:r>
        <w:t>g</w:t>
      </w:r>
      <w:r w:rsidRPr="008D79EB">
        <w:t xml:space="preserve">overnment </w:t>
      </w:r>
      <w:r>
        <w:t>SUPPORTS</w:t>
      </w:r>
      <w:r w:rsidR="0010074E">
        <w:t xml:space="preserve"> these</w:t>
      </w:r>
      <w:r w:rsidRPr="008D79EB">
        <w:t xml:space="preserve"> recommendation</w:t>
      </w:r>
      <w:r w:rsidR="0010074E">
        <w:t>s</w:t>
      </w:r>
    </w:p>
    <w:p w14:paraId="40752A71" w14:textId="3CF8DDD9" w:rsidR="000C0512" w:rsidRDefault="007402A7" w:rsidP="000C0512">
      <w:pPr>
        <w:spacing w:before="40" w:after="160"/>
      </w:pPr>
      <w:r>
        <w:t xml:space="preserve">Communication about mental health and initiatives to reduce stigma are important elements of the Government’s mental health investment, including as part of its work to implement the Fifth Plan. </w:t>
      </w:r>
      <w:r w:rsidR="00E11371">
        <w:t>T</w:t>
      </w:r>
      <w:r w:rsidR="000C0512" w:rsidRPr="004476C9">
        <w:t xml:space="preserve">elehealth mental health services, </w:t>
      </w:r>
      <w:r w:rsidR="000C0512">
        <w:t>as well as population-wide and targeted community ed</w:t>
      </w:r>
      <w:r w:rsidR="00E11371">
        <w:t>ucation and prevention programs</w:t>
      </w:r>
      <w:r w:rsidR="00814563">
        <w:t xml:space="preserve"> and </w:t>
      </w:r>
      <w:r w:rsidR="00E11371">
        <w:t xml:space="preserve">improving </w:t>
      </w:r>
      <w:r w:rsidR="000C0512">
        <w:t xml:space="preserve">mental health </w:t>
      </w:r>
      <w:r w:rsidR="00E11371">
        <w:t xml:space="preserve">awareness </w:t>
      </w:r>
      <w:r w:rsidR="000C0512">
        <w:t xml:space="preserve">and literacy, </w:t>
      </w:r>
      <w:r w:rsidR="00E11371">
        <w:t>are ways of doing this that can work well in rural and remote areas.</w:t>
      </w:r>
    </w:p>
    <w:p w14:paraId="40752A72" w14:textId="77777777" w:rsidR="00814563" w:rsidRDefault="00814563" w:rsidP="000C0512">
      <w:pPr>
        <w:spacing w:before="40" w:after="160"/>
      </w:pPr>
      <w:r>
        <w:t>As noted above, the government has funded many initiatives and programs that extend access to online services</w:t>
      </w:r>
      <w:r w:rsidR="00F04F50">
        <w:t xml:space="preserve"> and</w:t>
      </w:r>
      <w:r>
        <w:t xml:space="preserve"> make awareness and educational programs available on line. The </w:t>
      </w:r>
      <w:hyperlink r:id="rId45" w:history="1">
        <w:r w:rsidRPr="00814563">
          <w:rPr>
            <w:rStyle w:val="Hyperlink"/>
          </w:rPr>
          <w:t>Head to Health</w:t>
        </w:r>
      </w:hyperlink>
      <w:r>
        <w:t xml:space="preserve"> website </w:t>
      </w:r>
      <w:r w:rsidR="00F04F50">
        <w:t xml:space="preserve">is </w:t>
      </w:r>
      <w:r w:rsidR="00A41784">
        <w:t xml:space="preserve">a portal </w:t>
      </w:r>
      <w:r>
        <w:t xml:space="preserve">that classifies and links to </w:t>
      </w:r>
      <w:r w:rsidR="00A41784">
        <w:t xml:space="preserve">many of these. It </w:t>
      </w:r>
      <w:r>
        <w:t>includes:</w:t>
      </w:r>
    </w:p>
    <w:p w14:paraId="40752A73" w14:textId="77777777" w:rsidR="00814563" w:rsidRPr="001518E2" w:rsidRDefault="00A41784" w:rsidP="001518E2">
      <w:pPr>
        <w:pStyle w:val="ListParagraph"/>
      </w:pPr>
      <w:r w:rsidRPr="001518E2">
        <w:t>Immediate assistance, including c</w:t>
      </w:r>
      <w:r w:rsidR="00814563" w:rsidRPr="001518E2">
        <w:t>onnection to funded services</w:t>
      </w:r>
      <w:r w:rsidRPr="001518E2">
        <w:t>, 24 hour chat lines and a live online chat</w:t>
      </w:r>
    </w:p>
    <w:p w14:paraId="40752A74" w14:textId="77777777" w:rsidR="00F04F50" w:rsidRPr="001518E2" w:rsidRDefault="00F04F50" w:rsidP="001518E2">
      <w:pPr>
        <w:pStyle w:val="ListParagraph"/>
      </w:pPr>
      <w:r w:rsidRPr="001518E2">
        <w:t>Information tailored to people from different backgrounds and communities</w:t>
      </w:r>
    </w:p>
    <w:p w14:paraId="40752A75" w14:textId="77777777" w:rsidR="00814563" w:rsidRPr="001518E2" w:rsidRDefault="00814563" w:rsidP="001518E2">
      <w:pPr>
        <w:pStyle w:val="ListParagraph"/>
      </w:pPr>
      <w:r w:rsidRPr="001518E2">
        <w:lastRenderedPageBreak/>
        <w:t xml:space="preserve">Educational materials that can be downloaded and printed </w:t>
      </w:r>
      <w:r w:rsidR="00F04F50" w:rsidRPr="001518E2">
        <w:t>by health professionals and educators</w:t>
      </w:r>
    </w:p>
    <w:p w14:paraId="40752A76" w14:textId="77777777" w:rsidR="00814563" w:rsidRPr="001518E2" w:rsidRDefault="00A41784" w:rsidP="001518E2">
      <w:pPr>
        <w:pStyle w:val="ListParagraph"/>
      </w:pPr>
      <w:r w:rsidRPr="001518E2">
        <w:t>Resources for carers</w:t>
      </w:r>
    </w:p>
    <w:p w14:paraId="40752A77" w14:textId="77777777" w:rsidR="00A41784" w:rsidRDefault="00A41784" w:rsidP="001518E2">
      <w:pPr>
        <w:pStyle w:val="ListParagraph"/>
      </w:pPr>
      <w:r w:rsidRPr="001518E2">
        <w:t>How</w:t>
      </w:r>
      <w:r>
        <w:t xml:space="preserve"> to contact people locally.</w:t>
      </w:r>
    </w:p>
    <w:p w14:paraId="40752A78" w14:textId="77777777" w:rsidR="00F04F50" w:rsidRDefault="00A41784" w:rsidP="00F04F50">
      <w:pPr>
        <w:spacing w:before="40" w:after="160"/>
      </w:pPr>
      <w:r>
        <w:t xml:space="preserve">Training for front line workers who work with people at risk of suicide or psychosocial disorders </w:t>
      </w:r>
      <w:r w:rsidR="00F04F50">
        <w:t xml:space="preserve">is provided through Mental Health First Aid </w:t>
      </w:r>
      <w:r w:rsidR="00F3559D">
        <w:t xml:space="preserve">(MHFA) </w:t>
      </w:r>
      <w:r w:rsidR="00F04F50">
        <w:t>which has been funded by the Australian Government since 2000.</w:t>
      </w:r>
      <w:r>
        <w:t xml:space="preserve"> </w:t>
      </w:r>
      <w:r w:rsidR="00F04F50">
        <w:t>MHFA estimates over three million Australians have b</w:t>
      </w:r>
      <w:r w:rsidR="00F3559D">
        <w:t xml:space="preserve">een trained since then. All </w:t>
      </w:r>
      <w:r w:rsidR="00F04F50" w:rsidRPr="00F04F50">
        <w:t xml:space="preserve">published </w:t>
      </w:r>
      <w:r w:rsidR="00F3559D">
        <w:t xml:space="preserve">MHFA </w:t>
      </w:r>
      <w:r w:rsidR="00F04F50" w:rsidRPr="00F04F50">
        <w:t>evaluation</w:t>
      </w:r>
      <w:r w:rsidR="00F3559D">
        <w:t>s</w:t>
      </w:r>
      <w:r w:rsidR="00F04F50" w:rsidRPr="00F04F50">
        <w:t xml:space="preserve"> </w:t>
      </w:r>
      <w:r w:rsidR="00F04F50">
        <w:t>conclude:</w:t>
      </w:r>
    </w:p>
    <w:p w14:paraId="40752A79" w14:textId="77777777" w:rsidR="00F04F50" w:rsidRPr="001518E2" w:rsidRDefault="00F04F50" w:rsidP="001518E2">
      <w:pPr>
        <w:pStyle w:val="ListParagraph"/>
      </w:pPr>
      <w:r w:rsidRPr="00F04F50">
        <w:t xml:space="preserve">MHFA increases </w:t>
      </w:r>
      <w:r w:rsidRPr="001518E2">
        <w:t>participants’ knowledge regarding mental health problems</w:t>
      </w:r>
    </w:p>
    <w:p w14:paraId="40752A7A" w14:textId="77777777" w:rsidR="00F04F50" w:rsidRPr="001518E2" w:rsidRDefault="00F04F50" w:rsidP="001518E2">
      <w:pPr>
        <w:pStyle w:val="ListParagraph"/>
      </w:pPr>
      <w:r w:rsidRPr="001518E2">
        <w:t>decreases their negative attitudes to mental disorders</w:t>
      </w:r>
    </w:p>
    <w:p w14:paraId="40752A7B" w14:textId="77777777" w:rsidR="003B5452" w:rsidRPr="00796F77" w:rsidRDefault="00F04F50" w:rsidP="001518E2">
      <w:pPr>
        <w:pStyle w:val="ListParagraph"/>
      </w:pPr>
      <w:r w:rsidRPr="001518E2">
        <w:t>increases supportive behaviours</w:t>
      </w:r>
      <w:r w:rsidRPr="00F04F50">
        <w:t xml:space="preserve"> toward individuals with mental health problems</w:t>
      </w:r>
      <w:r w:rsidR="002B0D18">
        <w:t>.</w:t>
      </w:r>
    </w:p>
    <w:sectPr w:rsidR="003B5452" w:rsidRPr="00796F77" w:rsidSect="001518E2">
      <w:headerReference w:type="default" r:id="rId46"/>
      <w:footerReference w:type="default" r:id="rId47"/>
      <w:pgSz w:w="11906" w:h="16838"/>
      <w:pgMar w:top="1440" w:right="1440" w:bottom="1440" w:left="1440" w:header="708" w:footer="4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52A80" w14:textId="77777777" w:rsidR="00CD06F3" w:rsidRDefault="00CD06F3" w:rsidP="00E57088">
      <w:pPr>
        <w:spacing w:after="0"/>
      </w:pPr>
      <w:r>
        <w:separator/>
      </w:r>
    </w:p>
  </w:endnote>
  <w:endnote w:type="continuationSeparator" w:id="0">
    <w:p w14:paraId="40752A81" w14:textId="77777777" w:rsidR="00CD06F3" w:rsidRDefault="00CD06F3" w:rsidP="00E570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843418"/>
      <w:docPartObj>
        <w:docPartGallery w:val="Page Numbers (Bottom of Page)"/>
        <w:docPartUnique/>
      </w:docPartObj>
    </w:sdtPr>
    <w:sdtEndPr>
      <w:rPr>
        <w:noProof/>
      </w:rPr>
    </w:sdtEndPr>
    <w:sdtContent>
      <w:p w14:paraId="40752A86" w14:textId="22298458" w:rsidR="00CD06F3" w:rsidRDefault="00CD06F3" w:rsidP="001518E2">
        <w:pPr>
          <w:pStyle w:val="Footer"/>
          <w:jc w:val="right"/>
        </w:pPr>
        <w:r>
          <w:fldChar w:fldCharType="begin"/>
        </w:r>
        <w:r>
          <w:instrText xml:space="preserve"> PAGE   \* MERGEFORMAT </w:instrText>
        </w:r>
        <w:r>
          <w:fldChar w:fldCharType="separate"/>
        </w:r>
        <w:r w:rsidR="00684EF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52A7E" w14:textId="77777777" w:rsidR="00CD06F3" w:rsidRDefault="00CD06F3" w:rsidP="00E57088">
      <w:pPr>
        <w:spacing w:after="0"/>
      </w:pPr>
      <w:r>
        <w:separator/>
      </w:r>
    </w:p>
  </w:footnote>
  <w:footnote w:type="continuationSeparator" w:id="0">
    <w:p w14:paraId="40752A7F" w14:textId="77777777" w:rsidR="00CD06F3" w:rsidRDefault="00CD06F3" w:rsidP="00E570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2A84" w14:textId="77777777" w:rsidR="00CD06F3" w:rsidRDefault="00CD0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D82"/>
    <w:multiLevelType w:val="hybridMultilevel"/>
    <w:tmpl w:val="ADF6397A"/>
    <w:lvl w:ilvl="0" w:tplc="0C090001">
      <w:start w:val="1"/>
      <w:numFmt w:val="bullet"/>
      <w:lvlText w:val=""/>
      <w:lvlJc w:val="left"/>
      <w:pPr>
        <w:ind w:left="360" w:hanging="360"/>
      </w:pPr>
      <w:rPr>
        <w:rFonts w:ascii="Symbol" w:hAnsi="Symbol" w:hint="default"/>
      </w:rPr>
    </w:lvl>
    <w:lvl w:ilvl="1" w:tplc="71D220E8">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5315F7"/>
    <w:multiLevelType w:val="hybridMultilevel"/>
    <w:tmpl w:val="D374A128"/>
    <w:lvl w:ilvl="0" w:tplc="0C090001">
      <w:start w:val="1"/>
      <w:numFmt w:val="bullet"/>
      <w:lvlText w:val=""/>
      <w:lvlJc w:val="left"/>
      <w:pPr>
        <w:ind w:left="360" w:hanging="360"/>
      </w:pPr>
      <w:rPr>
        <w:rFonts w:ascii="Symbol" w:hAnsi="Symbol" w:hint="default"/>
      </w:rPr>
    </w:lvl>
    <w:lvl w:ilvl="1" w:tplc="E6583954">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06528BE"/>
    <w:multiLevelType w:val="hybridMultilevel"/>
    <w:tmpl w:val="001A2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B60039"/>
    <w:multiLevelType w:val="hybridMultilevel"/>
    <w:tmpl w:val="50FC4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3C0894"/>
    <w:multiLevelType w:val="hybridMultilevel"/>
    <w:tmpl w:val="FDE86CBA"/>
    <w:lvl w:ilvl="0" w:tplc="D988B466">
      <w:start w:val="1"/>
      <w:numFmt w:val="decimal"/>
      <w:lvlText w:val="%1."/>
      <w:lvlJc w:val="left"/>
      <w:pPr>
        <w:ind w:left="360" w:hanging="360"/>
      </w:pPr>
      <w:rPr>
        <w:rFonts w:hint="default"/>
      </w:rPr>
    </w:lvl>
    <w:lvl w:ilvl="1" w:tplc="5986FD12" w:tentative="1">
      <w:start w:val="1"/>
      <w:numFmt w:val="lowerLetter"/>
      <w:lvlText w:val="%2."/>
      <w:lvlJc w:val="left"/>
      <w:pPr>
        <w:ind w:left="1080" w:hanging="360"/>
      </w:pPr>
    </w:lvl>
    <w:lvl w:ilvl="2" w:tplc="67F0D192" w:tentative="1">
      <w:start w:val="1"/>
      <w:numFmt w:val="lowerRoman"/>
      <w:lvlText w:val="%3."/>
      <w:lvlJc w:val="right"/>
      <w:pPr>
        <w:ind w:left="1800" w:hanging="180"/>
      </w:pPr>
    </w:lvl>
    <w:lvl w:ilvl="3" w:tplc="6DC0BA64" w:tentative="1">
      <w:start w:val="1"/>
      <w:numFmt w:val="decimal"/>
      <w:lvlText w:val="%4."/>
      <w:lvlJc w:val="left"/>
      <w:pPr>
        <w:ind w:left="2520" w:hanging="360"/>
      </w:pPr>
    </w:lvl>
    <w:lvl w:ilvl="4" w:tplc="4224B220" w:tentative="1">
      <w:start w:val="1"/>
      <w:numFmt w:val="lowerLetter"/>
      <w:lvlText w:val="%5."/>
      <w:lvlJc w:val="left"/>
      <w:pPr>
        <w:ind w:left="3240" w:hanging="360"/>
      </w:pPr>
    </w:lvl>
    <w:lvl w:ilvl="5" w:tplc="262A8C6A" w:tentative="1">
      <w:start w:val="1"/>
      <w:numFmt w:val="lowerRoman"/>
      <w:lvlText w:val="%6."/>
      <w:lvlJc w:val="right"/>
      <w:pPr>
        <w:ind w:left="3960" w:hanging="180"/>
      </w:pPr>
    </w:lvl>
    <w:lvl w:ilvl="6" w:tplc="33303F38" w:tentative="1">
      <w:start w:val="1"/>
      <w:numFmt w:val="decimal"/>
      <w:lvlText w:val="%7."/>
      <w:lvlJc w:val="left"/>
      <w:pPr>
        <w:ind w:left="4680" w:hanging="360"/>
      </w:pPr>
    </w:lvl>
    <w:lvl w:ilvl="7" w:tplc="B32C38DC" w:tentative="1">
      <w:start w:val="1"/>
      <w:numFmt w:val="lowerLetter"/>
      <w:lvlText w:val="%8."/>
      <w:lvlJc w:val="left"/>
      <w:pPr>
        <w:ind w:left="5400" w:hanging="360"/>
      </w:pPr>
    </w:lvl>
    <w:lvl w:ilvl="8" w:tplc="B2060E26" w:tentative="1">
      <w:start w:val="1"/>
      <w:numFmt w:val="lowerRoman"/>
      <w:lvlText w:val="%9."/>
      <w:lvlJc w:val="right"/>
      <w:pPr>
        <w:ind w:left="6120" w:hanging="180"/>
      </w:pPr>
    </w:lvl>
  </w:abstractNum>
  <w:abstractNum w:abstractNumId="5" w15:restartNumberingAfterBreak="0">
    <w:nsid w:val="141B05D9"/>
    <w:multiLevelType w:val="hybridMultilevel"/>
    <w:tmpl w:val="02EA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A9580188">
      <w:numFmt w:val="bullet"/>
      <w:lvlText w:val="•"/>
      <w:lvlJc w:val="left"/>
      <w:pPr>
        <w:ind w:left="2160" w:hanging="72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874D6C"/>
    <w:multiLevelType w:val="hybridMultilevel"/>
    <w:tmpl w:val="6F1042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6853A1"/>
    <w:multiLevelType w:val="hybridMultilevel"/>
    <w:tmpl w:val="5642A272"/>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060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F33298"/>
    <w:multiLevelType w:val="hybridMultilevel"/>
    <w:tmpl w:val="765E5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CA3204"/>
    <w:multiLevelType w:val="hybridMultilevel"/>
    <w:tmpl w:val="1E54D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F76B84"/>
    <w:multiLevelType w:val="hybridMultilevel"/>
    <w:tmpl w:val="6A3CEC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131C50"/>
    <w:multiLevelType w:val="hybridMultilevel"/>
    <w:tmpl w:val="FE602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1E2C01"/>
    <w:multiLevelType w:val="hybridMultilevel"/>
    <w:tmpl w:val="63CCF254"/>
    <w:lvl w:ilvl="0" w:tplc="296C9E2C">
      <w:start w:val="1"/>
      <w:numFmt w:val="bullet"/>
      <w:pStyle w:val="IP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D117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151888"/>
    <w:multiLevelType w:val="hybridMultilevel"/>
    <w:tmpl w:val="B1383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0B535F"/>
    <w:multiLevelType w:val="hybridMultilevel"/>
    <w:tmpl w:val="D45A0FBA"/>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CAB07AC"/>
    <w:multiLevelType w:val="hybridMultilevel"/>
    <w:tmpl w:val="D3889D30"/>
    <w:lvl w:ilvl="0" w:tplc="EC285020">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webHidden w:val="0"/>
        <w:color w:val="01653F"/>
        <w:spacing w:val="0"/>
        <w:kern w:val="0"/>
        <w:position w:val="0"/>
        <w:sz w:val="22"/>
        <w:szCs w:val="22"/>
        <w:u w:val="none"/>
        <w:effect w:val="none"/>
        <w:vertAlign w:val="baseline"/>
        <w:em w:val="none"/>
        <w:specVanish w: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DF168A6"/>
    <w:multiLevelType w:val="hybridMultilevel"/>
    <w:tmpl w:val="FE62B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D04CAB"/>
    <w:multiLevelType w:val="hybridMultilevel"/>
    <w:tmpl w:val="1520D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5163C1C"/>
    <w:multiLevelType w:val="hybridMultilevel"/>
    <w:tmpl w:val="88D84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D909ED"/>
    <w:multiLevelType w:val="hybridMultilevel"/>
    <w:tmpl w:val="EBC43E8A"/>
    <w:lvl w:ilvl="0" w:tplc="0C090001">
      <w:start w:val="1"/>
      <w:numFmt w:val="bullet"/>
      <w:lvlText w:val=""/>
      <w:lvlJc w:val="left"/>
      <w:pPr>
        <w:ind w:left="720" w:hanging="360"/>
      </w:pPr>
      <w:rPr>
        <w:rFonts w:ascii="Symbol" w:hAnsi="Symbol" w:hint="default"/>
      </w:rPr>
    </w:lvl>
    <w:lvl w:ilvl="1" w:tplc="99E2002E">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C534F9"/>
    <w:multiLevelType w:val="hybridMultilevel"/>
    <w:tmpl w:val="D2882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5E6FA3"/>
    <w:multiLevelType w:val="hybridMultilevel"/>
    <w:tmpl w:val="2F4AB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0267F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3107305"/>
    <w:multiLevelType w:val="multilevel"/>
    <w:tmpl w:val="79262C7A"/>
    <w:styleLink w:val="BulletsList"/>
    <w:lvl w:ilvl="0">
      <w:start w:val="1"/>
      <w:numFmt w:val="bullet"/>
      <w:pStyle w:val="Bullet1"/>
      <w:lvlText w:val=""/>
      <w:lvlJc w:val="left"/>
      <w:pPr>
        <w:ind w:left="24" w:hanging="284"/>
      </w:pPr>
      <w:rPr>
        <w:rFonts w:ascii="Symbol" w:hAnsi="Symbol" w:hint="default"/>
      </w:rPr>
    </w:lvl>
    <w:lvl w:ilvl="1">
      <w:start w:val="1"/>
      <w:numFmt w:val="bullet"/>
      <w:pStyle w:val="Bullet2"/>
      <w:lvlText w:val="–"/>
      <w:lvlJc w:val="left"/>
      <w:pPr>
        <w:ind w:left="308" w:hanging="284"/>
      </w:pPr>
      <w:rPr>
        <w:rFonts w:ascii="Arial" w:hAnsi="Arial" w:hint="default"/>
      </w:rPr>
    </w:lvl>
    <w:lvl w:ilvl="2">
      <w:start w:val="1"/>
      <w:numFmt w:val="bullet"/>
      <w:pStyle w:val="Bullet3"/>
      <w:lvlText w:val="»"/>
      <w:lvlJc w:val="left"/>
      <w:pPr>
        <w:ind w:left="592" w:hanging="284"/>
      </w:pPr>
      <w:rPr>
        <w:rFonts w:ascii="Arial" w:hAnsi="Arial" w:hint="default"/>
      </w:rPr>
    </w:lvl>
    <w:lvl w:ilvl="3">
      <w:start w:val="1"/>
      <w:numFmt w:val="decimal"/>
      <w:lvlText w:val="(%4)"/>
      <w:lvlJc w:val="left"/>
      <w:pPr>
        <w:ind w:left="876" w:hanging="284"/>
      </w:pPr>
      <w:rPr>
        <w:rFonts w:hint="default"/>
      </w:rPr>
    </w:lvl>
    <w:lvl w:ilvl="4">
      <w:start w:val="1"/>
      <w:numFmt w:val="lowerLetter"/>
      <w:lvlText w:val="(%5)"/>
      <w:lvlJc w:val="left"/>
      <w:pPr>
        <w:ind w:left="1160" w:hanging="284"/>
      </w:pPr>
      <w:rPr>
        <w:rFonts w:hint="default"/>
      </w:rPr>
    </w:lvl>
    <w:lvl w:ilvl="5">
      <w:start w:val="1"/>
      <w:numFmt w:val="lowerRoman"/>
      <w:lvlText w:val="(%6)"/>
      <w:lvlJc w:val="left"/>
      <w:pPr>
        <w:ind w:left="1444" w:hanging="284"/>
      </w:pPr>
      <w:rPr>
        <w:rFonts w:hint="default"/>
      </w:rPr>
    </w:lvl>
    <w:lvl w:ilvl="6">
      <w:start w:val="1"/>
      <w:numFmt w:val="decimal"/>
      <w:lvlText w:val="%7."/>
      <w:lvlJc w:val="left"/>
      <w:pPr>
        <w:ind w:left="1728" w:hanging="284"/>
      </w:pPr>
      <w:rPr>
        <w:rFonts w:hint="default"/>
      </w:rPr>
    </w:lvl>
    <w:lvl w:ilvl="7">
      <w:start w:val="1"/>
      <w:numFmt w:val="lowerLetter"/>
      <w:lvlText w:val="%8."/>
      <w:lvlJc w:val="left"/>
      <w:pPr>
        <w:ind w:left="2012" w:hanging="284"/>
      </w:pPr>
      <w:rPr>
        <w:rFonts w:hint="default"/>
      </w:rPr>
    </w:lvl>
    <w:lvl w:ilvl="8">
      <w:start w:val="1"/>
      <w:numFmt w:val="lowerRoman"/>
      <w:lvlText w:val="%9."/>
      <w:lvlJc w:val="left"/>
      <w:pPr>
        <w:ind w:left="2296" w:hanging="284"/>
      </w:pPr>
      <w:rPr>
        <w:rFonts w:hint="default"/>
      </w:rPr>
    </w:lvl>
  </w:abstractNum>
  <w:abstractNum w:abstractNumId="27" w15:restartNumberingAfterBreak="0">
    <w:nsid w:val="74036FB2"/>
    <w:multiLevelType w:val="hybridMultilevel"/>
    <w:tmpl w:val="A5B20BA0"/>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5E4D71"/>
    <w:multiLevelType w:val="hybridMultilevel"/>
    <w:tmpl w:val="C54C6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9D6437"/>
    <w:multiLevelType w:val="hybridMultilevel"/>
    <w:tmpl w:val="DDBCFAB6"/>
    <w:lvl w:ilvl="0" w:tplc="C598E3A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FA231DA"/>
    <w:multiLevelType w:val="hybridMultilevel"/>
    <w:tmpl w:val="7BB2EB62"/>
    <w:lvl w:ilvl="0" w:tplc="16726F8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
  </w:num>
  <w:num w:numId="4">
    <w:abstractNumId w:val="20"/>
  </w:num>
  <w:num w:numId="5">
    <w:abstractNumId w:val="9"/>
  </w:num>
  <w:num w:numId="6">
    <w:abstractNumId w:val="23"/>
  </w:num>
  <w:num w:numId="7">
    <w:abstractNumId w:val="22"/>
  </w:num>
  <w:num w:numId="8">
    <w:abstractNumId w:val="13"/>
  </w:num>
  <w:num w:numId="9">
    <w:abstractNumId w:val="5"/>
  </w:num>
  <w:num w:numId="10">
    <w:abstractNumId w:val="10"/>
  </w:num>
  <w:num w:numId="11">
    <w:abstractNumId w:val="16"/>
  </w:num>
  <w:num w:numId="12">
    <w:abstractNumId w:val="28"/>
  </w:num>
  <w:num w:numId="13">
    <w:abstractNumId w:val="6"/>
  </w:num>
  <w:num w:numId="14">
    <w:abstractNumId w:val="0"/>
  </w:num>
  <w:num w:numId="15">
    <w:abstractNumId w:val="26"/>
  </w:num>
  <w:num w:numId="16">
    <w:abstractNumId w:val="14"/>
  </w:num>
  <w:num w:numId="17">
    <w:abstractNumId w:val="2"/>
  </w:num>
  <w:num w:numId="18">
    <w:abstractNumId w:val="18"/>
  </w:num>
  <w:num w:numId="19">
    <w:abstractNumId w:val="17"/>
  </w:num>
  <w:num w:numId="20">
    <w:abstractNumId w:val="30"/>
  </w:num>
  <w:num w:numId="21">
    <w:abstractNumId w:val="7"/>
  </w:num>
  <w:num w:numId="22">
    <w:abstractNumId w:val="27"/>
  </w:num>
  <w:num w:numId="23">
    <w:abstractNumId w:val="24"/>
  </w:num>
  <w:num w:numId="24">
    <w:abstractNumId w:val="21"/>
  </w:num>
  <w:num w:numId="25">
    <w:abstractNumId w:val="12"/>
  </w:num>
  <w:num w:numId="26">
    <w:abstractNumId w:val="4"/>
  </w:num>
  <w:num w:numId="27">
    <w:abstractNumId w:val="25"/>
  </w:num>
  <w:num w:numId="28">
    <w:abstractNumId w:val="11"/>
  </w:num>
  <w:num w:numId="29">
    <w:abstractNumId w:val="29"/>
  </w:num>
  <w:num w:numId="30">
    <w:abstractNumId w:val="15"/>
  </w:num>
  <w:num w:numId="31">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77"/>
    <w:rsid w:val="0000237C"/>
    <w:rsid w:val="000037A2"/>
    <w:rsid w:val="000053D5"/>
    <w:rsid w:val="000100F1"/>
    <w:rsid w:val="00011FAC"/>
    <w:rsid w:val="000131B9"/>
    <w:rsid w:val="000139B1"/>
    <w:rsid w:val="00015240"/>
    <w:rsid w:val="000153CD"/>
    <w:rsid w:val="00017060"/>
    <w:rsid w:val="00020009"/>
    <w:rsid w:val="00026D61"/>
    <w:rsid w:val="00031618"/>
    <w:rsid w:val="000323F7"/>
    <w:rsid w:val="00032EEA"/>
    <w:rsid w:val="000337FA"/>
    <w:rsid w:val="00037A81"/>
    <w:rsid w:val="000409D4"/>
    <w:rsid w:val="00042144"/>
    <w:rsid w:val="00043038"/>
    <w:rsid w:val="0004344E"/>
    <w:rsid w:val="00043AC1"/>
    <w:rsid w:val="000449D3"/>
    <w:rsid w:val="0005477B"/>
    <w:rsid w:val="000600FF"/>
    <w:rsid w:val="000632D1"/>
    <w:rsid w:val="00063D72"/>
    <w:rsid w:val="000649F4"/>
    <w:rsid w:val="00067ADC"/>
    <w:rsid w:val="0007129F"/>
    <w:rsid w:val="00072BD9"/>
    <w:rsid w:val="00081338"/>
    <w:rsid w:val="000834B0"/>
    <w:rsid w:val="000843CF"/>
    <w:rsid w:val="000850C8"/>
    <w:rsid w:val="00086414"/>
    <w:rsid w:val="0009110F"/>
    <w:rsid w:val="000947ED"/>
    <w:rsid w:val="00096D22"/>
    <w:rsid w:val="000A6FBF"/>
    <w:rsid w:val="000A7234"/>
    <w:rsid w:val="000A7EB1"/>
    <w:rsid w:val="000B2E7D"/>
    <w:rsid w:val="000B740C"/>
    <w:rsid w:val="000B796C"/>
    <w:rsid w:val="000C0512"/>
    <w:rsid w:val="000C4DDA"/>
    <w:rsid w:val="000D56BC"/>
    <w:rsid w:val="000D73EC"/>
    <w:rsid w:val="000E0DA6"/>
    <w:rsid w:val="000E186C"/>
    <w:rsid w:val="000E1FEE"/>
    <w:rsid w:val="000F087A"/>
    <w:rsid w:val="0010074E"/>
    <w:rsid w:val="0010192C"/>
    <w:rsid w:val="001019BF"/>
    <w:rsid w:val="00102F78"/>
    <w:rsid w:val="001160FD"/>
    <w:rsid w:val="001175C2"/>
    <w:rsid w:val="0013220C"/>
    <w:rsid w:val="00133CEB"/>
    <w:rsid w:val="00134FAB"/>
    <w:rsid w:val="00134FDE"/>
    <w:rsid w:val="00136224"/>
    <w:rsid w:val="00143BE3"/>
    <w:rsid w:val="001443F3"/>
    <w:rsid w:val="0014472F"/>
    <w:rsid w:val="001518E2"/>
    <w:rsid w:val="0015614B"/>
    <w:rsid w:val="00157227"/>
    <w:rsid w:val="00157C37"/>
    <w:rsid w:val="00162B55"/>
    <w:rsid w:val="00163849"/>
    <w:rsid w:val="00165822"/>
    <w:rsid w:val="00166E29"/>
    <w:rsid w:val="00166FE5"/>
    <w:rsid w:val="00167AD5"/>
    <w:rsid w:val="00170B3B"/>
    <w:rsid w:val="00171494"/>
    <w:rsid w:val="00174386"/>
    <w:rsid w:val="00175157"/>
    <w:rsid w:val="0017738F"/>
    <w:rsid w:val="001906A5"/>
    <w:rsid w:val="00190BD1"/>
    <w:rsid w:val="00196A0F"/>
    <w:rsid w:val="001A0309"/>
    <w:rsid w:val="001A15A8"/>
    <w:rsid w:val="001A2146"/>
    <w:rsid w:val="001B1169"/>
    <w:rsid w:val="001B1906"/>
    <w:rsid w:val="001B2414"/>
    <w:rsid w:val="001B5F4F"/>
    <w:rsid w:val="001C35C4"/>
    <w:rsid w:val="001C3BFE"/>
    <w:rsid w:val="001C527C"/>
    <w:rsid w:val="001C53DF"/>
    <w:rsid w:val="001C7E04"/>
    <w:rsid w:val="001D0649"/>
    <w:rsid w:val="001D7EF7"/>
    <w:rsid w:val="001E1EC3"/>
    <w:rsid w:val="001E2D46"/>
    <w:rsid w:val="001E4993"/>
    <w:rsid w:val="001E5530"/>
    <w:rsid w:val="001E6005"/>
    <w:rsid w:val="001F1419"/>
    <w:rsid w:val="001F1A3E"/>
    <w:rsid w:val="001F3B23"/>
    <w:rsid w:val="001F5E3D"/>
    <w:rsid w:val="001F7450"/>
    <w:rsid w:val="00204338"/>
    <w:rsid w:val="0021683E"/>
    <w:rsid w:val="00224184"/>
    <w:rsid w:val="00244758"/>
    <w:rsid w:val="002463B1"/>
    <w:rsid w:val="00256CAA"/>
    <w:rsid w:val="00257469"/>
    <w:rsid w:val="00262182"/>
    <w:rsid w:val="00265CC7"/>
    <w:rsid w:val="00267B40"/>
    <w:rsid w:val="002704AF"/>
    <w:rsid w:val="0027066D"/>
    <w:rsid w:val="00273FCF"/>
    <w:rsid w:val="00274D4F"/>
    <w:rsid w:val="00280C6E"/>
    <w:rsid w:val="002815E1"/>
    <w:rsid w:val="00283772"/>
    <w:rsid w:val="00286B82"/>
    <w:rsid w:val="00286DF5"/>
    <w:rsid w:val="002908B2"/>
    <w:rsid w:val="00293FAE"/>
    <w:rsid w:val="002A4371"/>
    <w:rsid w:val="002A51CA"/>
    <w:rsid w:val="002A5627"/>
    <w:rsid w:val="002B0D18"/>
    <w:rsid w:val="002B7B7B"/>
    <w:rsid w:val="002C211E"/>
    <w:rsid w:val="002C2C97"/>
    <w:rsid w:val="002C2F4C"/>
    <w:rsid w:val="002C52C9"/>
    <w:rsid w:val="002C57E5"/>
    <w:rsid w:val="002C5BC9"/>
    <w:rsid w:val="002D0F7C"/>
    <w:rsid w:val="002D2CB7"/>
    <w:rsid w:val="002D4724"/>
    <w:rsid w:val="002D7B76"/>
    <w:rsid w:val="002E07B1"/>
    <w:rsid w:val="002E1523"/>
    <w:rsid w:val="002E15C8"/>
    <w:rsid w:val="002E70A9"/>
    <w:rsid w:val="002F1767"/>
    <w:rsid w:val="002F6235"/>
    <w:rsid w:val="002F7ABB"/>
    <w:rsid w:val="00301EBB"/>
    <w:rsid w:val="003038BB"/>
    <w:rsid w:val="0031117D"/>
    <w:rsid w:val="00313522"/>
    <w:rsid w:val="0031399E"/>
    <w:rsid w:val="00317618"/>
    <w:rsid w:val="00320836"/>
    <w:rsid w:val="00324426"/>
    <w:rsid w:val="003250C9"/>
    <w:rsid w:val="00325595"/>
    <w:rsid w:val="003324F1"/>
    <w:rsid w:val="0033315E"/>
    <w:rsid w:val="00335438"/>
    <w:rsid w:val="00336516"/>
    <w:rsid w:val="00340C53"/>
    <w:rsid w:val="0035158B"/>
    <w:rsid w:val="0035317B"/>
    <w:rsid w:val="00355A80"/>
    <w:rsid w:val="00355F3B"/>
    <w:rsid w:val="00360AC8"/>
    <w:rsid w:val="00362AC3"/>
    <w:rsid w:val="0036378E"/>
    <w:rsid w:val="003674B6"/>
    <w:rsid w:val="003715DA"/>
    <w:rsid w:val="00377FF0"/>
    <w:rsid w:val="00382141"/>
    <w:rsid w:val="00383E7E"/>
    <w:rsid w:val="003849DF"/>
    <w:rsid w:val="00392EFE"/>
    <w:rsid w:val="003940E0"/>
    <w:rsid w:val="00394E72"/>
    <w:rsid w:val="0039590E"/>
    <w:rsid w:val="00395959"/>
    <w:rsid w:val="003959A5"/>
    <w:rsid w:val="003A1496"/>
    <w:rsid w:val="003A3D3B"/>
    <w:rsid w:val="003A5949"/>
    <w:rsid w:val="003B1301"/>
    <w:rsid w:val="003B3179"/>
    <w:rsid w:val="003B3B67"/>
    <w:rsid w:val="003B5452"/>
    <w:rsid w:val="003C0F95"/>
    <w:rsid w:val="003D399C"/>
    <w:rsid w:val="003D55BF"/>
    <w:rsid w:val="003E0E7D"/>
    <w:rsid w:val="003E4A17"/>
    <w:rsid w:val="003F1E43"/>
    <w:rsid w:val="003F301A"/>
    <w:rsid w:val="003F5039"/>
    <w:rsid w:val="00402CBE"/>
    <w:rsid w:val="00403631"/>
    <w:rsid w:val="00403D61"/>
    <w:rsid w:val="00403F5F"/>
    <w:rsid w:val="00405037"/>
    <w:rsid w:val="00405E4E"/>
    <w:rsid w:val="00410678"/>
    <w:rsid w:val="0041432F"/>
    <w:rsid w:val="00420942"/>
    <w:rsid w:val="0042128C"/>
    <w:rsid w:val="00423959"/>
    <w:rsid w:val="00424CCC"/>
    <w:rsid w:val="0042501E"/>
    <w:rsid w:val="004264F7"/>
    <w:rsid w:val="00430942"/>
    <w:rsid w:val="0043460A"/>
    <w:rsid w:val="004365B6"/>
    <w:rsid w:val="0044000D"/>
    <w:rsid w:val="00441EEB"/>
    <w:rsid w:val="00444E14"/>
    <w:rsid w:val="00450ABB"/>
    <w:rsid w:val="00452DE0"/>
    <w:rsid w:val="004532B8"/>
    <w:rsid w:val="00453356"/>
    <w:rsid w:val="004658BB"/>
    <w:rsid w:val="0046792D"/>
    <w:rsid w:val="00471C0D"/>
    <w:rsid w:val="00472DC1"/>
    <w:rsid w:val="004803E3"/>
    <w:rsid w:val="00483C0F"/>
    <w:rsid w:val="00484AD6"/>
    <w:rsid w:val="0048696B"/>
    <w:rsid w:val="00490D28"/>
    <w:rsid w:val="00493975"/>
    <w:rsid w:val="00494811"/>
    <w:rsid w:val="00497AA1"/>
    <w:rsid w:val="004A3F13"/>
    <w:rsid w:val="004A6AE5"/>
    <w:rsid w:val="004A6B64"/>
    <w:rsid w:val="004A79A5"/>
    <w:rsid w:val="004B04E0"/>
    <w:rsid w:val="004B2130"/>
    <w:rsid w:val="004B35A1"/>
    <w:rsid w:val="004B6922"/>
    <w:rsid w:val="004C14E7"/>
    <w:rsid w:val="004C2BB7"/>
    <w:rsid w:val="004C4349"/>
    <w:rsid w:val="004C4D49"/>
    <w:rsid w:val="004C63E0"/>
    <w:rsid w:val="004C6CA3"/>
    <w:rsid w:val="004D05A6"/>
    <w:rsid w:val="004D120F"/>
    <w:rsid w:val="004D2641"/>
    <w:rsid w:val="004D5883"/>
    <w:rsid w:val="004E25C4"/>
    <w:rsid w:val="004E2E7E"/>
    <w:rsid w:val="004F2C09"/>
    <w:rsid w:val="0050658E"/>
    <w:rsid w:val="00506EB6"/>
    <w:rsid w:val="0050711F"/>
    <w:rsid w:val="00507D99"/>
    <w:rsid w:val="00510CF7"/>
    <w:rsid w:val="0052076C"/>
    <w:rsid w:val="00523A1E"/>
    <w:rsid w:val="00524463"/>
    <w:rsid w:val="0052488A"/>
    <w:rsid w:val="005309F9"/>
    <w:rsid w:val="00530BEE"/>
    <w:rsid w:val="0053202A"/>
    <w:rsid w:val="00536D55"/>
    <w:rsid w:val="00540337"/>
    <w:rsid w:val="00541695"/>
    <w:rsid w:val="00541F06"/>
    <w:rsid w:val="00543C28"/>
    <w:rsid w:val="00544B06"/>
    <w:rsid w:val="0054664D"/>
    <w:rsid w:val="00552230"/>
    <w:rsid w:val="0055292B"/>
    <w:rsid w:val="00554E9D"/>
    <w:rsid w:val="005601FC"/>
    <w:rsid w:val="00567C6F"/>
    <w:rsid w:val="005726E1"/>
    <w:rsid w:val="0057626A"/>
    <w:rsid w:val="00576951"/>
    <w:rsid w:val="005814BF"/>
    <w:rsid w:val="005814EE"/>
    <w:rsid w:val="005822B8"/>
    <w:rsid w:val="00584360"/>
    <w:rsid w:val="005856B4"/>
    <w:rsid w:val="00587960"/>
    <w:rsid w:val="005A11C6"/>
    <w:rsid w:val="005A2428"/>
    <w:rsid w:val="005A3E70"/>
    <w:rsid w:val="005A58B4"/>
    <w:rsid w:val="005A5A02"/>
    <w:rsid w:val="005B103C"/>
    <w:rsid w:val="005B125E"/>
    <w:rsid w:val="005B15A3"/>
    <w:rsid w:val="005C0F81"/>
    <w:rsid w:val="005C51CE"/>
    <w:rsid w:val="005D5694"/>
    <w:rsid w:val="005D5F1C"/>
    <w:rsid w:val="005E53B9"/>
    <w:rsid w:val="005F21AE"/>
    <w:rsid w:val="005F7F3A"/>
    <w:rsid w:val="00604A46"/>
    <w:rsid w:val="00606169"/>
    <w:rsid w:val="00607556"/>
    <w:rsid w:val="0060768A"/>
    <w:rsid w:val="0061111A"/>
    <w:rsid w:val="0061231F"/>
    <w:rsid w:val="0061292A"/>
    <w:rsid w:val="006239CE"/>
    <w:rsid w:val="0063028E"/>
    <w:rsid w:val="00631DB3"/>
    <w:rsid w:val="006324B0"/>
    <w:rsid w:val="0063698E"/>
    <w:rsid w:val="00637006"/>
    <w:rsid w:val="00642C1D"/>
    <w:rsid w:val="00643C0C"/>
    <w:rsid w:val="006527D2"/>
    <w:rsid w:val="00653897"/>
    <w:rsid w:val="006575BA"/>
    <w:rsid w:val="006618D6"/>
    <w:rsid w:val="0066220B"/>
    <w:rsid w:val="0066554B"/>
    <w:rsid w:val="00675F8E"/>
    <w:rsid w:val="00680AFD"/>
    <w:rsid w:val="00683ECA"/>
    <w:rsid w:val="00684EFF"/>
    <w:rsid w:val="0068691B"/>
    <w:rsid w:val="00687C93"/>
    <w:rsid w:val="00691E66"/>
    <w:rsid w:val="006951AC"/>
    <w:rsid w:val="006976EF"/>
    <w:rsid w:val="006A05BC"/>
    <w:rsid w:val="006A13A7"/>
    <w:rsid w:val="006A270E"/>
    <w:rsid w:val="006A349F"/>
    <w:rsid w:val="006C059F"/>
    <w:rsid w:val="006C3F39"/>
    <w:rsid w:val="006F0B00"/>
    <w:rsid w:val="006F0C9D"/>
    <w:rsid w:val="006F182E"/>
    <w:rsid w:val="006F251D"/>
    <w:rsid w:val="00705AD6"/>
    <w:rsid w:val="007114BF"/>
    <w:rsid w:val="00713206"/>
    <w:rsid w:val="00724E9B"/>
    <w:rsid w:val="007308E8"/>
    <w:rsid w:val="00732F46"/>
    <w:rsid w:val="00737CC4"/>
    <w:rsid w:val="007402A7"/>
    <w:rsid w:val="0074183C"/>
    <w:rsid w:val="00741E8C"/>
    <w:rsid w:val="00742F0E"/>
    <w:rsid w:val="00745746"/>
    <w:rsid w:val="00746E0D"/>
    <w:rsid w:val="00750377"/>
    <w:rsid w:val="00751525"/>
    <w:rsid w:val="00752633"/>
    <w:rsid w:val="007527BD"/>
    <w:rsid w:val="00754E01"/>
    <w:rsid w:val="00755AF7"/>
    <w:rsid w:val="00767B9D"/>
    <w:rsid w:val="00770C25"/>
    <w:rsid w:val="00774607"/>
    <w:rsid w:val="0077542B"/>
    <w:rsid w:val="00776776"/>
    <w:rsid w:val="00777018"/>
    <w:rsid w:val="007777A8"/>
    <w:rsid w:val="00793B36"/>
    <w:rsid w:val="007942D5"/>
    <w:rsid w:val="0079541B"/>
    <w:rsid w:val="00796810"/>
    <w:rsid w:val="00796F77"/>
    <w:rsid w:val="0079720D"/>
    <w:rsid w:val="00797CC0"/>
    <w:rsid w:val="007A0C54"/>
    <w:rsid w:val="007A12A8"/>
    <w:rsid w:val="007A35E2"/>
    <w:rsid w:val="007A5395"/>
    <w:rsid w:val="007A666E"/>
    <w:rsid w:val="007C2861"/>
    <w:rsid w:val="007C2D55"/>
    <w:rsid w:val="007C2DCB"/>
    <w:rsid w:val="007C5ABE"/>
    <w:rsid w:val="007C7F89"/>
    <w:rsid w:val="007D0EB0"/>
    <w:rsid w:val="007D1A50"/>
    <w:rsid w:val="007D5469"/>
    <w:rsid w:val="007D752F"/>
    <w:rsid w:val="007E6545"/>
    <w:rsid w:val="007E6ABF"/>
    <w:rsid w:val="007E7152"/>
    <w:rsid w:val="007F2CE7"/>
    <w:rsid w:val="007F392C"/>
    <w:rsid w:val="007F77B9"/>
    <w:rsid w:val="008015E1"/>
    <w:rsid w:val="00802F85"/>
    <w:rsid w:val="00807E37"/>
    <w:rsid w:val="0081394F"/>
    <w:rsid w:val="00814563"/>
    <w:rsid w:val="00816895"/>
    <w:rsid w:val="00816F9F"/>
    <w:rsid w:val="0082269F"/>
    <w:rsid w:val="008236D5"/>
    <w:rsid w:val="0083559D"/>
    <w:rsid w:val="00840731"/>
    <w:rsid w:val="00841561"/>
    <w:rsid w:val="00842274"/>
    <w:rsid w:val="00842CB0"/>
    <w:rsid w:val="008442CC"/>
    <w:rsid w:val="008450C4"/>
    <w:rsid w:val="00852745"/>
    <w:rsid w:val="00855EF6"/>
    <w:rsid w:val="00856518"/>
    <w:rsid w:val="00865954"/>
    <w:rsid w:val="008712B6"/>
    <w:rsid w:val="008747D2"/>
    <w:rsid w:val="00875526"/>
    <w:rsid w:val="00875726"/>
    <w:rsid w:val="00882362"/>
    <w:rsid w:val="00882FF2"/>
    <w:rsid w:val="008874FC"/>
    <w:rsid w:val="00890DB2"/>
    <w:rsid w:val="00891B78"/>
    <w:rsid w:val="00891DCF"/>
    <w:rsid w:val="008925F6"/>
    <w:rsid w:val="00895152"/>
    <w:rsid w:val="008A3DED"/>
    <w:rsid w:val="008B18D0"/>
    <w:rsid w:val="008B7774"/>
    <w:rsid w:val="008B780B"/>
    <w:rsid w:val="008C3A47"/>
    <w:rsid w:val="008C45C8"/>
    <w:rsid w:val="008C56B6"/>
    <w:rsid w:val="008C79CF"/>
    <w:rsid w:val="008C7D4D"/>
    <w:rsid w:val="008D1923"/>
    <w:rsid w:val="008D3869"/>
    <w:rsid w:val="008D4EAD"/>
    <w:rsid w:val="008D7736"/>
    <w:rsid w:val="008D79EB"/>
    <w:rsid w:val="008E30D0"/>
    <w:rsid w:val="008F67E0"/>
    <w:rsid w:val="008F7AC0"/>
    <w:rsid w:val="0090100D"/>
    <w:rsid w:val="00904C69"/>
    <w:rsid w:val="0090649C"/>
    <w:rsid w:val="00907908"/>
    <w:rsid w:val="00907D38"/>
    <w:rsid w:val="00915135"/>
    <w:rsid w:val="00915B29"/>
    <w:rsid w:val="00915D02"/>
    <w:rsid w:val="0092280A"/>
    <w:rsid w:val="00925300"/>
    <w:rsid w:val="00926ADF"/>
    <w:rsid w:val="00931856"/>
    <w:rsid w:val="00932486"/>
    <w:rsid w:val="00932FB3"/>
    <w:rsid w:val="009332EC"/>
    <w:rsid w:val="00933DD9"/>
    <w:rsid w:val="00935158"/>
    <w:rsid w:val="00940DDF"/>
    <w:rsid w:val="00944022"/>
    <w:rsid w:val="00944C0A"/>
    <w:rsid w:val="00944DFB"/>
    <w:rsid w:val="00945397"/>
    <w:rsid w:val="00945C7F"/>
    <w:rsid w:val="00946659"/>
    <w:rsid w:val="00951EB1"/>
    <w:rsid w:val="00952678"/>
    <w:rsid w:val="0095620C"/>
    <w:rsid w:val="00963C23"/>
    <w:rsid w:val="00965A6F"/>
    <w:rsid w:val="00970247"/>
    <w:rsid w:val="009703F3"/>
    <w:rsid w:val="009777E5"/>
    <w:rsid w:val="0098179E"/>
    <w:rsid w:val="009876F9"/>
    <w:rsid w:val="009970CB"/>
    <w:rsid w:val="00997B39"/>
    <w:rsid w:val="009A3E97"/>
    <w:rsid w:val="009A4086"/>
    <w:rsid w:val="009A52A3"/>
    <w:rsid w:val="009A6727"/>
    <w:rsid w:val="009A6EB0"/>
    <w:rsid w:val="009A7379"/>
    <w:rsid w:val="009A7825"/>
    <w:rsid w:val="009B1C33"/>
    <w:rsid w:val="009B661D"/>
    <w:rsid w:val="009C2BCB"/>
    <w:rsid w:val="009D0658"/>
    <w:rsid w:val="009D32EE"/>
    <w:rsid w:val="009D5294"/>
    <w:rsid w:val="009D6A51"/>
    <w:rsid w:val="009D6E8B"/>
    <w:rsid w:val="009D6F00"/>
    <w:rsid w:val="009E0A19"/>
    <w:rsid w:val="009F4656"/>
    <w:rsid w:val="00A002DF"/>
    <w:rsid w:val="00A003A2"/>
    <w:rsid w:val="00A06A9C"/>
    <w:rsid w:val="00A10F14"/>
    <w:rsid w:val="00A1667E"/>
    <w:rsid w:val="00A17B61"/>
    <w:rsid w:val="00A247E5"/>
    <w:rsid w:val="00A24F04"/>
    <w:rsid w:val="00A32C48"/>
    <w:rsid w:val="00A34125"/>
    <w:rsid w:val="00A3639E"/>
    <w:rsid w:val="00A368DE"/>
    <w:rsid w:val="00A41784"/>
    <w:rsid w:val="00A43145"/>
    <w:rsid w:val="00A44A22"/>
    <w:rsid w:val="00A4562B"/>
    <w:rsid w:val="00A462D0"/>
    <w:rsid w:val="00A46E52"/>
    <w:rsid w:val="00A504C1"/>
    <w:rsid w:val="00A624A1"/>
    <w:rsid w:val="00A659A8"/>
    <w:rsid w:val="00A65B7E"/>
    <w:rsid w:val="00A6772C"/>
    <w:rsid w:val="00A67EF3"/>
    <w:rsid w:val="00A70249"/>
    <w:rsid w:val="00A708FE"/>
    <w:rsid w:val="00A72175"/>
    <w:rsid w:val="00A7351C"/>
    <w:rsid w:val="00A81600"/>
    <w:rsid w:val="00A81CC4"/>
    <w:rsid w:val="00A85115"/>
    <w:rsid w:val="00A921F0"/>
    <w:rsid w:val="00AA105A"/>
    <w:rsid w:val="00AA2E9F"/>
    <w:rsid w:val="00AA3716"/>
    <w:rsid w:val="00AA400F"/>
    <w:rsid w:val="00AB13CE"/>
    <w:rsid w:val="00AB1A69"/>
    <w:rsid w:val="00AB3E5F"/>
    <w:rsid w:val="00AB3FD5"/>
    <w:rsid w:val="00AB6BD5"/>
    <w:rsid w:val="00AC6BA8"/>
    <w:rsid w:val="00AD24CA"/>
    <w:rsid w:val="00AD76A4"/>
    <w:rsid w:val="00AE365B"/>
    <w:rsid w:val="00AE487E"/>
    <w:rsid w:val="00AF006A"/>
    <w:rsid w:val="00AF4A54"/>
    <w:rsid w:val="00AF4D9C"/>
    <w:rsid w:val="00AF647D"/>
    <w:rsid w:val="00B01721"/>
    <w:rsid w:val="00B06DA1"/>
    <w:rsid w:val="00B06E48"/>
    <w:rsid w:val="00B15839"/>
    <w:rsid w:val="00B21F72"/>
    <w:rsid w:val="00B22A7A"/>
    <w:rsid w:val="00B259CD"/>
    <w:rsid w:val="00B30B54"/>
    <w:rsid w:val="00B34CBD"/>
    <w:rsid w:val="00B361ED"/>
    <w:rsid w:val="00B40CB6"/>
    <w:rsid w:val="00B411C9"/>
    <w:rsid w:val="00B54515"/>
    <w:rsid w:val="00B54F3D"/>
    <w:rsid w:val="00B55EBE"/>
    <w:rsid w:val="00B6369C"/>
    <w:rsid w:val="00B74329"/>
    <w:rsid w:val="00B7453C"/>
    <w:rsid w:val="00B75B71"/>
    <w:rsid w:val="00B76623"/>
    <w:rsid w:val="00B77331"/>
    <w:rsid w:val="00B778EE"/>
    <w:rsid w:val="00B82778"/>
    <w:rsid w:val="00B84FDB"/>
    <w:rsid w:val="00B9241D"/>
    <w:rsid w:val="00B95193"/>
    <w:rsid w:val="00B9557D"/>
    <w:rsid w:val="00B96397"/>
    <w:rsid w:val="00B97051"/>
    <w:rsid w:val="00B9777C"/>
    <w:rsid w:val="00BA57FC"/>
    <w:rsid w:val="00BA6EC1"/>
    <w:rsid w:val="00BA7672"/>
    <w:rsid w:val="00BB1AD5"/>
    <w:rsid w:val="00BC0157"/>
    <w:rsid w:val="00BC0E0E"/>
    <w:rsid w:val="00BC4BFB"/>
    <w:rsid w:val="00BC5866"/>
    <w:rsid w:val="00BC594F"/>
    <w:rsid w:val="00BC70E1"/>
    <w:rsid w:val="00BD1876"/>
    <w:rsid w:val="00BD28CA"/>
    <w:rsid w:val="00BD7D85"/>
    <w:rsid w:val="00BE1025"/>
    <w:rsid w:val="00BE131C"/>
    <w:rsid w:val="00BE171C"/>
    <w:rsid w:val="00BE3896"/>
    <w:rsid w:val="00BE4221"/>
    <w:rsid w:val="00BE46B9"/>
    <w:rsid w:val="00BE6B26"/>
    <w:rsid w:val="00BE74DB"/>
    <w:rsid w:val="00BF0674"/>
    <w:rsid w:val="00BF18FE"/>
    <w:rsid w:val="00BF296D"/>
    <w:rsid w:val="00BF3577"/>
    <w:rsid w:val="00C055BD"/>
    <w:rsid w:val="00C0605C"/>
    <w:rsid w:val="00C06CD5"/>
    <w:rsid w:val="00C11067"/>
    <w:rsid w:val="00C126C2"/>
    <w:rsid w:val="00C157F6"/>
    <w:rsid w:val="00C23E8C"/>
    <w:rsid w:val="00C24A8B"/>
    <w:rsid w:val="00C26E11"/>
    <w:rsid w:val="00C30198"/>
    <w:rsid w:val="00C315B3"/>
    <w:rsid w:val="00C3511A"/>
    <w:rsid w:val="00C352DD"/>
    <w:rsid w:val="00C50190"/>
    <w:rsid w:val="00C514EC"/>
    <w:rsid w:val="00C55E21"/>
    <w:rsid w:val="00C64952"/>
    <w:rsid w:val="00C72876"/>
    <w:rsid w:val="00C734B1"/>
    <w:rsid w:val="00C73518"/>
    <w:rsid w:val="00C74131"/>
    <w:rsid w:val="00C81582"/>
    <w:rsid w:val="00C917CD"/>
    <w:rsid w:val="00C9373B"/>
    <w:rsid w:val="00C9637A"/>
    <w:rsid w:val="00C96393"/>
    <w:rsid w:val="00CA63D7"/>
    <w:rsid w:val="00CC4A72"/>
    <w:rsid w:val="00CD06F3"/>
    <w:rsid w:val="00CD3FDA"/>
    <w:rsid w:val="00CE0F26"/>
    <w:rsid w:val="00CE1E51"/>
    <w:rsid w:val="00CE528A"/>
    <w:rsid w:val="00CE75B5"/>
    <w:rsid w:val="00CF2957"/>
    <w:rsid w:val="00CF3078"/>
    <w:rsid w:val="00D00405"/>
    <w:rsid w:val="00D0674E"/>
    <w:rsid w:val="00D14C8A"/>
    <w:rsid w:val="00D20710"/>
    <w:rsid w:val="00D20743"/>
    <w:rsid w:val="00D222B5"/>
    <w:rsid w:val="00D27885"/>
    <w:rsid w:val="00D324C2"/>
    <w:rsid w:val="00D41C8C"/>
    <w:rsid w:val="00D429EF"/>
    <w:rsid w:val="00D4523B"/>
    <w:rsid w:val="00D4607A"/>
    <w:rsid w:val="00D46FFD"/>
    <w:rsid w:val="00D47E7A"/>
    <w:rsid w:val="00D520C0"/>
    <w:rsid w:val="00D533E7"/>
    <w:rsid w:val="00D535CB"/>
    <w:rsid w:val="00D5461D"/>
    <w:rsid w:val="00D56A98"/>
    <w:rsid w:val="00D653B1"/>
    <w:rsid w:val="00D677BA"/>
    <w:rsid w:val="00D73634"/>
    <w:rsid w:val="00D7466A"/>
    <w:rsid w:val="00D7570C"/>
    <w:rsid w:val="00D778A2"/>
    <w:rsid w:val="00D80624"/>
    <w:rsid w:val="00D9086D"/>
    <w:rsid w:val="00D93FBA"/>
    <w:rsid w:val="00D97D9D"/>
    <w:rsid w:val="00DA24C0"/>
    <w:rsid w:val="00DA3952"/>
    <w:rsid w:val="00DC044F"/>
    <w:rsid w:val="00DC0FE7"/>
    <w:rsid w:val="00DC3082"/>
    <w:rsid w:val="00DC4A79"/>
    <w:rsid w:val="00DC526C"/>
    <w:rsid w:val="00DC53D7"/>
    <w:rsid w:val="00DD4959"/>
    <w:rsid w:val="00DE69A7"/>
    <w:rsid w:val="00DF2919"/>
    <w:rsid w:val="00DF45B9"/>
    <w:rsid w:val="00DF7CFF"/>
    <w:rsid w:val="00E0008C"/>
    <w:rsid w:val="00E06D3C"/>
    <w:rsid w:val="00E11371"/>
    <w:rsid w:val="00E12ED2"/>
    <w:rsid w:val="00E13227"/>
    <w:rsid w:val="00E16759"/>
    <w:rsid w:val="00E22A14"/>
    <w:rsid w:val="00E23478"/>
    <w:rsid w:val="00E24BB5"/>
    <w:rsid w:val="00E25160"/>
    <w:rsid w:val="00E25326"/>
    <w:rsid w:val="00E31280"/>
    <w:rsid w:val="00E33256"/>
    <w:rsid w:val="00E35DB8"/>
    <w:rsid w:val="00E40366"/>
    <w:rsid w:val="00E46A70"/>
    <w:rsid w:val="00E46F9A"/>
    <w:rsid w:val="00E51110"/>
    <w:rsid w:val="00E516CD"/>
    <w:rsid w:val="00E539DC"/>
    <w:rsid w:val="00E53A12"/>
    <w:rsid w:val="00E559FE"/>
    <w:rsid w:val="00E563FC"/>
    <w:rsid w:val="00E57088"/>
    <w:rsid w:val="00E57D1C"/>
    <w:rsid w:val="00E636A0"/>
    <w:rsid w:val="00E66CA7"/>
    <w:rsid w:val="00E67CA7"/>
    <w:rsid w:val="00E72907"/>
    <w:rsid w:val="00E7409F"/>
    <w:rsid w:val="00E77613"/>
    <w:rsid w:val="00E81379"/>
    <w:rsid w:val="00E826B2"/>
    <w:rsid w:val="00E91AB3"/>
    <w:rsid w:val="00E91BEF"/>
    <w:rsid w:val="00E93C28"/>
    <w:rsid w:val="00E95521"/>
    <w:rsid w:val="00E96840"/>
    <w:rsid w:val="00E9739F"/>
    <w:rsid w:val="00E9776C"/>
    <w:rsid w:val="00EB05CE"/>
    <w:rsid w:val="00EC07AE"/>
    <w:rsid w:val="00EC134D"/>
    <w:rsid w:val="00EC4BF3"/>
    <w:rsid w:val="00ED7915"/>
    <w:rsid w:val="00EE0967"/>
    <w:rsid w:val="00EE4F87"/>
    <w:rsid w:val="00EE4FBC"/>
    <w:rsid w:val="00EE5F2A"/>
    <w:rsid w:val="00F02414"/>
    <w:rsid w:val="00F04F50"/>
    <w:rsid w:val="00F05193"/>
    <w:rsid w:val="00F05D74"/>
    <w:rsid w:val="00F131B4"/>
    <w:rsid w:val="00F13F13"/>
    <w:rsid w:val="00F1459E"/>
    <w:rsid w:val="00F15013"/>
    <w:rsid w:val="00F24DDD"/>
    <w:rsid w:val="00F275FF"/>
    <w:rsid w:val="00F33893"/>
    <w:rsid w:val="00F346E1"/>
    <w:rsid w:val="00F352CC"/>
    <w:rsid w:val="00F3559D"/>
    <w:rsid w:val="00F361CD"/>
    <w:rsid w:val="00F3649A"/>
    <w:rsid w:val="00F42AC2"/>
    <w:rsid w:val="00F439B7"/>
    <w:rsid w:val="00F44EDE"/>
    <w:rsid w:val="00F530BD"/>
    <w:rsid w:val="00F5312F"/>
    <w:rsid w:val="00F5589B"/>
    <w:rsid w:val="00F61290"/>
    <w:rsid w:val="00F673AE"/>
    <w:rsid w:val="00F71AF8"/>
    <w:rsid w:val="00F71E76"/>
    <w:rsid w:val="00F74806"/>
    <w:rsid w:val="00F77E3D"/>
    <w:rsid w:val="00F907B3"/>
    <w:rsid w:val="00F95310"/>
    <w:rsid w:val="00F9639D"/>
    <w:rsid w:val="00F96816"/>
    <w:rsid w:val="00FA1CCC"/>
    <w:rsid w:val="00FB087A"/>
    <w:rsid w:val="00FB08F5"/>
    <w:rsid w:val="00FB3C61"/>
    <w:rsid w:val="00FB7AC5"/>
    <w:rsid w:val="00FC21B5"/>
    <w:rsid w:val="00FC2B3D"/>
    <w:rsid w:val="00FC308B"/>
    <w:rsid w:val="00FC57FD"/>
    <w:rsid w:val="00FC63C4"/>
    <w:rsid w:val="00FD0421"/>
    <w:rsid w:val="00FD068D"/>
    <w:rsid w:val="00FD6533"/>
    <w:rsid w:val="00FE1BD4"/>
    <w:rsid w:val="00FE433F"/>
    <w:rsid w:val="00FE44EB"/>
    <w:rsid w:val="00FF4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28D6"/>
  <w15:docId w15:val="{750DF231-764A-488B-ACF0-7B064E6B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5"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FE"/>
    <w:pPr>
      <w:spacing w:before="120" w:after="120" w:line="240" w:lineRule="auto"/>
    </w:pPr>
    <w:rPr>
      <w:sz w:val="24"/>
    </w:rPr>
  </w:style>
  <w:style w:type="paragraph" w:styleId="Heading1">
    <w:name w:val="heading 1"/>
    <w:basedOn w:val="Normal"/>
    <w:next w:val="Normal"/>
    <w:link w:val="Heading1Char"/>
    <w:uiPriority w:val="4"/>
    <w:qFormat/>
    <w:rsid w:val="00293FAE"/>
    <w:pPr>
      <w:keepNext/>
      <w:keepLines/>
      <w:spacing w:before="360"/>
      <w:outlineLvl w:val="0"/>
    </w:pPr>
    <w:rPr>
      <w:rFonts w:eastAsiaTheme="majorEastAsia" w:cstheme="majorBidi"/>
      <w:b/>
      <w:bCs/>
      <w:szCs w:val="28"/>
    </w:rPr>
  </w:style>
  <w:style w:type="paragraph" w:styleId="Heading2">
    <w:name w:val="heading 2"/>
    <w:basedOn w:val="Heading1"/>
    <w:next w:val="Normal"/>
    <w:link w:val="Heading2Char"/>
    <w:uiPriority w:val="5"/>
    <w:unhideWhenUsed/>
    <w:qFormat/>
    <w:rsid w:val="00E559FE"/>
    <w:pPr>
      <w:spacing w:before="120"/>
      <w:outlineLvl w:val="1"/>
    </w:pPr>
    <w:rPr>
      <w:rFonts w:cstheme="minorHAnsi"/>
    </w:rPr>
  </w:style>
  <w:style w:type="paragraph" w:styleId="Heading3">
    <w:name w:val="heading 3"/>
    <w:basedOn w:val="Heading2"/>
    <w:next w:val="Normal"/>
    <w:link w:val="Heading3Char"/>
    <w:uiPriority w:val="9"/>
    <w:unhideWhenUsed/>
    <w:qFormat/>
    <w:rsid w:val="000834B0"/>
    <w:pPr>
      <w:outlineLvl w:val="2"/>
    </w:pPr>
    <w:rPr>
      <w:rFonts w:cstheme="majorBidi"/>
      <w:b w:val="0"/>
      <w:bCs w:val="0"/>
      <w:color w:val="4472C4" w:themeColor="accent1"/>
    </w:rPr>
  </w:style>
  <w:style w:type="paragraph" w:styleId="Heading4">
    <w:name w:val="heading 4"/>
    <w:basedOn w:val="Heading3"/>
    <w:next w:val="Normal"/>
    <w:link w:val="Heading4Char"/>
    <w:uiPriority w:val="6"/>
    <w:unhideWhenUsed/>
    <w:qFormat/>
    <w:rsid w:val="00E0008C"/>
    <w:pPr>
      <w:keepLines w:val="0"/>
      <w:outlineLvl w:val="3"/>
    </w:pPr>
    <w:rPr>
      <w:rFonts w:eastAsiaTheme="minorHAnsi" w:cs="Arial"/>
      <w:b/>
      <w:color w:val="auto"/>
      <w:szCs w:val="26"/>
      <w:lang w:val="en-US"/>
    </w:rPr>
  </w:style>
  <w:style w:type="paragraph" w:styleId="Heading5">
    <w:name w:val="heading 5"/>
    <w:basedOn w:val="Heading4"/>
    <w:next w:val="Normal"/>
    <w:link w:val="Heading5Char"/>
    <w:uiPriority w:val="9"/>
    <w:unhideWhenUsed/>
    <w:qFormat/>
    <w:rsid w:val="000834B0"/>
    <w:pPr>
      <w:keepLines/>
      <w:outlineLvl w:val="4"/>
    </w:pPr>
    <w:rPr>
      <w:rFonts w:eastAsiaTheme="majorEastAsia" w:cstheme="majorBidi"/>
      <w:color w:val="2F5496" w:themeColor="accent1" w:themeShade="BF"/>
    </w:rPr>
  </w:style>
  <w:style w:type="paragraph" w:styleId="Heading6">
    <w:name w:val="heading 6"/>
    <w:basedOn w:val="Heading5"/>
    <w:next w:val="Normal"/>
    <w:link w:val="Heading6Char"/>
    <w:uiPriority w:val="9"/>
    <w:unhideWhenUsed/>
    <w:qFormat/>
    <w:rsid w:val="001518E2"/>
    <w:pPr>
      <w:spacing w:after="0"/>
      <w:outlineLvl w:val="5"/>
    </w:pPr>
    <w:rPr>
      <w:rFonts w:cstheme="majorHAnsi"/>
      <w:b w:val="0"/>
      <w:color w:val="auto"/>
      <w:u w:val="single"/>
    </w:rPr>
  </w:style>
  <w:style w:type="paragraph" w:styleId="Heading7">
    <w:name w:val="heading 7"/>
    <w:basedOn w:val="Normal"/>
    <w:next w:val="Normal"/>
    <w:link w:val="Heading7Char"/>
    <w:uiPriority w:val="9"/>
    <w:semiHidden/>
    <w:unhideWhenUsed/>
    <w:qFormat/>
    <w:rsid w:val="00324426"/>
    <w:pPr>
      <w:keepNext/>
      <w:keepLines/>
      <w:numPr>
        <w:ilvl w:val="6"/>
        <w:numId w:val="2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4426"/>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4426"/>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E559FE"/>
    <w:pPr>
      <w:numPr>
        <w:numId w:val="29"/>
      </w:numPr>
      <w:ind w:left="754" w:hanging="357"/>
      <w:contextualSpacing/>
    </w:pPr>
  </w:style>
  <w:style w:type="paragraph" w:styleId="FootnoteText">
    <w:name w:val="footnote text"/>
    <w:basedOn w:val="Normal"/>
    <w:link w:val="FootnoteTextChar"/>
    <w:uiPriority w:val="99"/>
    <w:semiHidden/>
    <w:unhideWhenUsed/>
    <w:rsid w:val="00E57088"/>
    <w:pPr>
      <w:spacing w:after="0"/>
    </w:pPr>
    <w:rPr>
      <w:sz w:val="20"/>
      <w:szCs w:val="20"/>
    </w:rPr>
  </w:style>
  <w:style w:type="character" w:customStyle="1" w:styleId="FootnoteTextChar">
    <w:name w:val="Footnote Text Char"/>
    <w:basedOn w:val="DefaultParagraphFont"/>
    <w:link w:val="FootnoteText"/>
    <w:uiPriority w:val="99"/>
    <w:semiHidden/>
    <w:rsid w:val="00E57088"/>
    <w:rPr>
      <w:sz w:val="20"/>
      <w:szCs w:val="20"/>
    </w:rPr>
  </w:style>
  <w:style w:type="character" w:styleId="FootnoteReference">
    <w:name w:val="footnote reference"/>
    <w:basedOn w:val="DefaultParagraphFont"/>
    <w:uiPriority w:val="99"/>
    <w:semiHidden/>
    <w:unhideWhenUsed/>
    <w:rsid w:val="00E57088"/>
    <w:rPr>
      <w:vertAlign w:val="superscript"/>
    </w:rPr>
  </w:style>
  <w:style w:type="paragraph" w:styleId="Header">
    <w:name w:val="header"/>
    <w:basedOn w:val="Normal"/>
    <w:link w:val="HeaderChar"/>
    <w:uiPriority w:val="99"/>
    <w:unhideWhenUsed/>
    <w:rsid w:val="001A2146"/>
    <w:pPr>
      <w:tabs>
        <w:tab w:val="center" w:pos="4513"/>
        <w:tab w:val="right" w:pos="9026"/>
      </w:tabs>
      <w:spacing w:after="0"/>
    </w:pPr>
  </w:style>
  <w:style w:type="character" w:customStyle="1" w:styleId="HeaderChar">
    <w:name w:val="Header Char"/>
    <w:basedOn w:val="DefaultParagraphFont"/>
    <w:link w:val="Header"/>
    <w:uiPriority w:val="99"/>
    <w:rsid w:val="001A2146"/>
  </w:style>
  <w:style w:type="paragraph" w:styleId="Footer">
    <w:name w:val="footer"/>
    <w:basedOn w:val="Normal"/>
    <w:link w:val="FooterChar"/>
    <w:uiPriority w:val="99"/>
    <w:unhideWhenUsed/>
    <w:rsid w:val="001A2146"/>
    <w:pPr>
      <w:tabs>
        <w:tab w:val="center" w:pos="4513"/>
        <w:tab w:val="right" w:pos="9026"/>
      </w:tabs>
      <w:spacing w:after="0"/>
    </w:pPr>
  </w:style>
  <w:style w:type="character" w:customStyle="1" w:styleId="FooterChar">
    <w:name w:val="Footer Char"/>
    <w:basedOn w:val="DefaultParagraphFont"/>
    <w:link w:val="Footer"/>
    <w:uiPriority w:val="99"/>
    <w:rsid w:val="001A2146"/>
  </w:style>
  <w:style w:type="character" w:customStyle="1" w:styleId="Heading2Char">
    <w:name w:val="Heading 2 Char"/>
    <w:basedOn w:val="DefaultParagraphFont"/>
    <w:link w:val="Heading2"/>
    <w:uiPriority w:val="5"/>
    <w:rsid w:val="00E559FE"/>
    <w:rPr>
      <w:rFonts w:eastAsiaTheme="majorEastAsia" w:cstheme="minorHAnsi"/>
      <w:b/>
      <w:bCs/>
      <w:sz w:val="24"/>
      <w:szCs w:val="28"/>
    </w:rPr>
  </w:style>
  <w:style w:type="character" w:customStyle="1" w:styleId="Heading1Char">
    <w:name w:val="Heading 1 Char"/>
    <w:basedOn w:val="DefaultParagraphFont"/>
    <w:link w:val="Heading1"/>
    <w:uiPriority w:val="4"/>
    <w:rsid w:val="00293FAE"/>
    <w:rPr>
      <w:rFonts w:eastAsiaTheme="majorEastAsia" w:cstheme="majorBidi"/>
      <w:b/>
      <w:bCs/>
      <w:sz w:val="24"/>
      <w:szCs w:val="28"/>
    </w:rPr>
  </w:style>
  <w:style w:type="character" w:styleId="Hyperlink">
    <w:name w:val="Hyperlink"/>
    <w:basedOn w:val="DefaultParagraphFont"/>
    <w:uiPriority w:val="99"/>
    <w:unhideWhenUsed/>
    <w:rsid w:val="00E95521"/>
    <w:rPr>
      <w:color w:val="0563C1" w:themeColor="hyperlink"/>
      <w:u w:val="single"/>
    </w:rPr>
  </w:style>
  <w:style w:type="character" w:styleId="CommentReference">
    <w:name w:val="annotation reference"/>
    <w:basedOn w:val="DefaultParagraphFont"/>
    <w:uiPriority w:val="99"/>
    <w:semiHidden/>
    <w:unhideWhenUsed/>
    <w:rsid w:val="00FD6533"/>
    <w:rPr>
      <w:sz w:val="16"/>
    </w:rPr>
  </w:style>
  <w:style w:type="paragraph" w:styleId="CommentText">
    <w:name w:val="annotation text"/>
    <w:basedOn w:val="Normal"/>
    <w:link w:val="CommentTextChar"/>
    <w:uiPriority w:val="99"/>
    <w:semiHidden/>
    <w:unhideWhenUsed/>
    <w:rsid w:val="00FD6533"/>
    <w:pPr>
      <w:spacing w:after="240"/>
    </w:pPr>
    <w:rPr>
      <w:rFonts w:asciiTheme="majorHAnsi" w:hAnsiTheme="majorHAnsi"/>
      <w:color w:val="595959" w:themeColor="text1" w:themeTint="A6"/>
      <w:kern w:val="20"/>
      <w:lang w:val="en-GB" w:eastAsia="ja-JP"/>
    </w:rPr>
  </w:style>
  <w:style w:type="character" w:customStyle="1" w:styleId="CommentTextChar">
    <w:name w:val="Comment Text Char"/>
    <w:basedOn w:val="DefaultParagraphFont"/>
    <w:link w:val="CommentText"/>
    <w:uiPriority w:val="99"/>
    <w:semiHidden/>
    <w:rsid w:val="00FD6533"/>
    <w:rPr>
      <w:rFonts w:asciiTheme="majorHAnsi" w:hAnsiTheme="majorHAnsi"/>
      <w:color w:val="595959" w:themeColor="text1" w:themeTint="A6"/>
      <w:kern w:val="20"/>
      <w:lang w:val="en-GB" w:eastAsia="ja-JP"/>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E559FE"/>
    <w:rPr>
      <w:rFonts w:ascii="Times New Roman" w:hAnsi="Times New Roman"/>
    </w:rPr>
  </w:style>
  <w:style w:type="paragraph" w:styleId="Revision">
    <w:name w:val="Revision"/>
    <w:hidden/>
    <w:uiPriority w:val="99"/>
    <w:semiHidden/>
    <w:rsid w:val="00FD6533"/>
    <w:pPr>
      <w:spacing w:after="0" w:line="240" w:lineRule="auto"/>
    </w:pPr>
  </w:style>
  <w:style w:type="paragraph" w:styleId="BalloonText">
    <w:name w:val="Balloon Text"/>
    <w:basedOn w:val="Normal"/>
    <w:link w:val="BalloonTextChar"/>
    <w:uiPriority w:val="99"/>
    <w:semiHidden/>
    <w:unhideWhenUsed/>
    <w:rsid w:val="00FD653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533"/>
    <w:rPr>
      <w:rFonts w:ascii="Tahoma" w:hAnsi="Tahoma" w:cs="Tahoma"/>
      <w:sz w:val="16"/>
      <w:szCs w:val="16"/>
    </w:rPr>
  </w:style>
  <w:style w:type="character" w:styleId="FollowedHyperlink">
    <w:name w:val="FollowedHyperlink"/>
    <w:basedOn w:val="DefaultParagraphFont"/>
    <w:uiPriority w:val="99"/>
    <w:semiHidden/>
    <w:unhideWhenUsed/>
    <w:rsid w:val="0074183C"/>
    <w:rPr>
      <w:color w:val="954F72" w:themeColor="followedHyperlink"/>
      <w:u w:val="single"/>
    </w:rPr>
  </w:style>
  <w:style w:type="paragraph" w:customStyle="1" w:styleId="Paragraphtext">
    <w:name w:val="Paragraph text"/>
    <w:basedOn w:val="Normal"/>
    <w:qFormat/>
    <w:rsid w:val="0048696B"/>
    <w:pPr>
      <w:spacing w:before="240" w:line="300" w:lineRule="auto"/>
    </w:pPr>
    <w:rPr>
      <w:rFonts w:ascii="Arial" w:eastAsia="Times New Roman" w:hAnsi="Arial" w:cs="Times New Roman"/>
      <w:color w:val="000000" w:themeColor="text1"/>
      <w:szCs w:val="24"/>
    </w:rPr>
  </w:style>
  <w:style w:type="paragraph" w:customStyle="1" w:styleId="Bullet1">
    <w:name w:val="Bullet 1"/>
    <w:basedOn w:val="Normal"/>
    <w:qFormat/>
    <w:rsid w:val="00AA105A"/>
    <w:pPr>
      <w:numPr>
        <w:numId w:val="15"/>
      </w:numPr>
      <w:suppressAutoHyphens/>
      <w:spacing w:after="60" w:line="280" w:lineRule="atLeast"/>
    </w:pPr>
  </w:style>
  <w:style w:type="paragraph" w:customStyle="1" w:styleId="Bullet2">
    <w:name w:val="Bullet 2"/>
    <w:basedOn w:val="Bullet1"/>
    <w:qFormat/>
    <w:rsid w:val="00AA105A"/>
    <w:pPr>
      <w:numPr>
        <w:ilvl w:val="1"/>
      </w:numPr>
    </w:pPr>
  </w:style>
  <w:style w:type="paragraph" w:customStyle="1" w:styleId="Bullet3">
    <w:name w:val="Bullet 3"/>
    <w:basedOn w:val="Bullet2"/>
    <w:qFormat/>
    <w:rsid w:val="00AA105A"/>
    <w:pPr>
      <w:numPr>
        <w:ilvl w:val="2"/>
      </w:numPr>
    </w:pPr>
  </w:style>
  <w:style w:type="numbering" w:customStyle="1" w:styleId="BulletsList">
    <w:name w:val="Bullets List"/>
    <w:uiPriority w:val="99"/>
    <w:rsid w:val="00AA105A"/>
    <w:pPr>
      <w:numPr>
        <w:numId w:val="15"/>
      </w:numPr>
    </w:pPr>
  </w:style>
  <w:style w:type="paragraph" w:customStyle="1" w:styleId="IPnormal">
    <w:name w:val="IP normal"/>
    <w:basedOn w:val="Normal"/>
    <w:autoRedefine/>
    <w:qFormat/>
    <w:rsid w:val="00F61290"/>
    <w:pPr>
      <w:shd w:val="clear" w:color="auto" w:fill="FFFFFF" w:themeFill="background1"/>
      <w:spacing w:after="160"/>
    </w:pPr>
    <w:rPr>
      <w:rFonts w:ascii="Times New Roman" w:hAnsi="Times New Roman"/>
    </w:rPr>
  </w:style>
  <w:style w:type="paragraph" w:customStyle="1" w:styleId="IPbulletlist">
    <w:name w:val="IP bullet list"/>
    <w:basedOn w:val="Normal"/>
    <w:qFormat/>
    <w:rsid w:val="00F61290"/>
    <w:pPr>
      <w:numPr>
        <w:numId w:val="16"/>
      </w:numPr>
      <w:ind w:left="426" w:hanging="426"/>
      <w:contextualSpacing/>
    </w:pPr>
    <w:rPr>
      <w:rFonts w:ascii="Times New Roman" w:hAnsi="Times New Roman"/>
    </w:rPr>
  </w:style>
  <w:style w:type="table" w:customStyle="1" w:styleId="PHNTealtable">
    <w:name w:val="PHN Teal table"/>
    <w:basedOn w:val="TableNormal"/>
    <w:uiPriority w:val="99"/>
    <w:rsid w:val="00691E66"/>
    <w:pPr>
      <w:spacing w:before="120" w:after="120" w:line="240" w:lineRule="auto"/>
    </w:pPr>
    <w:rPr>
      <w:rFonts w:ascii="Arial" w:eastAsia="Times New Roman" w:hAnsi="Arial" w:cs="Times New Roman"/>
      <w:szCs w:val="20"/>
      <w:lang w:eastAsia="en-AU"/>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000000" w:themeColor="text1"/>
        <w:insideV w:val="single" w:sz="8" w:space="0" w:color="000000" w:themeColor="text1"/>
      </w:tblBorders>
    </w:tblPr>
    <w:tcPr>
      <w:shd w:val="clear" w:color="auto" w:fill="auto"/>
    </w:tcPr>
    <w:tblStylePr w:type="firstRow">
      <w:rPr>
        <w:rFonts w:ascii="Arial" w:hAnsi="Arial"/>
        <w:b/>
        <w:sz w:val="22"/>
      </w:rPr>
    </w:tblStylePr>
  </w:style>
  <w:style w:type="character" w:customStyle="1" w:styleId="UnresolvedMention">
    <w:name w:val="Unresolved Mention"/>
    <w:basedOn w:val="DefaultParagraphFont"/>
    <w:uiPriority w:val="99"/>
    <w:semiHidden/>
    <w:unhideWhenUsed/>
    <w:rsid w:val="00157C37"/>
    <w:rPr>
      <w:color w:val="605E5C"/>
      <w:shd w:val="clear" w:color="auto" w:fill="E1DFDD"/>
    </w:rPr>
  </w:style>
  <w:style w:type="character" w:customStyle="1" w:styleId="Heading4Char">
    <w:name w:val="Heading 4 Char"/>
    <w:basedOn w:val="DefaultParagraphFont"/>
    <w:link w:val="Heading4"/>
    <w:uiPriority w:val="6"/>
    <w:rsid w:val="00E0008C"/>
    <w:rPr>
      <w:rFonts w:cs="Arial"/>
      <w:b/>
      <w:bCs/>
      <w:szCs w:val="26"/>
      <w:lang w:val="en-US"/>
    </w:rPr>
  </w:style>
  <w:style w:type="character" w:customStyle="1" w:styleId="Bullet-greenChar">
    <w:name w:val="Bullet - green Char"/>
    <w:basedOn w:val="DefaultParagraphFont"/>
    <w:link w:val="Bullet-green"/>
    <w:uiPriority w:val="14"/>
    <w:locked/>
    <w:rsid w:val="00383E7E"/>
    <w:rPr>
      <w:rFonts w:cs="Calibri"/>
      <w:lang w:val="en-GB"/>
    </w:rPr>
  </w:style>
  <w:style w:type="paragraph" w:customStyle="1" w:styleId="Bullet-green">
    <w:name w:val="Bullet - green"/>
    <w:basedOn w:val="Normal"/>
    <w:link w:val="Bullet-greenChar"/>
    <w:uiPriority w:val="14"/>
    <w:qFormat/>
    <w:rsid w:val="00383E7E"/>
    <w:pPr>
      <w:numPr>
        <w:numId w:val="18"/>
      </w:numPr>
      <w:spacing w:line="312" w:lineRule="auto"/>
    </w:pPr>
    <w:rPr>
      <w:rFonts w:cs="Calibri"/>
      <w:lang w:val="en-GB"/>
    </w:rPr>
  </w:style>
  <w:style w:type="character" w:customStyle="1" w:styleId="Heading3Char">
    <w:name w:val="Heading 3 Char"/>
    <w:basedOn w:val="DefaultParagraphFont"/>
    <w:link w:val="Heading3"/>
    <w:uiPriority w:val="9"/>
    <w:rsid w:val="000834B0"/>
    <w:rPr>
      <w:rFonts w:eastAsiaTheme="majorEastAsia" w:cstheme="majorBidi"/>
      <w:color w:val="4472C4" w:themeColor="accent1"/>
      <w:sz w:val="24"/>
      <w:szCs w:val="28"/>
    </w:rPr>
  </w:style>
  <w:style w:type="paragraph" w:customStyle="1" w:styleId="FigureTitle">
    <w:name w:val="Figure Title"/>
    <w:next w:val="Normal"/>
    <w:qFormat/>
    <w:rsid w:val="00875526"/>
    <w:pPr>
      <w:tabs>
        <w:tab w:val="num" w:pos="1080"/>
      </w:tabs>
      <w:spacing w:before="240" w:after="120" w:line="300" w:lineRule="auto"/>
    </w:pPr>
    <w:rPr>
      <w:rFonts w:ascii="Arial" w:eastAsia="Times New Roman" w:hAnsi="Arial" w:cs="Times New Roman"/>
      <w:b/>
      <w:color w:val="000000" w:themeColor="text1"/>
      <w:szCs w:val="24"/>
    </w:rPr>
  </w:style>
  <w:style w:type="paragraph" w:styleId="TOCHeading">
    <w:name w:val="TOC Heading"/>
    <w:basedOn w:val="Heading1"/>
    <w:next w:val="Normal"/>
    <w:uiPriority w:val="39"/>
    <w:unhideWhenUsed/>
    <w:qFormat/>
    <w:rsid w:val="002D2CB7"/>
    <w:pPr>
      <w:outlineLvl w:val="9"/>
    </w:pPr>
    <w:rPr>
      <w:lang w:val="en-US" w:eastAsia="ja-JP"/>
    </w:rPr>
  </w:style>
  <w:style w:type="paragraph" w:styleId="TOC1">
    <w:name w:val="toc 1"/>
    <w:basedOn w:val="Normal"/>
    <w:next w:val="Normal"/>
    <w:autoRedefine/>
    <w:uiPriority w:val="39"/>
    <w:unhideWhenUsed/>
    <w:rsid w:val="009C2BCB"/>
    <w:pPr>
      <w:spacing w:after="100"/>
    </w:pPr>
  </w:style>
  <w:style w:type="paragraph" w:styleId="TOC2">
    <w:name w:val="toc 2"/>
    <w:basedOn w:val="Normal"/>
    <w:next w:val="Normal"/>
    <w:autoRedefine/>
    <w:uiPriority w:val="39"/>
    <w:unhideWhenUsed/>
    <w:rsid w:val="009C2BCB"/>
    <w:pPr>
      <w:spacing w:after="100"/>
      <w:ind w:left="220"/>
    </w:pPr>
  </w:style>
  <w:style w:type="paragraph" w:styleId="TOC3">
    <w:name w:val="toc 3"/>
    <w:basedOn w:val="Normal"/>
    <w:next w:val="Normal"/>
    <w:autoRedefine/>
    <w:uiPriority w:val="39"/>
    <w:unhideWhenUsed/>
    <w:rsid w:val="009C2BCB"/>
    <w:pPr>
      <w:spacing w:after="100"/>
      <w:ind w:left="440"/>
    </w:pPr>
  </w:style>
  <w:style w:type="paragraph" w:customStyle="1" w:styleId="tabletext">
    <w:name w:val="table text"/>
    <w:basedOn w:val="Normal"/>
    <w:qFormat/>
    <w:rsid w:val="0035317B"/>
    <w:pPr>
      <w:spacing w:before="240" w:after="0"/>
    </w:pPr>
    <w:rPr>
      <w:rFonts w:ascii="Times New Roman" w:hAnsi="Times New Roman" w:cs="Times New Roman"/>
      <w:lang w:val="en" w:eastAsia="en-AU"/>
    </w:rPr>
  </w:style>
  <w:style w:type="paragraph" w:styleId="CommentSubject">
    <w:name w:val="annotation subject"/>
    <w:basedOn w:val="CommentText"/>
    <w:next w:val="CommentText"/>
    <w:link w:val="CommentSubjectChar"/>
    <w:uiPriority w:val="99"/>
    <w:semiHidden/>
    <w:unhideWhenUsed/>
    <w:rsid w:val="000337FA"/>
    <w:pPr>
      <w:spacing w:after="200"/>
    </w:pPr>
    <w:rPr>
      <w:rFonts w:asciiTheme="minorHAnsi" w:hAnsiTheme="minorHAnsi"/>
      <w:b/>
      <w:bCs/>
      <w:color w:val="auto"/>
      <w:kern w:val="0"/>
      <w:sz w:val="20"/>
      <w:szCs w:val="20"/>
      <w:lang w:val="en-AU" w:eastAsia="en-US"/>
    </w:rPr>
  </w:style>
  <w:style w:type="character" w:customStyle="1" w:styleId="CommentSubjectChar">
    <w:name w:val="Comment Subject Char"/>
    <w:basedOn w:val="CommentTextChar"/>
    <w:link w:val="CommentSubject"/>
    <w:uiPriority w:val="99"/>
    <w:semiHidden/>
    <w:rsid w:val="000337FA"/>
    <w:rPr>
      <w:rFonts w:asciiTheme="majorHAnsi" w:hAnsiTheme="majorHAnsi"/>
      <w:b/>
      <w:bCs/>
      <w:color w:val="595959" w:themeColor="text1" w:themeTint="A6"/>
      <w:kern w:val="20"/>
      <w:sz w:val="20"/>
      <w:szCs w:val="20"/>
      <w:lang w:val="en-GB" w:eastAsia="ja-JP"/>
    </w:rPr>
  </w:style>
  <w:style w:type="paragraph" w:customStyle="1" w:styleId="Default">
    <w:name w:val="Default"/>
    <w:rsid w:val="00072BD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352CC"/>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2D2CB7"/>
    <w:pPr>
      <w:spacing w:after="0"/>
      <w:contextualSpacing/>
      <w:jc w:val="center"/>
    </w:pPr>
    <w:rPr>
      <w:rFonts w:ascii="Times New Roman" w:eastAsiaTheme="majorEastAsia" w:hAnsi="Times New Roman" w:cstheme="majorBidi"/>
      <w:spacing w:val="-10"/>
      <w:kern w:val="28"/>
      <w:sz w:val="40"/>
      <w:szCs w:val="56"/>
    </w:rPr>
  </w:style>
  <w:style w:type="character" w:customStyle="1" w:styleId="TitleChar">
    <w:name w:val="Title Char"/>
    <w:basedOn w:val="DefaultParagraphFont"/>
    <w:link w:val="Title"/>
    <w:uiPriority w:val="10"/>
    <w:rsid w:val="002D2CB7"/>
    <w:rPr>
      <w:rFonts w:ascii="Times New Roman" w:eastAsiaTheme="majorEastAsia" w:hAnsi="Times New Roman" w:cstheme="majorBidi"/>
      <w:spacing w:val="-10"/>
      <w:kern w:val="28"/>
      <w:sz w:val="40"/>
      <w:szCs w:val="56"/>
    </w:rPr>
  </w:style>
  <w:style w:type="paragraph" w:styleId="Subtitle">
    <w:name w:val="Subtitle"/>
    <w:basedOn w:val="Title"/>
    <w:next w:val="Normal"/>
    <w:link w:val="SubtitleChar"/>
    <w:uiPriority w:val="11"/>
    <w:qFormat/>
    <w:rsid w:val="002D2CB7"/>
    <w:pPr>
      <w:jc w:val="left"/>
    </w:pPr>
    <w:rPr>
      <w:rFonts w:asciiTheme="minorHAnsi" w:hAnsiTheme="minorHAnsi"/>
      <w:b/>
      <w:color w:val="4472C4" w:themeColor="accent1"/>
      <w:sz w:val="28"/>
      <w:szCs w:val="32"/>
    </w:rPr>
  </w:style>
  <w:style w:type="character" w:customStyle="1" w:styleId="SubtitleChar">
    <w:name w:val="Subtitle Char"/>
    <w:basedOn w:val="DefaultParagraphFont"/>
    <w:link w:val="Subtitle"/>
    <w:uiPriority w:val="11"/>
    <w:rsid w:val="002D2CB7"/>
    <w:rPr>
      <w:rFonts w:eastAsiaTheme="majorEastAsia" w:cstheme="majorBidi"/>
      <w:b/>
      <w:color w:val="4472C4" w:themeColor="accent1"/>
      <w:spacing w:val="-10"/>
      <w:kern w:val="28"/>
      <w:sz w:val="28"/>
      <w:szCs w:val="32"/>
    </w:rPr>
  </w:style>
  <w:style w:type="character" w:customStyle="1" w:styleId="Heading5Char">
    <w:name w:val="Heading 5 Char"/>
    <w:basedOn w:val="DefaultParagraphFont"/>
    <w:link w:val="Heading5"/>
    <w:uiPriority w:val="9"/>
    <w:rsid w:val="000834B0"/>
    <w:rPr>
      <w:rFonts w:eastAsiaTheme="majorEastAsia" w:cstheme="majorBidi"/>
      <w:b/>
      <w:color w:val="2F5496" w:themeColor="accent1" w:themeShade="BF"/>
      <w:sz w:val="24"/>
      <w:szCs w:val="26"/>
      <w:lang w:val="en-US"/>
    </w:rPr>
  </w:style>
  <w:style w:type="character" w:customStyle="1" w:styleId="Heading6Char">
    <w:name w:val="Heading 6 Char"/>
    <w:basedOn w:val="DefaultParagraphFont"/>
    <w:link w:val="Heading6"/>
    <w:uiPriority w:val="9"/>
    <w:rsid w:val="001518E2"/>
    <w:rPr>
      <w:rFonts w:eastAsiaTheme="majorEastAsia" w:cstheme="majorHAnsi"/>
      <w:sz w:val="24"/>
      <w:szCs w:val="26"/>
      <w:u w:val="single"/>
      <w:lang w:val="en-US"/>
    </w:rPr>
  </w:style>
  <w:style w:type="character" w:customStyle="1" w:styleId="Heading7Char">
    <w:name w:val="Heading 7 Char"/>
    <w:basedOn w:val="DefaultParagraphFont"/>
    <w:link w:val="Heading7"/>
    <w:uiPriority w:val="9"/>
    <w:semiHidden/>
    <w:rsid w:val="003244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244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4426"/>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51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6500">
      <w:bodyDiv w:val="1"/>
      <w:marLeft w:val="0"/>
      <w:marRight w:val="0"/>
      <w:marTop w:val="0"/>
      <w:marBottom w:val="0"/>
      <w:divBdr>
        <w:top w:val="none" w:sz="0" w:space="0" w:color="auto"/>
        <w:left w:val="none" w:sz="0" w:space="0" w:color="auto"/>
        <w:bottom w:val="none" w:sz="0" w:space="0" w:color="auto"/>
        <w:right w:val="none" w:sz="0" w:space="0" w:color="auto"/>
      </w:divBdr>
    </w:div>
    <w:div w:id="75909822">
      <w:bodyDiv w:val="1"/>
      <w:marLeft w:val="0"/>
      <w:marRight w:val="0"/>
      <w:marTop w:val="0"/>
      <w:marBottom w:val="0"/>
      <w:divBdr>
        <w:top w:val="none" w:sz="0" w:space="0" w:color="auto"/>
        <w:left w:val="none" w:sz="0" w:space="0" w:color="auto"/>
        <w:bottom w:val="none" w:sz="0" w:space="0" w:color="auto"/>
        <w:right w:val="none" w:sz="0" w:space="0" w:color="auto"/>
      </w:divBdr>
    </w:div>
    <w:div w:id="201334724">
      <w:bodyDiv w:val="1"/>
      <w:marLeft w:val="0"/>
      <w:marRight w:val="0"/>
      <w:marTop w:val="0"/>
      <w:marBottom w:val="0"/>
      <w:divBdr>
        <w:top w:val="none" w:sz="0" w:space="0" w:color="auto"/>
        <w:left w:val="none" w:sz="0" w:space="0" w:color="auto"/>
        <w:bottom w:val="none" w:sz="0" w:space="0" w:color="auto"/>
        <w:right w:val="none" w:sz="0" w:space="0" w:color="auto"/>
      </w:divBdr>
    </w:div>
    <w:div w:id="314576371">
      <w:bodyDiv w:val="1"/>
      <w:marLeft w:val="0"/>
      <w:marRight w:val="0"/>
      <w:marTop w:val="0"/>
      <w:marBottom w:val="0"/>
      <w:divBdr>
        <w:top w:val="none" w:sz="0" w:space="0" w:color="auto"/>
        <w:left w:val="none" w:sz="0" w:space="0" w:color="auto"/>
        <w:bottom w:val="none" w:sz="0" w:space="0" w:color="auto"/>
        <w:right w:val="none" w:sz="0" w:space="0" w:color="auto"/>
      </w:divBdr>
    </w:div>
    <w:div w:id="317267633">
      <w:bodyDiv w:val="1"/>
      <w:marLeft w:val="0"/>
      <w:marRight w:val="0"/>
      <w:marTop w:val="0"/>
      <w:marBottom w:val="0"/>
      <w:divBdr>
        <w:top w:val="none" w:sz="0" w:space="0" w:color="auto"/>
        <w:left w:val="none" w:sz="0" w:space="0" w:color="auto"/>
        <w:bottom w:val="none" w:sz="0" w:space="0" w:color="auto"/>
        <w:right w:val="none" w:sz="0" w:space="0" w:color="auto"/>
      </w:divBdr>
    </w:div>
    <w:div w:id="318117324">
      <w:bodyDiv w:val="1"/>
      <w:marLeft w:val="0"/>
      <w:marRight w:val="0"/>
      <w:marTop w:val="0"/>
      <w:marBottom w:val="0"/>
      <w:divBdr>
        <w:top w:val="none" w:sz="0" w:space="0" w:color="auto"/>
        <w:left w:val="none" w:sz="0" w:space="0" w:color="auto"/>
        <w:bottom w:val="none" w:sz="0" w:space="0" w:color="auto"/>
        <w:right w:val="none" w:sz="0" w:space="0" w:color="auto"/>
      </w:divBdr>
    </w:div>
    <w:div w:id="819080574">
      <w:bodyDiv w:val="1"/>
      <w:marLeft w:val="0"/>
      <w:marRight w:val="0"/>
      <w:marTop w:val="0"/>
      <w:marBottom w:val="0"/>
      <w:divBdr>
        <w:top w:val="none" w:sz="0" w:space="0" w:color="auto"/>
        <w:left w:val="none" w:sz="0" w:space="0" w:color="auto"/>
        <w:bottom w:val="none" w:sz="0" w:space="0" w:color="auto"/>
        <w:right w:val="none" w:sz="0" w:space="0" w:color="auto"/>
      </w:divBdr>
    </w:div>
    <w:div w:id="821192358">
      <w:bodyDiv w:val="1"/>
      <w:marLeft w:val="0"/>
      <w:marRight w:val="0"/>
      <w:marTop w:val="0"/>
      <w:marBottom w:val="0"/>
      <w:divBdr>
        <w:top w:val="none" w:sz="0" w:space="0" w:color="auto"/>
        <w:left w:val="none" w:sz="0" w:space="0" w:color="auto"/>
        <w:bottom w:val="none" w:sz="0" w:space="0" w:color="auto"/>
        <w:right w:val="none" w:sz="0" w:space="0" w:color="auto"/>
      </w:divBdr>
    </w:div>
    <w:div w:id="1011106066">
      <w:bodyDiv w:val="1"/>
      <w:marLeft w:val="0"/>
      <w:marRight w:val="0"/>
      <w:marTop w:val="0"/>
      <w:marBottom w:val="0"/>
      <w:divBdr>
        <w:top w:val="none" w:sz="0" w:space="0" w:color="auto"/>
        <w:left w:val="none" w:sz="0" w:space="0" w:color="auto"/>
        <w:bottom w:val="none" w:sz="0" w:space="0" w:color="auto"/>
        <w:right w:val="none" w:sz="0" w:space="0" w:color="auto"/>
      </w:divBdr>
    </w:div>
    <w:div w:id="1189568590">
      <w:bodyDiv w:val="1"/>
      <w:marLeft w:val="0"/>
      <w:marRight w:val="0"/>
      <w:marTop w:val="0"/>
      <w:marBottom w:val="0"/>
      <w:divBdr>
        <w:top w:val="none" w:sz="0" w:space="0" w:color="auto"/>
        <w:left w:val="none" w:sz="0" w:space="0" w:color="auto"/>
        <w:bottom w:val="none" w:sz="0" w:space="0" w:color="auto"/>
        <w:right w:val="none" w:sz="0" w:space="0" w:color="auto"/>
      </w:divBdr>
    </w:div>
    <w:div w:id="1225678541">
      <w:bodyDiv w:val="1"/>
      <w:marLeft w:val="0"/>
      <w:marRight w:val="0"/>
      <w:marTop w:val="0"/>
      <w:marBottom w:val="0"/>
      <w:divBdr>
        <w:top w:val="none" w:sz="0" w:space="0" w:color="auto"/>
        <w:left w:val="none" w:sz="0" w:space="0" w:color="auto"/>
        <w:bottom w:val="none" w:sz="0" w:space="0" w:color="auto"/>
        <w:right w:val="none" w:sz="0" w:space="0" w:color="auto"/>
      </w:divBdr>
    </w:div>
    <w:div w:id="1542472600">
      <w:bodyDiv w:val="1"/>
      <w:marLeft w:val="0"/>
      <w:marRight w:val="0"/>
      <w:marTop w:val="0"/>
      <w:marBottom w:val="0"/>
      <w:divBdr>
        <w:top w:val="none" w:sz="0" w:space="0" w:color="auto"/>
        <w:left w:val="none" w:sz="0" w:space="0" w:color="auto"/>
        <w:bottom w:val="none" w:sz="0" w:space="0" w:color="auto"/>
        <w:right w:val="none" w:sz="0" w:space="0" w:color="auto"/>
      </w:divBdr>
    </w:div>
    <w:div w:id="1681811832">
      <w:bodyDiv w:val="1"/>
      <w:marLeft w:val="0"/>
      <w:marRight w:val="0"/>
      <w:marTop w:val="0"/>
      <w:marBottom w:val="0"/>
      <w:divBdr>
        <w:top w:val="none" w:sz="0" w:space="0" w:color="auto"/>
        <w:left w:val="none" w:sz="0" w:space="0" w:color="auto"/>
        <w:bottom w:val="none" w:sz="0" w:space="0" w:color="auto"/>
        <w:right w:val="none" w:sz="0" w:space="0" w:color="auto"/>
      </w:divBdr>
    </w:div>
    <w:div w:id="1689912096">
      <w:bodyDiv w:val="1"/>
      <w:marLeft w:val="0"/>
      <w:marRight w:val="0"/>
      <w:marTop w:val="0"/>
      <w:marBottom w:val="0"/>
      <w:divBdr>
        <w:top w:val="none" w:sz="0" w:space="0" w:color="auto"/>
        <w:left w:val="none" w:sz="0" w:space="0" w:color="auto"/>
        <w:bottom w:val="none" w:sz="0" w:space="0" w:color="auto"/>
        <w:right w:val="none" w:sz="0" w:space="0" w:color="auto"/>
      </w:divBdr>
    </w:div>
    <w:div w:id="1738236481">
      <w:bodyDiv w:val="1"/>
      <w:marLeft w:val="0"/>
      <w:marRight w:val="0"/>
      <w:marTop w:val="0"/>
      <w:marBottom w:val="0"/>
      <w:divBdr>
        <w:top w:val="none" w:sz="0" w:space="0" w:color="auto"/>
        <w:left w:val="none" w:sz="0" w:space="0" w:color="auto"/>
        <w:bottom w:val="none" w:sz="0" w:space="0" w:color="auto"/>
        <w:right w:val="none" w:sz="0" w:space="0" w:color="auto"/>
      </w:divBdr>
    </w:div>
    <w:div w:id="1875539266">
      <w:bodyDiv w:val="1"/>
      <w:marLeft w:val="0"/>
      <w:marRight w:val="0"/>
      <w:marTop w:val="0"/>
      <w:marBottom w:val="0"/>
      <w:divBdr>
        <w:top w:val="none" w:sz="0" w:space="0" w:color="auto"/>
        <w:left w:val="none" w:sz="0" w:space="0" w:color="auto"/>
        <w:bottom w:val="none" w:sz="0" w:space="0" w:color="auto"/>
        <w:right w:val="none" w:sz="0" w:space="0" w:color="auto"/>
      </w:divBdr>
    </w:div>
    <w:div w:id="2109155147">
      <w:bodyDiv w:val="1"/>
      <w:marLeft w:val="0"/>
      <w:marRight w:val="0"/>
      <w:marTop w:val="0"/>
      <w:marBottom w:val="0"/>
      <w:divBdr>
        <w:top w:val="none" w:sz="0" w:space="0" w:color="auto"/>
        <w:left w:val="none" w:sz="0" w:space="0" w:color="auto"/>
        <w:bottom w:val="none" w:sz="0" w:space="0" w:color="auto"/>
        <w:right w:val="none" w:sz="0" w:space="0" w:color="auto"/>
      </w:divBdr>
    </w:div>
    <w:div w:id="21269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aghealthcouncil.gov.au/Portals/0/Fifth%20National%20Mental%20Health%20and%20Suicide%20Prevention%20Plan.pdf" TargetMode="External"/><Relationship Id="rId18" Type="http://schemas.openxmlformats.org/officeDocument/2006/relationships/hyperlink" Target="http://www.health.gov.au/internet/main/publishing.nsf/Content/PHNCommissioningResources" TargetMode="External"/><Relationship Id="rId26" Type="http://schemas.openxmlformats.org/officeDocument/2006/relationships/hyperlink" Target="http://www.health.gov.au/internet/main/publishing.nsf/Content/mental-ba-telehealth" TargetMode="External"/><Relationship Id="rId39" Type="http://schemas.openxmlformats.org/officeDocument/2006/relationships/hyperlink" Target="http://www.health.gov.au/internet/main/publishing.nsf/Content/indigenous-implementation-plan" TargetMode="External"/><Relationship Id="rId3" Type="http://schemas.openxmlformats.org/officeDocument/2006/relationships/customXml" Target="../customXml/item3.xml"/><Relationship Id="rId21" Type="http://schemas.openxmlformats.org/officeDocument/2006/relationships/hyperlink" Target="http://www.health.gov.au/internet/main/publishing.nsf/Content/PHNCommissioningResources" TargetMode="External"/><Relationship Id="rId34" Type="http://schemas.openxmlformats.org/officeDocument/2006/relationships/hyperlink" Target="http://www.health.gov.au/internet/ministers/publishing.nsf/Content/health-mediarel-yr2018-mckenzie038.htm" TargetMode="External"/><Relationship Id="rId42" Type="http://schemas.openxmlformats.org/officeDocument/2006/relationships/hyperlink" Target="https://natsim.cpmc.edu.au/"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ealth.gov.au/internet/main/publishing.nsf/Content/Glossary" TargetMode="External"/><Relationship Id="rId17" Type="http://schemas.openxmlformats.org/officeDocument/2006/relationships/hyperlink" Target="https://www.pmc.gov.au/sites/default/files/publications/drought-assistance-information-pack_0.pdf" TargetMode="External"/><Relationship Id="rId25" Type="http://schemas.openxmlformats.org/officeDocument/2006/relationships/hyperlink" Target="https://headtohealth.gov.au/" TargetMode="External"/><Relationship Id="rId33" Type="http://schemas.openxmlformats.org/officeDocument/2006/relationships/hyperlink" Target="http://www.health.gov.au/internet/main/publishing.nsf/Content/PHN-Accho" TargetMode="External"/><Relationship Id="rId38" Type="http://schemas.openxmlformats.org/officeDocument/2006/relationships/hyperlink" Target="http://www.coaghealthcouncil.gov.au/Portals/0/National%20Cultural%20Respect%20Framework%20for%20Aboriginal%20and%20Torres%20Strait%20Islander%20Health%202016_2026_2.pdf"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alth.gov.au/internet/main/publishing.nsf/Content/PHN-Performance_Framework" TargetMode="External"/><Relationship Id="rId20" Type="http://schemas.openxmlformats.org/officeDocument/2006/relationships/hyperlink" Target="http://www.health.gov.au/internet/main/publishing.nsf/Content/PHN-Performance_Framework" TargetMode="External"/><Relationship Id="rId29" Type="http://schemas.openxmlformats.org/officeDocument/2006/relationships/hyperlink" Target="https://www.pmc.gov.au/resource-centre/indigenous-affairs/national-strategic-framework-mental-health-social-emotional-wellbeing-2017-23" TargetMode="External"/><Relationship Id="rId41" Type="http://schemas.openxmlformats.org/officeDocument/2006/relationships/hyperlink" Target="https://www.linmen.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mindspot.org.au/" TargetMode="External"/><Relationship Id="rId32" Type="http://schemas.openxmlformats.org/officeDocument/2006/relationships/hyperlink" Target="https://www.acnc.gov.au/" TargetMode="External"/><Relationship Id="rId37" Type="http://schemas.openxmlformats.org/officeDocument/2006/relationships/hyperlink" Target="https://crana.org.au/" TargetMode="External"/><Relationship Id="rId40" Type="http://schemas.openxmlformats.org/officeDocument/2006/relationships/hyperlink" Target="http://iaha.com.au/wp-content/uploads/2015/08/2015-IAHA-Cultural-Responsiveness-Framework-WEB.pdf" TargetMode="External"/><Relationship Id="rId45" Type="http://schemas.openxmlformats.org/officeDocument/2006/relationships/hyperlink" Target="https://headtohealth.gov.au/" TargetMode="External"/><Relationship Id="rId5" Type="http://schemas.openxmlformats.org/officeDocument/2006/relationships/numbering" Target="numbering.xml"/><Relationship Id="rId15" Type="http://schemas.openxmlformats.org/officeDocument/2006/relationships/hyperlink" Target="https://www.pmc.gov.au/indigenous-affairs/closing-gap" TargetMode="External"/><Relationship Id="rId23" Type="http://schemas.openxmlformats.org/officeDocument/2006/relationships/hyperlink" Target="https://www.ndis.gov.au/community/strengthening-ilc-national-strategy-towards-2022" TargetMode="External"/><Relationship Id="rId28" Type="http://schemas.openxmlformats.org/officeDocument/2006/relationships/hyperlink" Target="http://www.health.gov.au/internet/main/publishing.nsf/Content/MBSR-pcrg-consult" TargetMode="External"/><Relationship Id="rId36" Type="http://schemas.openxmlformats.org/officeDocument/2006/relationships/hyperlink" Target="https://www.mhpn.org.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gov.au/internet/ministers/publishing.nsf/Content/1E7415656ECF9F81CA2583830076A6F1/$File/GH008.pdf" TargetMode="External"/><Relationship Id="rId31" Type="http://schemas.openxmlformats.org/officeDocument/2006/relationships/hyperlink" Target="http://www.health.gov.au/internet/main/publishing.nsf/Content/mental-health-intergrated-reg-planning" TargetMode="External"/><Relationship Id="rId44" Type="http://schemas.openxmlformats.org/officeDocument/2006/relationships/hyperlink" Target="http://www.health.gov.au/internet/main/publishing.nsf/Content/PHN-Mental_T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Parliamentary_Business/Committees/Senate/Community_Affairs/MentalHealthServices" TargetMode="External"/><Relationship Id="rId22" Type="http://schemas.openxmlformats.org/officeDocument/2006/relationships/hyperlink" Target="https://www.finance.gov.au/resource-management/grants/" TargetMode="External"/><Relationship Id="rId27" Type="http://schemas.openxmlformats.org/officeDocument/2006/relationships/hyperlink" Target="http://www.health.gov.au/internet/main/publishing.nsf/Content/mental-ba-telehealth" TargetMode="External"/><Relationship Id="rId30" Type="http://schemas.openxmlformats.org/officeDocument/2006/relationships/hyperlink" Target="http://www.health.gov.au/internet/main/publishing.nsf/Content/PHN-Accho" TargetMode="External"/><Relationship Id="rId35" Type="http://schemas.openxmlformats.org/officeDocument/2006/relationships/hyperlink" Target="http://www.health.gov.au/internet/main/publishing.nsf/Content/stronger-rural-health-strategy-workforce-incentive-program" TargetMode="External"/><Relationship Id="rId43" Type="http://schemas.openxmlformats.org/officeDocument/2006/relationships/hyperlink" Target="https://www.legislation.gov.au/Details/F2018L00631"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DCB0-A8A7-4D0E-B8D2-6C9A28E4C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1A132E-7668-4663-AB8F-3091F86C036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413C1D6-AB4A-4851-B281-CF28B3C0CCFD}">
  <ds:schemaRefs>
    <ds:schemaRef ds:uri="http://schemas.microsoft.com/sharepoint/v3/contenttype/forms"/>
  </ds:schemaRefs>
</ds:datastoreItem>
</file>

<file path=customXml/itemProps4.xml><?xml version="1.0" encoding="utf-8"?>
<ds:datastoreItem xmlns:ds="http://schemas.openxmlformats.org/officeDocument/2006/customXml" ds:itemID="{306D742F-D53D-4B2F-9E3F-8DE8FA25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7875</Words>
  <Characters>44889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Australian Government response to the Senate Community Affairs References Committee Inquiry report into the Accessibility and quality of mental health services in rural and remote Australia</vt:lpstr>
    </vt:vector>
  </TitlesOfParts>
  <Company>Hewlett-Packard Company</Company>
  <LinksUpToDate>false</LinksUpToDate>
  <CharactersWithSpaces>52659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Community Affairs References Committee Inquiry report into the Accessibility and quality of mental health services in rural and remote Australia</dc:title>
  <dc:subject>Government response</dc:subject>
  <dc:creator>Department of Health</dc:creator>
  <cp:keywords>Government response; mental health services; rural and remote Australia</cp:keywords>
  <cp:lastModifiedBy>Maschke, Elvia</cp:lastModifiedBy>
  <cp:revision>2</cp:revision>
  <cp:lastPrinted>2019-03-29T05:08:00Z</cp:lastPrinted>
  <dcterms:created xsi:type="dcterms:W3CDTF">2019-06-14T00:55:00Z</dcterms:created>
  <dcterms:modified xsi:type="dcterms:W3CDTF">2019-06-14T00:55:00Z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