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52EF" w14:textId="4BFD1C85" w:rsidR="008F2E23" w:rsidRPr="004F348A" w:rsidRDefault="008A5F3A" w:rsidP="004F348A">
      <w:pPr>
        <w:pStyle w:val="Heading1"/>
      </w:pPr>
      <w:r w:rsidRPr="004F348A">
        <w:t>Private health insurance reforms</w:t>
      </w:r>
      <w:proofErr w:type="gramStart"/>
      <w:r w:rsidRPr="004F348A">
        <w:t>:</w:t>
      </w:r>
      <w:proofErr w:type="gramEnd"/>
      <w:r w:rsidRPr="004F348A">
        <w:br/>
      </w:r>
      <w:r w:rsidR="0036765F" w:rsidRPr="0036765F">
        <w:t>I</w:t>
      </w:r>
      <w:r w:rsidR="00A607D4" w:rsidRPr="00A607D4">
        <w:t>n</w:t>
      </w:r>
      <w:r w:rsidR="002B5BB0">
        <w:t>formation provision</w:t>
      </w:r>
    </w:p>
    <w:p w14:paraId="2C10906C" w14:textId="77777777" w:rsidR="002B5BB0" w:rsidRDefault="002B5BB0" w:rsidP="004F348A">
      <w:pPr>
        <w:pStyle w:val="Heading2"/>
        <w:rPr>
          <w:rFonts w:eastAsiaTheme="minorEastAsia" w:cs="Times New Roman (Body CS)"/>
          <w:b w:val="0"/>
          <w:bCs w:val="0"/>
          <w:color w:val="595959" w:themeColor="text1" w:themeTint="A6"/>
          <w:sz w:val="26"/>
          <w:szCs w:val="24"/>
        </w:rPr>
      </w:pPr>
      <w:r w:rsidRPr="002B5BB0">
        <w:rPr>
          <w:rFonts w:eastAsiaTheme="minorEastAsia" w:cs="Times New Roman (Body CS)"/>
          <w:b w:val="0"/>
          <w:bCs w:val="0"/>
          <w:color w:val="595959" w:themeColor="text1" w:themeTint="A6"/>
          <w:sz w:val="26"/>
          <w:szCs w:val="24"/>
        </w:rPr>
        <w:t>Upgrades to privatehealth.gov.au, the development of a Private Health Information Statement for consumers, and making private health insurance product data publicly available will improve access to information</w:t>
      </w:r>
    </w:p>
    <w:p w14:paraId="4870DE38" w14:textId="58F6F10D" w:rsidR="002B5BB0" w:rsidRDefault="002B5BB0" w:rsidP="002B5BB0">
      <w:pPr>
        <w:pStyle w:val="ListBullet"/>
      </w:pPr>
      <w:r>
        <w:t>The Private Health Insurance Ombudsman (PHIO) website privatehealth.gov.au will be redeveloped to better assist consumers to choose a product that best meets their needs.</w:t>
      </w:r>
    </w:p>
    <w:p w14:paraId="2D09DECA" w14:textId="46B6BEDA" w:rsidR="002B5BB0" w:rsidRDefault="002B5BB0" w:rsidP="002B5BB0">
      <w:pPr>
        <w:pStyle w:val="ListBullet"/>
      </w:pPr>
      <w:r>
        <w:t>A Private Health Information Stateme</w:t>
      </w:r>
      <w:bookmarkStart w:id="0" w:name="_GoBack"/>
      <w:bookmarkEnd w:id="0"/>
      <w:r>
        <w:t>nt (PHIS) will replace the current Standard Information Statement (SIS) as the regulated method by which insurers provide information to consumers.</w:t>
      </w:r>
    </w:p>
    <w:p w14:paraId="6EB4BA0E" w14:textId="435B9AC8" w:rsidR="002B5BB0" w:rsidRDefault="002B5BB0" w:rsidP="002B5BB0">
      <w:pPr>
        <w:pStyle w:val="ListBullet"/>
      </w:pPr>
      <w:r>
        <w:t>Rules will allow information to be technology neutral to reflect how consumers access information. This means that consumer information can also be provided via email or a hyperlink, as long as it is provided according to regulated timeframes.</w:t>
      </w:r>
    </w:p>
    <w:p w14:paraId="2652A0A6" w14:textId="556CE6A9" w:rsidR="002B5BB0" w:rsidRDefault="002B5BB0" w:rsidP="002B5BB0">
      <w:pPr>
        <w:pStyle w:val="ListBullet"/>
      </w:pPr>
      <w:r>
        <w:t>Insurers will now provide insured persons with the following information, on request, rather than in annual statements:</w:t>
      </w:r>
    </w:p>
    <w:p w14:paraId="4AE9D9FE" w14:textId="460DB93F" w:rsidR="002B5BB0" w:rsidRDefault="002B5BB0" w:rsidP="002B5BB0">
      <w:pPr>
        <w:pStyle w:val="ListBullet"/>
        <w:numPr>
          <w:ilvl w:val="0"/>
          <w:numId w:val="10"/>
        </w:numPr>
      </w:pPr>
      <w:r>
        <w:t>a tax statement with details about their private health insurance rebate</w:t>
      </w:r>
    </w:p>
    <w:p w14:paraId="085CCF60" w14:textId="4CA22A33" w:rsidR="002B5BB0" w:rsidRDefault="002B5BB0" w:rsidP="002B5BB0">
      <w:pPr>
        <w:pStyle w:val="ListBullet"/>
        <w:numPr>
          <w:ilvl w:val="0"/>
          <w:numId w:val="10"/>
        </w:numPr>
      </w:pPr>
      <w:proofErr w:type="gramStart"/>
      <w:r>
        <w:t>a</w:t>
      </w:r>
      <w:proofErr w:type="gramEnd"/>
      <w:r>
        <w:t xml:space="preserve"> Lifetime Health Cover Statement.</w:t>
      </w:r>
    </w:p>
    <w:p w14:paraId="6B8C5124" w14:textId="2DEF8CEF" w:rsidR="002B5BB0" w:rsidRDefault="002B5BB0" w:rsidP="002B5BB0">
      <w:pPr>
        <w:pStyle w:val="ListBullet"/>
      </w:pPr>
      <w:r>
        <w:t>The Rules also require that at least once a year, insurers tell people who have a Lifetime Health Cover loading the period for which their loading will continue to apply.</w:t>
      </w:r>
    </w:p>
    <w:p w14:paraId="1FC69444" w14:textId="14E205D9" w:rsidR="002B5BB0" w:rsidRPr="002B5BB0" w:rsidRDefault="002B5BB0" w:rsidP="002B5BB0">
      <w:pPr>
        <w:pStyle w:val="ListBullet"/>
      </w:pPr>
      <w:r>
        <w:t xml:space="preserve">Data about health insurance products provided by insurers to the PHIO for use on </w:t>
      </w:r>
      <w:hyperlink r:id="rId9" w:history="1">
        <w:r w:rsidRPr="002B5BB0">
          <w:rPr>
            <w:rStyle w:val="Hyperlink"/>
          </w:rPr>
          <w:t>privatehealth.gov.au</w:t>
        </w:r>
      </w:hyperlink>
      <w:r>
        <w:t xml:space="preserve"> will be made publicly available in a consolidated and downloadable format.</w:t>
      </w:r>
    </w:p>
    <w:p w14:paraId="6263F397" w14:textId="128148E4" w:rsidR="008A5F3A" w:rsidRDefault="008A5F3A" w:rsidP="004F348A">
      <w:pPr>
        <w:pStyle w:val="Heading2"/>
      </w:pPr>
      <w:r w:rsidRPr="00724B94">
        <w:t xml:space="preserve">Why is this </w:t>
      </w:r>
      <w:r w:rsidRPr="008A5F3A">
        <w:t>important</w:t>
      </w:r>
      <w:r w:rsidRPr="00724B94">
        <w:t>?</w:t>
      </w:r>
    </w:p>
    <w:p w14:paraId="6F1FD7FD" w14:textId="22DE1BD5" w:rsidR="002B5BB0" w:rsidRDefault="002B5BB0" w:rsidP="002B5BB0">
      <w:pPr>
        <w:pStyle w:val="ListBullet"/>
      </w:pPr>
      <w:r>
        <w:t>C</w:t>
      </w:r>
      <w:r>
        <w:t>onsultations conducted by the Department of Health in 2015 revealed that a key concern for consumers related to a poor understanding of private health insurance products.</w:t>
      </w:r>
    </w:p>
    <w:p w14:paraId="0BE1ADDD" w14:textId="3D91B2D2" w:rsidR="0036765F" w:rsidRPr="0036765F" w:rsidRDefault="002B5BB0" w:rsidP="002B5BB0">
      <w:pPr>
        <w:pStyle w:val="ListBullet"/>
      </w:pPr>
      <w:r>
        <w:t>Consumers will have a choice in how they receive information and insurers will be able to use the PHIS in whichever format the consumer prefers. The information can be tailored to individuals, which will be more meaningful for consumers.</w:t>
      </w:r>
    </w:p>
    <w:p w14:paraId="0C720A8E" w14:textId="6043A561" w:rsidR="008F2E23" w:rsidRDefault="00CF02EC" w:rsidP="004F348A">
      <w:pPr>
        <w:pStyle w:val="Heading2"/>
      </w:pPr>
      <w:r>
        <w:t>Who will benefit</w:t>
      </w:r>
      <w:r w:rsidR="008F2E23" w:rsidRPr="008F2E23">
        <w:t>?</w:t>
      </w:r>
    </w:p>
    <w:p w14:paraId="362C3D4E" w14:textId="77777777" w:rsidR="002B5BB0" w:rsidRDefault="002B5BB0" w:rsidP="002B5BB0">
      <w:pPr>
        <w:pStyle w:val="ListBullet"/>
      </w:pPr>
      <w:r>
        <w:t>The redeveloped website will better help consumers to choose the best private health insurance product for their health needs by making it easier to compare multiple products.</w:t>
      </w:r>
    </w:p>
    <w:p w14:paraId="095743B7" w14:textId="334B3170" w:rsidR="0036765F" w:rsidRPr="0036765F" w:rsidRDefault="002B5BB0" w:rsidP="002B5BB0">
      <w:pPr>
        <w:pStyle w:val="ListBullet"/>
      </w:pPr>
      <w:r>
        <w:t>Insurers will have flexibility to provide product information to consumers in a variety of formats and consumers will be able to select how they receive information.</w:t>
      </w:r>
    </w:p>
    <w:p w14:paraId="042C6145" w14:textId="5F8279C3" w:rsidR="006C56B9" w:rsidRDefault="006C56B9" w:rsidP="006C56B9">
      <w:pPr>
        <w:pStyle w:val="Heading2"/>
      </w:pPr>
      <w:r w:rsidRPr="006C56B9">
        <w:lastRenderedPageBreak/>
        <w:t>What impact will this change have on private health insurance?</w:t>
      </w:r>
    </w:p>
    <w:p w14:paraId="578E25FD" w14:textId="307D74F1" w:rsidR="002B5BB0" w:rsidRPr="002B5BB0" w:rsidRDefault="002B5BB0" w:rsidP="002B5BB0">
      <w:r w:rsidRPr="002B5BB0">
        <w:t>This change is designed to strengthen consumer information.</w:t>
      </w:r>
    </w:p>
    <w:sectPr w:rsidR="002B5BB0" w:rsidRPr="002B5BB0" w:rsidSect="00CF02EC">
      <w:headerReference w:type="default" r:id="rId10"/>
      <w:footerReference w:type="default" r:id="rId11"/>
      <w:headerReference w:type="first" r:id="rId12"/>
      <w:footerReference w:type="first" r:id="rId13"/>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3967"/>
      <w:docPartObj>
        <w:docPartGallery w:val="Page Numbers (Bottom of Page)"/>
        <w:docPartUnique/>
      </w:docPartObj>
    </w:sdtPr>
    <w:sdtEndPr>
      <w:rPr>
        <w:noProof/>
      </w:rPr>
    </w:sdtEndPr>
    <w:sdtContent>
      <w:p w14:paraId="565350D1" w14:textId="3832ACDF"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2B5BB0">
          <w:rPr>
            <w:noProof/>
          </w:rPr>
          <w:t>2</w:t>
        </w:r>
        <w:r w:rsidR="00790DD7" w:rsidRPr="00033A2E">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1840"/>
      <w:docPartObj>
        <w:docPartGallery w:val="Page Numbers (Bottom of Page)"/>
        <w:docPartUnique/>
      </w:docPartObj>
    </w:sdtPr>
    <w:sdtEndPr>
      <w:rPr>
        <w:noProof/>
      </w:rPr>
    </w:sdtEndPr>
    <w:sdtContent>
      <w:p w14:paraId="0AA31A81" w14:textId="2E491D93" w:rsidR="005F5857" w:rsidRPr="005F5857" w:rsidRDefault="005F5857" w:rsidP="004F348A">
        <w:pPr>
          <w:pStyle w:val="Footer"/>
        </w:pPr>
        <w:r w:rsidRPr="00CF02EC">
          <w:t>Private health insurance – simpler, more affordable</w:t>
        </w:r>
        <w:r w:rsidRPr="00033A2E">
          <w:tab/>
        </w:r>
        <w:r w:rsidRPr="00033A2E">
          <w:fldChar w:fldCharType="begin"/>
        </w:r>
        <w:r w:rsidRPr="00033A2E">
          <w:instrText xml:space="preserve"> PAGE   \* MERGEFORMAT </w:instrText>
        </w:r>
        <w:r w:rsidRPr="00033A2E">
          <w:fldChar w:fldCharType="separate"/>
        </w:r>
        <w:r w:rsidR="002B5BB0">
          <w:rPr>
            <w:noProof/>
          </w:rPr>
          <w:t>1</w:t>
        </w:r>
        <w:r w:rsidRPr="00033A2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3D59" w14:textId="1BB3E12B" w:rsidR="00F77677" w:rsidRDefault="00CF02EC" w:rsidP="004F348A">
    <w:pPr>
      <w:pStyle w:val="Header"/>
    </w:pPr>
    <w:r w:rsidRPr="00C65279">
      <w:rPr>
        <w:noProof/>
        <w:color w:val="808080" w:themeColor="background1" w:themeShade="80"/>
      </w:rPr>
      <mc:AlternateContent>
        <mc:Choice Requires="wps">
          <w:drawing>
            <wp:anchor distT="0" distB="0" distL="114300" distR="114300" simplePos="0" relativeHeight="251669504" behindDoc="1" locked="0" layoutInCell="1" allowOverlap="1" wp14:anchorId="1E60A50B" wp14:editId="32766004">
              <wp:simplePos x="0" y="0"/>
              <wp:positionH relativeFrom="column">
                <wp:posOffset>-540385</wp:posOffset>
              </wp:positionH>
              <wp:positionV relativeFrom="page">
                <wp:posOffset>1440180</wp:posOffset>
              </wp:positionV>
              <wp:extent cx="7200000" cy="9046800"/>
              <wp:effectExtent l="0" t="0" r="13970" b="8890"/>
              <wp:wrapNone/>
              <wp:docPr id="8" name="Rectangle 8"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alt="&quot;&quot;" style="position:absolute;margin-left:-42.55pt;margin-top:113.4pt;width:566.95pt;height:71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" filled="f" strokecolor="#b3b4b3" strokeweight=".5pt">
              <w10:wrap anchory="page"/>
            </v:rect>
          </w:pict>
        </mc:Fallback>
      </mc:AlternateContent>
    </w:r>
    <w:r>
      <w:rPr>
        <w:noProof/>
      </w:rPr>
      <w:drawing>
        <wp:anchor distT="0" distB="0" distL="114300" distR="114300" simplePos="0" relativeHeight="251665408" behindDoc="0" locked="0" layoutInCell="1" allowOverlap="1" wp14:anchorId="6DE46F87" wp14:editId="1B4C5D0C">
          <wp:simplePos x="0" y="0"/>
          <wp:positionH relativeFrom="column">
            <wp:posOffset>-712177</wp:posOffset>
          </wp:positionH>
          <wp:positionV relativeFrom="paragraph">
            <wp:posOffset>-1424989</wp:posOffset>
          </wp:positionV>
          <wp:extent cx="7560000" cy="1440000"/>
          <wp:effectExtent l="0" t="0" r="3175" b="8255"/>
          <wp:wrapNone/>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813C" w14:textId="6E25878C" w:rsidR="00CF02EC" w:rsidRDefault="00CF02EC" w:rsidP="004F348A">
    <w:pPr>
      <w:pStyle w:val="Header"/>
    </w:pPr>
    <w:r w:rsidRPr="00C65279">
      <w:rPr>
        <w:noProof/>
        <w:color w:val="808080" w:themeColor="background1" w:themeShade="80"/>
      </w:rPr>
      <mc:AlternateContent>
        <mc:Choice Requires="wps">
          <w:drawing>
            <wp:anchor distT="0" distB="0" distL="114300" distR="114300" simplePos="0" relativeHeight="251667456" behindDoc="1" locked="0" layoutInCell="1" allowOverlap="1" wp14:anchorId="30CDFDAC" wp14:editId="4B6FCE51">
              <wp:simplePos x="0" y="0"/>
              <wp:positionH relativeFrom="column">
                <wp:posOffset>-540385</wp:posOffset>
              </wp:positionH>
              <wp:positionV relativeFrom="page">
                <wp:posOffset>1440180</wp:posOffset>
              </wp:positionV>
              <wp:extent cx="7200000" cy="9046800"/>
              <wp:effectExtent l="0" t="0" r="13970" b="8890"/>
              <wp:wrapNone/>
              <wp:docPr id="7" name="Rectangle 7"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alt="&quot;&quot;" style="position:absolute;margin-left:-42.55pt;margin-top:113.4pt;width:566.95pt;height:71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" filled="f" strokecolor="#b3b4b3" strokeweight=".5pt">
              <w10:wrap anchory="page"/>
            </v:rect>
          </w:pict>
        </mc:Fallback>
      </mc:AlternateContent>
    </w:r>
    <w:r>
      <w:rPr>
        <w:noProof/>
      </w:rPr>
      <w:drawing>
        <wp:anchor distT="0" distB="0" distL="114300" distR="114300" simplePos="0" relativeHeight="251663360" behindDoc="0" locked="0" layoutInCell="1" allowOverlap="1" wp14:anchorId="6607CE27" wp14:editId="5F618859">
          <wp:simplePos x="0" y="0"/>
          <wp:positionH relativeFrom="column">
            <wp:posOffset>-712177</wp:posOffset>
          </wp:positionH>
          <wp:positionV relativeFrom="paragraph">
            <wp:posOffset>-1424989</wp:posOffset>
          </wp:positionV>
          <wp:extent cx="7560000" cy="1435764"/>
          <wp:effectExtent l="0" t="0" r="3175" b="0"/>
          <wp:wrapNone/>
          <wp:docPr id="6"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E06D60"/>
    <w:lvl w:ilvl="0">
      <w:start w:val="1"/>
      <w:numFmt w:val="decimal"/>
      <w:lvlText w:val="%1."/>
      <w:lvlJc w:val="left"/>
      <w:pPr>
        <w:tabs>
          <w:tab w:val="num" w:pos="643"/>
        </w:tabs>
        <w:ind w:left="643" w:hanging="360"/>
      </w:pPr>
    </w:lvl>
  </w:abstractNum>
  <w:abstractNum w:abstractNumId="1">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2D32D0"/>
    <w:multiLevelType w:val="hybridMultilevel"/>
    <w:tmpl w:val="21841B2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67F0D"/>
    <w:multiLevelType w:val="hybridMultilevel"/>
    <w:tmpl w:val="BAA03F18"/>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nsid w:val="77B82E07"/>
    <w:multiLevelType w:val="hybridMultilevel"/>
    <w:tmpl w:val="80FCC754"/>
    <w:lvl w:ilvl="0" w:tplc="5A12D7BC">
      <w:numFmt w:val="bullet"/>
      <w:pStyle w:val="Strong"/>
      <w:lvlText w:val=""/>
      <w:lvlJc w:val="left"/>
      <w:pPr>
        <w:ind w:left="470" w:hanging="358"/>
      </w:pPr>
      <w:rPr>
        <w:rFonts w:ascii="Symbol" w:eastAsia="Symbol" w:hAnsi="Symbol" w:cs="Symbol" w:hint="default"/>
        <w:color w:val="005B9B"/>
        <w:w w:val="100"/>
        <w:sz w:val="21"/>
        <w:szCs w:val="21"/>
        <w:lang w:val="en-US" w:eastAsia="en-US" w:bidi="en-US"/>
      </w:rPr>
    </w:lvl>
    <w:lvl w:ilvl="1" w:tplc="A64C398C">
      <w:numFmt w:val="bullet"/>
      <w:lvlText w:val="•"/>
      <w:lvlJc w:val="left"/>
      <w:pPr>
        <w:ind w:left="1404" w:hanging="358"/>
      </w:pPr>
      <w:rPr>
        <w:rFonts w:hint="default"/>
        <w:lang w:val="en-US" w:eastAsia="en-US" w:bidi="en-US"/>
      </w:rPr>
    </w:lvl>
    <w:lvl w:ilvl="2" w:tplc="FA68225E">
      <w:numFmt w:val="bullet"/>
      <w:lvlText w:val="•"/>
      <w:lvlJc w:val="left"/>
      <w:pPr>
        <w:ind w:left="2329" w:hanging="358"/>
      </w:pPr>
      <w:rPr>
        <w:rFonts w:hint="default"/>
        <w:lang w:val="en-US" w:eastAsia="en-US" w:bidi="en-US"/>
      </w:rPr>
    </w:lvl>
    <w:lvl w:ilvl="3" w:tplc="B5CE1F88">
      <w:numFmt w:val="bullet"/>
      <w:lvlText w:val="•"/>
      <w:lvlJc w:val="left"/>
      <w:pPr>
        <w:ind w:left="3253" w:hanging="358"/>
      </w:pPr>
      <w:rPr>
        <w:rFonts w:hint="default"/>
        <w:lang w:val="en-US" w:eastAsia="en-US" w:bidi="en-US"/>
      </w:rPr>
    </w:lvl>
    <w:lvl w:ilvl="4" w:tplc="14182B1A">
      <w:numFmt w:val="bullet"/>
      <w:lvlText w:val="•"/>
      <w:lvlJc w:val="left"/>
      <w:pPr>
        <w:ind w:left="4178" w:hanging="358"/>
      </w:pPr>
      <w:rPr>
        <w:rFonts w:hint="default"/>
        <w:lang w:val="en-US" w:eastAsia="en-US" w:bidi="en-US"/>
      </w:rPr>
    </w:lvl>
    <w:lvl w:ilvl="5" w:tplc="F4784BF0">
      <w:numFmt w:val="bullet"/>
      <w:lvlText w:val="•"/>
      <w:lvlJc w:val="left"/>
      <w:pPr>
        <w:ind w:left="5103" w:hanging="358"/>
      </w:pPr>
      <w:rPr>
        <w:rFonts w:hint="default"/>
        <w:lang w:val="en-US" w:eastAsia="en-US" w:bidi="en-US"/>
      </w:rPr>
    </w:lvl>
    <w:lvl w:ilvl="6" w:tplc="C652BC66">
      <w:numFmt w:val="bullet"/>
      <w:lvlText w:val="•"/>
      <w:lvlJc w:val="left"/>
      <w:pPr>
        <w:ind w:left="6027" w:hanging="358"/>
      </w:pPr>
      <w:rPr>
        <w:rFonts w:hint="default"/>
        <w:lang w:val="en-US" w:eastAsia="en-US" w:bidi="en-US"/>
      </w:rPr>
    </w:lvl>
    <w:lvl w:ilvl="7" w:tplc="1616A864">
      <w:numFmt w:val="bullet"/>
      <w:lvlText w:val="•"/>
      <w:lvlJc w:val="left"/>
      <w:pPr>
        <w:ind w:left="6952" w:hanging="358"/>
      </w:pPr>
      <w:rPr>
        <w:rFonts w:hint="default"/>
        <w:lang w:val="en-US" w:eastAsia="en-US" w:bidi="en-US"/>
      </w:rPr>
    </w:lvl>
    <w:lvl w:ilvl="8" w:tplc="822C6362">
      <w:numFmt w:val="bullet"/>
      <w:lvlText w:val="•"/>
      <w:lvlJc w:val="left"/>
      <w:pPr>
        <w:ind w:left="7877" w:hanging="358"/>
      </w:pPr>
      <w:rPr>
        <w:rFonts w:hint="default"/>
        <w:lang w:val="en-US" w:eastAsia="en-US" w:bidi="en-US"/>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3"/>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7"/>
    <w:rsid w:val="00003743"/>
    <w:rsid w:val="00033A2E"/>
    <w:rsid w:val="00061AF3"/>
    <w:rsid w:val="00067456"/>
    <w:rsid w:val="000A35FD"/>
    <w:rsid w:val="000C4D27"/>
    <w:rsid w:val="001B3443"/>
    <w:rsid w:val="001D095A"/>
    <w:rsid w:val="001E2491"/>
    <w:rsid w:val="001E265E"/>
    <w:rsid w:val="002B3DEA"/>
    <w:rsid w:val="002B5BB0"/>
    <w:rsid w:val="002E2D16"/>
    <w:rsid w:val="002F3AE3"/>
    <w:rsid w:val="0030786C"/>
    <w:rsid w:val="0036765F"/>
    <w:rsid w:val="00372CD7"/>
    <w:rsid w:val="003D17F9"/>
    <w:rsid w:val="003E071D"/>
    <w:rsid w:val="00440060"/>
    <w:rsid w:val="004867E2"/>
    <w:rsid w:val="004F348A"/>
    <w:rsid w:val="00545812"/>
    <w:rsid w:val="00591CAB"/>
    <w:rsid w:val="005F5857"/>
    <w:rsid w:val="006468FD"/>
    <w:rsid w:val="00656763"/>
    <w:rsid w:val="006C56B9"/>
    <w:rsid w:val="00724B94"/>
    <w:rsid w:val="00790DD7"/>
    <w:rsid w:val="008264EB"/>
    <w:rsid w:val="00865937"/>
    <w:rsid w:val="008A5F3A"/>
    <w:rsid w:val="008F2E23"/>
    <w:rsid w:val="00905865"/>
    <w:rsid w:val="0096642C"/>
    <w:rsid w:val="009F654F"/>
    <w:rsid w:val="00A4512D"/>
    <w:rsid w:val="00A607D4"/>
    <w:rsid w:val="00A705AF"/>
    <w:rsid w:val="00AC7A96"/>
    <w:rsid w:val="00B34AFA"/>
    <w:rsid w:val="00B42851"/>
    <w:rsid w:val="00B95830"/>
    <w:rsid w:val="00BB1B5E"/>
    <w:rsid w:val="00BC6210"/>
    <w:rsid w:val="00C65279"/>
    <w:rsid w:val="00C80038"/>
    <w:rsid w:val="00CB0960"/>
    <w:rsid w:val="00CB5B1A"/>
    <w:rsid w:val="00CF02EC"/>
    <w:rsid w:val="00D13B9A"/>
    <w:rsid w:val="00D511DE"/>
    <w:rsid w:val="00DD6EBA"/>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1"/>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TableTextNormal">
    <w:name w:val="Table Text Normal"/>
    <w:basedOn w:val="Normal"/>
    <w:qFormat/>
    <w:rsid w:val="000C4D27"/>
    <w:pPr>
      <w:spacing w:after="80" w:line="240" w:lineRule="exact"/>
    </w:pPr>
    <w:rPr>
      <w:rFonts w:eastAsia="Times New Roman" w:cs="Arial"/>
      <w:color w:val="FFFFFF" w:themeColor="background1"/>
      <w:sz w:val="20"/>
      <w:szCs w:val="20"/>
      <w:lang w:val="en-AU"/>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styleId="BodyText">
    <w:name w:val="Body Text"/>
    <w:basedOn w:val="Normal"/>
    <w:link w:val="BodyTextChar"/>
    <w:uiPriority w:val="1"/>
    <w:qFormat/>
    <w:rsid w:val="0096642C"/>
    <w:pPr>
      <w:widowControl w:val="0"/>
      <w:autoSpaceDE w:val="0"/>
      <w:autoSpaceDN w:val="0"/>
      <w:spacing w:before="60" w:after="60" w:line="240" w:lineRule="auto"/>
      <w:ind w:left="11"/>
    </w:pPr>
    <w:rPr>
      <w:rFonts w:eastAsia="Arial" w:cs="Arial"/>
      <w:color w:val="595958"/>
      <w:szCs w:val="22"/>
      <w:lang w:eastAsia="en-US" w:bidi="en-US"/>
    </w:rPr>
  </w:style>
  <w:style w:type="character" w:customStyle="1" w:styleId="BodyTextChar">
    <w:name w:val="Body Text Char"/>
    <w:basedOn w:val="DefaultParagraphFont"/>
    <w:link w:val="BodyText"/>
    <w:uiPriority w:val="1"/>
    <w:rsid w:val="0096642C"/>
    <w:rPr>
      <w:rFonts w:ascii="Arial" w:eastAsia="Arial" w:hAnsi="Arial" w:cs="Arial"/>
      <w:color w:val="595958"/>
      <w:sz w:val="21"/>
      <w:szCs w:val="22"/>
      <w:lang w:val="en-US" w:eastAsia="en-US" w:bidi="en-US"/>
    </w:rPr>
  </w:style>
  <w:style w:type="paragraph" w:customStyle="1" w:styleId="TableParagraph">
    <w:name w:val="Table Paragraph"/>
    <w:basedOn w:val="Normal"/>
    <w:uiPriority w:val="1"/>
    <w:qFormat/>
    <w:rsid w:val="0096642C"/>
    <w:pPr>
      <w:widowControl w:val="0"/>
      <w:autoSpaceDE w:val="0"/>
      <w:autoSpaceDN w:val="0"/>
      <w:spacing w:before="0" w:line="240" w:lineRule="auto"/>
      <w:jc w:val="center"/>
    </w:pPr>
    <w:rPr>
      <w:rFonts w:eastAsia="Arial" w:cs="Arial"/>
      <w:color w:val="595958"/>
      <w:sz w:val="22"/>
      <w:szCs w:val="22"/>
      <w:lang w:eastAsia="en-US" w:bidi="en-US"/>
    </w:rPr>
  </w:style>
  <w:style w:type="table" w:styleId="TableGrid">
    <w:name w:val="Table Grid"/>
    <w:basedOn w:val="TableNormal"/>
    <w:uiPriority w:val="59"/>
    <w:rsid w:val="0096642C"/>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BodyText"/>
    <w:uiPriority w:val="1"/>
    <w:qFormat/>
    <w:rsid w:val="0096642C"/>
    <w:pPr>
      <w:jc w:val="center"/>
    </w:pPr>
    <w:rPr>
      <w:b/>
      <w:sz w:val="22"/>
    </w:rPr>
  </w:style>
  <w:style w:type="paragraph" w:styleId="Caption">
    <w:name w:val="caption"/>
    <w:basedOn w:val="Normal"/>
    <w:next w:val="Normal"/>
    <w:uiPriority w:val="35"/>
    <w:unhideWhenUsed/>
    <w:qFormat/>
    <w:rsid w:val="0096642C"/>
    <w:pPr>
      <w:keepNext/>
      <w:autoSpaceDE w:val="0"/>
      <w:autoSpaceDN w:val="0"/>
      <w:spacing w:before="0" w:after="120" w:line="240" w:lineRule="auto"/>
    </w:pPr>
    <w:rPr>
      <w:rFonts w:eastAsia="Arial" w:cs="Arial"/>
      <w:b/>
      <w:bCs/>
      <w:color w:val="auto"/>
      <w:sz w:val="18"/>
      <w:szCs w:val="18"/>
      <w:lang w:eastAsia="en-US" w:bidi="en-US"/>
    </w:rPr>
  </w:style>
  <w:style w:type="character" w:styleId="Hyperlink">
    <w:name w:val="Hyperlink"/>
    <w:basedOn w:val="DefaultParagraphFont"/>
    <w:uiPriority w:val="99"/>
    <w:unhideWhenUsed/>
    <w:rsid w:val="0096642C"/>
    <w:rPr>
      <w:color w:val="0000FF" w:themeColor="hyperlink"/>
      <w:u w:val="single"/>
    </w:rPr>
  </w:style>
  <w:style w:type="table" w:customStyle="1" w:styleId="ClinicalStyle">
    <w:name w:val="Clinical Style"/>
    <w:basedOn w:val="TableNormal"/>
    <w:uiPriority w:val="99"/>
    <w:rsid w:val="000C4D27"/>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0C4D27"/>
    <w:pPr>
      <w:spacing w:after="120" w:line="240" w:lineRule="auto"/>
      <w:jc w:val="center"/>
    </w:pPr>
    <w:rPr>
      <w:rFonts w:eastAsia="Times New Roman" w:cs="Times New Roman"/>
      <w:color w:val="595958"/>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rivatehealth.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4B2B0-A312-4448-8D7A-D72F05D1407E}">
  <ds:schemaRefs>
    <ds:schemaRef ds:uri="http://schemas.openxmlformats.org/officeDocument/2006/bibliography"/>
  </ds:schemaRefs>
</ds:datastoreItem>
</file>

<file path=customXml/itemProps2.xml><?xml version="1.0" encoding="utf-8"?>
<ds:datastoreItem xmlns:ds="http://schemas.openxmlformats.org/officeDocument/2006/customXml" ds:itemID="{BA7E92E1-92C3-4016-A770-79C2D89CC24D}"/>
</file>

<file path=customXml/itemProps3.xml><?xml version="1.0" encoding="utf-8"?>
<ds:datastoreItem xmlns:ds="http://schemas.openxmlformats.org/officeDocument/2006/customXml" ds:itemID="{8ECC8AF3-58BB-4B86-BE90-4C3EDD6FFB21}"/>
</file>

<file path=customXml/itemProps4.xml><?xml version="1.0" encoding="utf-8"?>
<ds:datastoreItem xmlns:ds="http://schemas.openxmlformats.org/officeDocument/2006/customXml" ds:itemID="{866A6E4E-E162-4B63-8A5B-EECBA935F84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health insurance reforms: ncreasing voluntary maximum excess levels</vt:lpstr>
    </vt:vector>
  </TitlesOfParts>
  <Company>Dept Health And Ageing</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Information provision</dc:title>
  <dc:subject>Private health insurance reforms</dc:subject>
  <dc:creator>Department of Health</dc:creator>
  <cp:keywords>Private Health Insurance; Reform; Information provision</cp:keywords>
  <dc:description>This factsheet explains the upgrades to the development of a Private Health Information Statement for consumers, and making private health insurance product data publicly available to  improve access to information.</dc:description>
  <cp:lastModifiedBy>People Communication and Paliamentary Division</cp:lastModifiedBy>
  <cp:revision>2</cp:revision>
  <cp:lastPrinted>2018-07-06T01:02:00Z</cp:lastPrinted>
  <dcterms:created xsi:type="dcterms:W3CDTF">2019-01-17T05:10:00Z</dcterms:created>
  <dcterms:modified xsi:type="dcterms:W3CDTF">2019-01-17T05:10:00Z</dcterms:modified>
  <cp:category>Private health insurance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