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52EF" w14:textId="4895C57F" w:rsidR="008F2E23" w:rsidRDefault="008A5F3A" w:rsidP="004F348A">
      <w:pPr>
        <w:pStyle w:val="Heading1"/>
      </w:pPr>
      <w:bookmarkStart w:id="0" w:name="_GoBack"/>
      <w:bookmarkEnd w:id="0"/>
      <w:r w:rsidRPr="004F348A">
        <w:t>Private health insurance reforms:</w:t>
      </w:r>
      <w:r w:rsidR="00B241CC">
        <w:br/>
      </w:r>
      <w:r w:rsidR="000C4D27" w:rsidRPr="000C4D27">
        <w:t>Gold/Silver/Bronze/Basic product tiers</w:t>
      </w:r>
    </w:p>
    <w:p w14:paraId="0E36E99E" w14:textId="15FFE014" w:rsidR="000868B4" w:rsidRDefault="008F3F73" w:rsidP="00A92D8D">
      <w:pPr>
        <w:spacing w:before="240" w:after="240" w:line="312" w:lineRule="auto"/>
      </w:pPr>
      <w:r w:rsidRPr="008F3F73">
        <w:t>The Australian Government has introduced reforms to make private health insurance simpler and help people choose the hospital cover best suited to their needs.</w:t>
      </w:r>
    </w:p>
    <w:p w14:paraId="015AEFEF" w14:textId="76E76E39" w:rsidR="00772EB5" w:rsidRDefault="00981C01" w:rsidP="00A92D8D">
      <w:pPr>
        <w:spacing w:before="240" w:after="240" w:line="312" w:lineRule="auto"/>
      </w:pPr>
      <w:r>
        <w:t>F</w:t>
      </w:r>
      <w:r w:rsidR="008F3F73" w:rsidRPr="008F3F73">
        <w:t xml:space="preserve">or </w:t>
      </w:r>
      <w:r>
        <w:t xml:space="preserve">the first time, </w:t>
      </w:r>
      <w:r w:rsidR="008F3F73" w:rsidRPr="008F3F73">
        <w:t xml:space="preserve">private health insurers </w:t>
      </w:r>
      <w:r>
        <w:t xml:space="preserve">will be required </w:t>
      </w:r>
      <w:r w:rsidR="008F3F73" w:rsidRPr="008F3F73">
        <w:t xml:space="preserve">to classify their private hospital cover into four easy to understand tiers: Gold, Silver, Bronze or Basic. </w:t>
      </w:r>
    </w:p>
    <w:p w14:paraId="34839F58" w14:textId="6AEE1286" w:rsidR="008F3F73" w:rsidRPr="008F3F73" w:rsidRDefault="008F3F73" w:rsidP="00A92D8D">
      <w:pPr>
        <w:spacing w:before="240" w:after="240" w:line="312" w:lineRule="auto"/>
      </w:pPr>
      <w:r w:rsidRPr="008F3F73">
        <w:t>What is, and is not covered in these tiers will be based on new minimum standard clinical categories.</w:t>
      </w:r>
    </w:p>
    <w:p w14:paraId="59787575" w14:textId="144423C1" w:rsidR="008F3F73" w:rsidRPr="008F3F73" w:rsidRDefault="008F3F73" w:rsidP="00A92D8D">
      <w:pPr>
        <w:spacing w:before="240" w:after="240" w:line="312" w:lineRule="auto"/>
      </w:pPr>
      <w:r w:rsidRPr="008F3F73">
        <w:t>Clinical categories are simply types of hospital treatments described in a standard way. If a policy covers a certain clinical category, then it must cover everything described as part of the category – not only some things. For example, ‘bone, joint and muscle’ category, or ‘heart and vascular system’ category. This makes policies easier to compare</w:t>
      </w:r>
      <w:r w:rsidR="0087500E">
        <w:t>.</w:t>
      </w:r>
    </w:p>
    <w:p w14:paraId="7D3EE896" w14:textId="0807B00E" w:rsidR="008F3F73" w:rsidRPr="008F3F73" w:rsidRDefault="0087500E" w:rsidP="00A92D8D">
      <w:pPr>
        <w:spacing w:before="240" w:after="240" w:line="312" w:lineRule="auto"/>
      </w:pPr>
      <w:r>
        <w:t>P</w:t>
      </w:r>
      <w:r w:rsidR="008F3F73" w:rsidRPr="008F3F73">
        <w:t>rivate health insurers will place all policies into one of these tiers –</w:t>
      </w:r>
      <w:r w:rsidR="00A45D64">
        <w:t xml:space="preserve"> Gold, Silver, Bronze or Basic</w:t>
      </w:r>
      <w:r>
        <w:t>, and</w:t>
      </w:r>
      <w:r w:rsidR="008F3F73" w:rsidRPr="008F3F73">
        <w:t xml:space="preserve"> will tell people where their policy has been placed</w:t>
      </w:r>
      <w:r>
        <w:t>.</w:t>
      </w:r>
      <w:r w:rsidR="008F3F73" w:rsidRPr="008F3F73">
        <w:t xml:space="preserve"> </w:t>
      </w:r>
      <w:r>
        <w:t>People can then check if the cover is right for their needs.</w:t>
      </w:r>
    </w:p>
    <w:p w14:paraId="17F5F951" w14:textId="6ADB0576" w:rsidR="008F3F73" w:rsidRPr="008F3F73" w:rsidRDefault="008F3F73" w:rsidP="00A92D8D">
      <w:pPr>
        <w:spacing w:before="240" w:after="240" w:line="312" w:lineRule="auto"/>
      </w:pPr>
      <w:r w:rsidRPr="008F3F73">
        <w:t xml:space="preserve">The tiers are intended to </w:t>
      </w:r>
      <w:r w:rsidR="00690593">
        <w:t>mandate minimum</w:t>
      </w:r>
      <w:r w:rsidRPr="008F3F73">
        <w:t xml:space="preserve"> service coverage generally reflecting the existing </w:t>
      </w:r>
      <w:r w:rsidR="00D97550">
        <w:t xml:space="preserve">range of </w:t>
      </w:r>
      <w:r w:rsidRPr="008F3F73">
        <w:t xml:space="preserve">health insurance </w:t>
      </w:r>
      <w:r w:rsidR="0087500E">
        <w:t>policies</w:t>
      </w:r>
      <w:r w:rsidRPr="008F3F73">
        <w:t>. Insurers will continue to be able to offer additional coverage above the minimum requirements in Basic Plus (+), Bronze Plus (+) and Silver Plus (+) product tiers.</w:t>
      </w:r>
    </w:p>
    <w:p w14:paraId="63A41804" w14:textId="77777777" w:rsidR="000868B4" w:rsidRDefault="008F3F73" w:rsidP="00A92D8D">
      <w:pPr>
        <w:spacing w:before="240" w:after="240" w:line="312" w:lineRule="auto"/>
      </w:pPr>
      <w:r w:rsidRPr="008F3F73">
        <w:t>Health insurers have until 1 April 2020 to introduce the tiers and clinical categories.</w:t>
      </w:r>
    </w:p>
    <w:p w14:paraId="67548EDE" w14:textId="458392D0" w:rsidR="000868B4" w:rsidRDefault="000868B4" w:rsidP="00A92D8D">
      <w:pPr>
        <w:spacing w:before="240" w:after="240" w:line="312" w:lineRule="auto"/>
      </w:pPr>
      <w:r>
        <w:t>Clinical categories can be either ‘restricted’ (R) or ‘unrestricted’. This refers to the level of benefits paid for hospital costs (e.g. hospital accommodation, operating theatre fees, prosthesis costs), which are separate to doctors’ fees.</w:t>
      </w:r>
    </w:p>
    <w:p w14:paraId="31F9CA38" w14:textId="77777777" w:rsidR="000868B4" w:rsidRDefault="000868B4" w:rsidP="00A92D8D">
      <w:pPr>
        <w:spacing w:before="240" w:after="240" w:line="312" w:lineRule="auto"/>
      </w:pPr>
      <w:r>
        <w:t>For clinical categories listed as ‘restricted’ insurers pay only a limited amount for private hospital costs, which means people are likely to face substantial out of pocket expenses.</w:t>
      </w:r>
    </w:p>
    <w:p w14:paraId="56CF8B94" w14:textId="77777777" w:rsidR="000868B4" w:rsidRDefault="000868B4" w:rsidP="00A92D8D">
      <w:pPr>
        <w:spacing w:before="240" w:after="240" w:line="312" w:lineRule="auto"/>
      </w:pPr>
      <w:r>
        <w:t>For unrestricted categories, insurers and most hospitals have agreements meaning people don’t pay out of pocket hospital costs, other than any excess or fixed copayment amount.</w:t>
      </w:r>
    </w:p>
    <w:p w14:paraId="732A804F" w14:textId="3C7FE9C0" w:rsidR="000868B4" w:rsidRDefault="000868B4" w:rsidP="00A92D8D">
      <w:pPr>
        <w:spacing w:before="240" w:after="240" w:line="312" w:lineRule="auto"/>
      </w:pPr>
      <w:r>
        <w:t>Out of pocket costs for doctors’ fees may also be payable if a doctor charges more than the Medicare Benefits Schedule fee and the insurer covers only part of the remaining payment.</w:t>
      </w:r>
    </w:p>
    <w:p w14:paraId="08951BAD" w14:textId="77777777" w:rsidR="006A25C6" w:rsidRDefault="000868B4" w:rsidP="006A25C6">
      <w:pPr>
        <w:spacing w:before="240" w:after="240" w:line="312" w:lineRule="auto"/>
      </w:pPr>
      <w:r>
        <w:t xml:space="preserve">The product tiers and minimum clinical categories are set out in the table </w:t>
      </w:r>
      <w:r w:rsidR="006A25C6">
        <w:t>below</w:t>
      </w:r>
      <w:r>
        <w:t xml:space="preserve">. </w:t>
      </w:r>
    </w:p>
    <w:p w14:paraId="10846922" w14:textId="2F41C0FB" w:rsidR="000C4D27" w:rsidRDefault="000C4D27" w:rsidP="006A25C6">
      <w:pPr>
        <w:pStyle w:val="Heading2"/>
      </w:pPr>
      <w:r>
        <w:lastRenderedPageBreak/>
        <w:t>Hos</w:t>
      </w:r>
      <w:r w:rsidRPr="000C4D27">
        <w:t>pital Treatment Product Tiers – Gold, Silver, Bronze and Basic</w:t>
      </w:r>
    </w:p>
    <w:p w14:paraId="4E54C8E5" w14:textId="5F7E348F" w:rsidR="0087500E" w:rsidRPr="0087500E" w:rsidRDefault="0087500E" w:rsidP="00A92D8D">
      <w:r w:rsidRPr="0087500E">
        <w:rPr>
          <w:noProof/>
          <w:lang w:val="en-AU"/>
        </w:rPr>
        <w:drawing>
          <wp:inline distT="0" distB="0" distL="0" distR="0" wp14:anchorId="5F7462AF" wp14:editId="0FDD4973">
            <wp:extent cx="5850890" cy="5917104"/>
            <wp:effectExtent l="0" t="0" r="0" b="7620"/>
            <wp:docPr id="5" name="Picture 5" descr="This table explains the Gold, Silver, Bronze and Basic hospital treatment product t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DOH0004_PHI_Reforms_Tabl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890" cy="5917104"/>
                    </a:xfrm>
                    <a:prstGeom prst="rect">
                      <a:avLst/>
                    </a:prstGeom>
                    <a:noFill/>
                    <a:ln>
                      <a:noFill/>
                    </a:ln>
                  </pic:spPr>
                </pic:pic>
              </a:graphicData>
            </a:graphic>
          </wp:inline>
        </w:drawing>
      </w:r>
    </w:p>
    <w:p w14:paraId="78571B82" w14:textId="77777777" w:rsidR="00A45D64" w:rsidRDefault="00A45D64" w:rsidP="00A45D64">
      <w:pPr>
        <w:pStyle w:val="Heading2"/>
      </w:pPr>
      <w:r>
        <w:t>Who will benefit</w:t>
      </w:r>
      <w:r w:rsidRPr="008F2E23">
        <w:t>?</w:t>
      </w:r>
    </w:p>
    <w:p w14:paraId="40C73E84" w14:textId="77777777" w:rsidR="00A45D64" w:rsidRPr="008F3F73" w:rsidRDefault="00A45D64" w:rsidP="00B241CC">
      <w:r w:rsidRPr="008F3F73">
        <w:t>The new product tiers and clinical categories will give people greater certainty about the services covered by each type of private hospital cover.</w:t>
      </w:r>
    </w:p>
    <w:p w14:paraId="36B62FBC" w14:textId="77777777" w:rsidR="00A45D64" w:rsidRPr="008F3F73" w:rsidRDefault="00A45D64" w:rsidP="00A45D64">
      <w:r w:rsidRPr="008F3F73">
        <w:t>The changes will make it easier to shop around and compare different hospital policies to find one that meets a person’s or a family’s needs.</w:t>
      </w:r>
    </w:p>
    <w:p w14:paraId="06521AB7" w14:textId="77777777" w:rsidR="00A45D64" w:rsidRDefault="00A45D64" w:rsidP="00A45D64">
      <w:pPr>
        <w:pStyle w:val="Heading2"/>
      </w:pPr>
      <w:r>
        <w:t>More information</w:t>
      </w:r>
    </w:p>
    <w:p w14:paraId="43F1487B" w14:textId="00C7B57A" w:rsidR="00A45D64" w:rsidRPr="000C4D27" w:rsidRDefault="00A45D64" w:rsidP="00A45D64">
      <w:r w:rsidRPr="00A45D64">
        <w:t>For more information visit health.gov.au</w:t>
      </w:r>
      <w:r w:rsidR="00772EB5">
        <w:t>/private-health-reforms</w:t>
      </w:r>
    </w:p>
    <w:sectPr w:rsidR="00A45D64" w:rsidRPr="000C4D27" w:rsidSect="00CF02EC">
      <w:footerReference w:type="default" r:id="rId12"/>
      <w:footerReference w:type="first" r:id="rId13"/>
      <w:pgSz w:w="11906" w:h="16838"/>
      <w:pgMar w:top="851" w:right="1558" w:bottom="1418" w:left="1134" w:header="226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241C" w14:textId="77777777" w:rsidR="00865937" w:rsidRDefault="00865937" w:rsidP="004F348A">
      <w:r>
        <w:separator/>
      </w:r>
    </w:p>
  </w:endnote>
  <w:endnote w:type="continuationSeparator" w:id="0">
    <w:p w14:paraId="42311580" w14:textId="77777777" w:rsidR="00865937" w:rsidRDefault="00865937" w:rsidP="004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73967"/>
      <w:docPartObj>
        <w:docPartGallery w:val="Page Numbers (Bottom of Page)"/>
        <w:docPartUnique/>
      </w:docPartObj>
    </w:sdtPr>
    <w:sdtEndPr>
      <w:rPr>
        <w:noProof/>
      </w:rPr>
    </w:sdtEndPr>
    <w:sdtContent>
      <w:p w14:paraId="565350D1" w14:textId="7F679770" w:rsidR="00DD6EBA" w:rsidRPr="00033A2E" w:rsidRDefault="00CF02EC" w:rsidP="004F348A">
        <w:pPr>
          <w:pStyle w:val="Footer"/>
        </w:pPr>
        <w:r w:rsidRPr="00CF02EC">
          <w:t>Private health insurance – simpler, more affordable</w:t>
        </w:r>
        <w:r w:rsidR="00790DD7" w:rsidRPr="00033A2E">
          <w:tab/>
        </w:r>
        <w:r w:rsidR="00790DD7" w:rsidRPr="00033A2E">
          <w:fldChar w:fldCharType="begin"/>
        </w:r>
        <w:r w:rsidR="00790DD7" w:rsidRPr="00033A2E">
          <w:instrText xml:space="preserve"> PAGE   \* MERGEFORMAT </w:instrText>
        </w:r>
        <w:r w:rsidR="00790DD7" w:rsidRPr="00033A2E">
          <w:fldChar w:fldCharType="separate"/>
        </w:r>
        <w:r w:rsidR="00074490">
          <w:rPr>
            <w:noProof/>
          </w:rPr>
          <w:t>2</w:t>
        </w:r>
        <w:r w:rsidR="00790DD7" w:rsidRPr="00033A2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01840"/>
      <w:docPartObj>
        <w:docPartGallery w:val="Page Numbers (Bottom of Page)"/>
        <w:docPartUnique/>
      </w:docPartObj>
    </w:sdtPr>
    <w:sdtEndPr>
      <w:rPr>
        <w:noProof/>
      </w:rPr>
    </w:sdtEndPr>
    <w:sdtContent>
      <w:p w14:paraId="0AA31A81" w14:textId="30936B26" w:rsidR="005F5857" w:rsidRPr="005F5857" w:rsidRDefault="008F3F73" w:rsidP="004F348A">
        <w:pPr>
          <w:pStyle w:val="Footer"/>
        </w:pPr>
        <w:r w:rsidRPr="008F3F73">
          <w:t>Product tiers and clinical categories</w:t>
        </w:r>
        <w:r>
          <w:tab/>
        </w:r>
        <w:r w:rsidR="005F5857" w:rsidRPr="00033A2E">
          <w:tab/>
        </w:r>
        <w:r w:rsidR="005F5857" w:rsidRPr="00033A2E">
          <w:fldChar w:fldCharType="begin"/>
        </w:r>
        <w:r w:rsidR="005F5857" w:rsidRPr="00033A2E">
          <w:instrText xml:space="preserve"> PAGE   \* MERGEFORMAT </w:instrText>
        </w:r>
        <w:r w:rsidR="005F5857" w:rsidRPr="00033A2E">
          <w:fldChar w:fldCharType="separate"/>
        </w:r>
        <w:r w:rsidR="00074490">
          <w:rPr>
            <w:noProof/>
          </w:rPr>
          <w:t>1</w:t>
        </w:r>
        <w:r w:rsidR="005F5857" w:rsidRPr="00033A2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66DB9" w14:textId="77777777" w:rsidR="00865937" w:rsidRDefault="00865937" w:rsidP="004F348A">
      <w:r>
        <w:separator/>
      </w:r>
    </w:p>
  </w:footnote>
  <w:footnote w:type="continuationSeparator" w:id="0">
    <w:p w14:paraId="30BEA673" w14:textId="77777777" w:rsidR="00865937" w:rsidRDefault="00865937" w:rsidP="004F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pStyle w:val="ListNumber"/>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pStyle w:val="ListBullet"/>
      <w:lvlText w:val=""/>
      <w:lvlJc w:val="left"/>
      <w:pPr>
        <w:ind w:left="360" w:hanging="360"/>
      </w:pPr>
      <w:rPr>
        <w:rFonts w:ascii="Symbol" w:hAnsi="Symbol" w:hint="default"/>
        <w:color w:val="005B9B"/>
      </w:rPr>
    </w:lvl>
  </w:abstractNum>
  <w:abstractNum w:abstractNumId="3" w15:restartNumberingAfterBreak="0">
    <w:nsid w:val="23D85D92"/>
    <w:multiLevelType w:val="hybridMultilevel"/>
    <w:tmpl w:val="DF24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5CC6AF52"/>
    <w:lvl w:ilvl="0" w:tplc="37646A60">
      <w:start w:val="1"/>
      <w:numFmt w:val="bullet"/>
      <w:pStyle w:val="ListNumber2"/>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82E07"/>
    <w:multiLevelType w:val="hybridMultilevel"/>
    <w:tmpl w:val="80FCC754"/>
    <w:lvl w:ilvl="0" w:tplc="5A12D7BC">
      <w:numFmt w:val="bullet"/>
      <w:lvlText w:val=""/>
      <w:lvlJc w:val="left"/>
      <w:pPr>
        <w:ind w:left="470" w:hanging="358"/>
      </w:pPr>
      <w:rPr>
        <w:rFonts w:ascii="Symbol" w:eastAsia="Symbol" w:hAnsi="Symbol" w:cs="Symbol" w:hint="default"/>
        <w:color w:val="005B9B"/>
        <w:w w:val="100"/>
        <w:sz w:val="21"/>
        <w:szCs w:val="21"/>
        <w:lang w:val="en-US" w:eastAsia="en-US" w:bidi="en-US"/>
      </w:rPr>
    </w:lvl>
    <w:lvl w:ilvl="1" w:tplc="A64C398C">
      <w:numFmt w:val="bullet"/>
      <w:lvlText w:val="•"/>
      <w:lvlJc w:val="left"/>
      <w:pPr>
        <w:ind w:left="1404" w:hanging="358"/>
      </w:pPr>
      <w:rPr>
        <w:rFonts w:hint="default"/>
        <w:lang w:val="en-US" w:eastAsia="en-US" w:bidi="en-US"/>
      </w:rPr>
    </w:lvl>
    <w:lvl w:ilvl="2" w:tplc="FA68225E">
      <w:numFmt w:val="bullet"/>
      <w:lvlText w:val="•"/>
      <w:lvlJc w:val="left"/>
      <w:pPr>
        <w:ind w:left="2329" w:hanging="358"/>
      </w:pPr>
      <w:rPr>
        <w:rFonts w:hint="default"/>
        <w:lang w:val="en-US" w:eastAsia="en-US" w:bidi="en-US"/>
      </w:rPr>
    </w:lvl>
    <w:lvl w:ilvl="3" w:tplc="B5CE1F88">
      <w:numFmt w:val="bullet"/>
      <w:lvlText w:val="•"/>
      <w:lvlJc w:val="left"/>
      <w:pPr>
        <w:ind w:left="3253" w:hanging="358"/>
      </w:pPr>
      <w:rPr>
        <w:rFonts w:hint="default"/>
        <w:lang w:val="en-US" w:eastAsia="en-US" w:bidi="en-US"/>
      </w:rPr>
    </w:lvl>
    <w:lvl w:ilvl="4" w:tplc="14182B1A">
      <w:numFmt w:val="bullet"/>
      <w:lvlText w:val="•"/>
      <w:lvlJc w:val="left"/>
      <w:pPr>
        <w:ind w:left="4178" w:hanging="358"/>
      </w:pPr>
      <w:rPr>
        <w:rFonts w:hint="default"/>
        <w:lang w:val="en-US" w:eastAsia="en-US" w:bidi="en-US"/>
      </w:rPr>
    </w:lvl>
    <w:lvl w:ilvl="5" w:tplc="F4784BF0">
      <w:numFmt w:val="bullet"/>
      <w:lvlText w:val="•"/>
      <w:lvlJc w:val="left"/>
      <w:pPr>
        <w:ind w:left="5103" w:hanging="358"/>
      </w:pPr>
      <w:rPr>
        <w:rFonts w:hint="default"/>
        <w:lang w:val="en-US" w:eastAsia="en-US" w:bidi="en-US"/>
      </w:rPr>
    </w:lvl>
    <w:lvl w:ilvl="6" w:tplc="C652BC66">
      <w:numFmt w:val="bullet"/>
      <w:lvlText w:val="•"/>
      <w:lvlJc w:val="left"/>
      <w:pPr>
        <w:ind w:left="6027" w:hanging="358"/>
      </w:pPr>
      <w:rPr>
        <w:rFonts w:hint="default"/>
        <w:lang w:val="en-US" w:eastAsia="en-US" w:bidi="en-US"/>
      </w:rPr>
    </w:lvl>
    <w:lvl w:ilvl="7" w:tplc="1616A864">
      <w:numFmt w:val="bullet"/>
      <w:lvlText w:val="•"/>
      <w:lvlJc w:val="left"/>
      <w:pPr>
        <w:ind w:left="6952" w:hanging="358"/>
      </w:pPr>
      <w:rPr>
        <w:rFonts w:hint="default"/>
        <w:lang w:val="en-US" w:eastAsia="en-US" w:bidi="en-US"/>
      </w:rPr>
    </w:lvl>
    <w:lvl w:ilvl="8" w:tplc="822C6362">
      <w:numFmt w:val="bullet"/>
      <w:lvlText w:val="•"/>
      <w:lvlJc w:val="left"/>
      <w:pPr>
        <w:ind w:left="7877" w:hanging="358"/>
      </w:pPr>
      <w:rPr>
        <w:rFonts w:hint="default"/>
        <w:lang w:val="en-US" w:eastAsia="en-US" w:bidi="en-US"/>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33A2E"/>
    <w:rsid w:val="00061AF3"/>
    <w:rsid w:val="00067456"/>
    <w:rsid w:val="00074490"/>
    <w:rsid w:val="000868B4"/>
    <w:rsid w:val="000A35FD"/>
    <w:rsid w:val="000C4D27"/>
    <w:rsid w:val="001B3443"/>
    <w:rsid w:val="001D095A"/>
    <w:rsid w:val="001E2491"/>
    <w:rsid w:val="001E265E"/>
    <w:rsid w:val="002B3DEA"/>
    <w:rsid w:val="002E2D16"/>
    <w:rsid w:val="002F3AE3"/>
    <w:rsid w:val="0030786C"/>
    <w:rsid w:val="003202F6"/>
    <w:rsid w:val="00372CD7"/>
    <w:rsid w:val="003D17F9"/>
    <w:rsid w:val="003E071D"/>
    <w:rsid w:val="00440060"/>
    <w:rsid w:val="004867E2"/>
    <w:rsid w:val="004D415C"/>
    <w:rsid w:val="004F348A"/>
    <w:rsid w:val="00515EFA"/>
    <w:rsid w:val="00545812"/>
    <w:rsid w:val="00591CAB"/>
    <w:rsid w:val="005A64BB"/>
    <w:rsid w:val="005F5857"/>
    <w:rsid w:val="006306CE"/>
    <w:rsid w:val="006468FD"/>
    <w:rsid w:val="00656763"/>
    <w:rsid w:val="00690593"/>
    <w:rsid w:val="006A25C6"/>
    <w:rsid w:val="00724B94"/>
    <w:rsid w:val="00725CD1"/>
    <w:rsid w:val="00772EB5"/>
    <w:rsid w:val="00790DD7"/>
    <w:rsid w:val="008264EB"/>
    <w:rsid w:val="00865937"/>
    <w:rsid w:val="0087500E"/>
    <w:rsid w:val="008A5F3A"/>
    <w:rsid w:val="008F2E23"/>
    <w:rsid w:val="008F3F73"/>
    <w:rsid w:val="00905865"/>
    <w:rsid w:val="00927786"/>
    <w:rsid w:val="0096642C"/>
    <w:rsid w:val="00981C01"/>
    <w:rsid w:val="009F654F"/>
    <w:rsid w:val="00A4512D"/>
    <w:rsid w:val="00A45D64"/>
    <w:rsid w:val="00A705AF"/>
    <w:rsid w:val="00A92D8D"/>
    <w:rsid w:val="00AF5FA9"/>
    <w:rsid w:val="00B241CC"/>
    <w:rsid w:val="00B34AFA"/>
    <w:rsid w:val="00B42851"/>
    <w:rsid w:val="00B84243"/>
    <w:rsid w:val="00B95830"/>
    <w:rsid w:val="00BB1B5E"/>
    <w:rsid w:val="00BC6210"/>
    <w:rsid w:val="00C65279"/>
    <w:rsid w:val="00C80038"/>
    <w:rsid w:val="00CB0960"/>
    <w:rsid w:val="00CB5B1A"/>
    <w:rsid w:val="00CF02EC"/>
    <w:rsid w:val="00D13B9A"/>
    <w:rsid w:val="00D511DE"/>
    <w:rsid w:val="00D97550"/>
    <w:rsid w:val="00DA0AE7"/>
    <w:rsid w:val="00DA15A1"/>
    <w:rsid w:val="00DD6EBA"/>
    <w:rsid w:val="00F618E5"/>
    <w:rsid w:val="00F77677"/>
    <w:rsid w:val="00F93440"/>
    <w:rsid w:val="00FC2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867E799"/>
  <w15:docId w15:val="{BE6787DE-91AD-443E-B336-1751203B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DA15A1"/>
    <w:pPr>
      <w:keepNext/>
      <w:keepLines/>
      <w:spacing w:before="480" w:after="360"/>
      <w:outlineLvl w:val="0"/>
    </w:pPr>
    <w:rPr>
      <w:rFonts w:ascii="Arial" w:eastAsia="MS Gothic" w:hAnsi="Arial" w:cstheme="majorBidi"/>
      <w:color w:val="31849B" w:themeColor="accent5" w:themeShade="BF"/>
      <w:sz w:val="40"/>
      <w:szCs w:val="36"/>
      <w:lang w:val="en-US"/>
    </w:rPr>
  </w:style>
  <w:style w:type="paragraph" w:styleId="Heading2">
    <w:name w:val="heading 2"/>
    <w:basedOn w:val="Normal"/>
    <w:next w:val="Normal"/>
    <w:link w:val="Heading2Char"/>
    <w:uiPriority w:val="9"/>
    <w:unhideWhenUsed/>
    <w:qFormat/>
    <w:rsid w:val="00DA15A1"/>
    <w:pPr>
      <w:keepNext/>
      <w:keepLines/>
      <w:spacing w:before="240" w:after="120" w:line="240" w:lineRule="auto"/>
      <w:outlineLvl w:val="1"/>
    </w:pPr>
    <w:rPr>
      <w:rFonts w:eastAsia="MS Gothic"/>
      <w:bCs/>
      <w:color w:val="31849B" w:themeColor="accent5" w:themeShade="BF"/>
      <w:sz w:val="26"/>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TableTextNormal">
    <w:name w:val="Table Text Normal"/>
    <w:basedOn w:val="Normal"/>
    <w:qFormat/>
    <w:rsid w:val="000C4D27"/>
    <w:pPr>
      <w:spacing w:after="80" w:line="240" w:lineRule="exact"/>
    </w:pPr>
    <w:rPr>
      <w:rFonts w:eastAsia="Times New Roman" w:cs="Arial"/>
      <w:color w:val="FFFFFF" w:themeColor="background1"/>
      <w:sz w:val="20"/>
      <w:szCs w:val="20"/>
      <w:lang w:val="en-AU"/>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DA15A1"/>
    <w:rPr>
      <w:rFonts w:ascii="Arial" w:eastAsia="MS Gothic" w:hAnsi="Arial" w:cstheme="majorBidi"/>
      <w:color w:val="31849B" w:themeColor="accent5" w:themeShade="BF"/>
      <w:sz w:val="40"/>
      <w:szCs w:val="36"/>
      <w:lang w:val="en-US"/>
    </w:rPr>
  </w:style>
  <w:style w:type="character" w:customStyle="1" w:styleId="Heading2Char">
    <w:name w:val="Heading 2 Char"/>
    <w:basedOn w:val="DefaultParagraphFont"/>
    <w:link w:val="Heading2"/>
    <w:uiPriority w:val="9"/>
    <w:rsid w:val="00DA15A1"/>
    <w:rPr>
      <w:rFonts w:ascii="Arial" w:eastAsia="MS Gothic" w:hAnsi="Arial"/>
      <w:bCs/>
      <w:color w:val="31849B" w:themeColor="accent5" w:themeShade="BF"/>
      <w:sz w:val="26"/>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styleId="BodyText">
    <w:name w:val="Body Text"/>
    <w:basedOn w:val="Normal"/>
    <w:link w:val="BodyTextChar"/>
    <w:uiPriority w:val="1"/>
    <w:qFormat/>
    <w:rsid w:val="0096642C"/>
    <w:pPr>
      <w:widowControl w:val="0"/>
      <w:autoSpaceDE w:val="0"/>
      <w:autoSpaceDN w:val="0"/>
      <w:spacing w:before="60" w:after="60" w:line="240" w:lineRule="auto"/>
      <w:ind w:left="11"/>
    </w:pPr>
    <w:rPr>
      <w:rFonts w:eastAsia="Arial" w:cs="Arial"/>
      <w:color w:val="595958"/>
      <w:szCs w:val="22"/>
      <w:lang w:eastAsia="en-US" w:bidi="en-US"/>
    </w:rPr>
  </w:style>
  <w:style w:type="character" w:customStyle="1" w:styleId="BodyTextChar">
    <w:name w:val="Body Text Char"/>
    <w:basedOn w:val="DefaultParagraphFont"/>
    <w:link w:val="BodyText"/>
    <w:uiPriority w:val="1"/>
    <w:rsid w:val="0096642C"/>
    <w:rPr>
      <w:rFonts w:ascii="Arial" w:eastAsia="Arial" w:hAnsi="Arial" w:cs="Arial"/>
      <w:color w:val="595958"/>
      <w:sz w:val="21"/>
      <w:szCs w:val="22"/>
      <w:lang w:val="en-US" w:eastAsia="en-US" w:bidi="en-US"/>
    </w:rPr>
  </w:style>
  <w:style w:type="paragraph" w:customStyle="1" w:styleId="TableParagraph">
    <w:name w:val="Table Paragraph"/>
    <w:basedOn w:val="Normal"/>
    <w:uiPriority w:val="1"/>
    <w:qFormat/>
    <w:rsid w:val="0096642C"/>
    <w:pPr>
      <w:widowControl w:val="0"/>
      <w:autoSpaceDE w:val="0"/>
      <w:autoSpaceDN w:val="0"/>
      <w:spacing w:before="0" w:line="240" w:lineRule="auto"/>
      <w:jc w:val="center"/>
    </w:pPr>
    <w:rPr>
      <w:rFonts w:eastAsia="Arial" w:cs="Arial"/>
      <w:color w:val="595958"/>
      <w:sz w:val="22"/>
      <w:szCs w:val="22"/>
      <w:lang w:eastAsia="en-US" w:bidi="en-US"/>
    </w:rPr>
  </w:style>
  <w:style w:type="table" w:styleId="TableGrid">
    <w:name w:val="Table Grid"/>
    <w:basedOn w:val="TableNormal"/>
    <w:uiPriority w:val="59"/>
    <w:rsid w:val="0096642C"/>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1"/>
    <w:qFormat/>
    <w:rsid w:val="0096642C"/>
    <w:pPr>
      <w:jc w:val="center"/>
    </w:pPr>
    <w:rPr>
      <w:b/>
      <w:sz w:val="22"/>
    </w:rPr>
  </w:style>
  <w:style w:type="paragraph" w:styleId="Caption">
    <w:name w:val="caption"/>
    <w:basedOn w:val="Normal"/>
    <w:next w:val="Normal"/>
    <w:uiPriority w:val="35"/>
    <w:unhideWhenUsed/>
    <w:qFormat/>
    <w:rsid w:val="0096642C"/>
    <w:pPr>
      <w:keepNext/>
      <w:autoSpaceDE w:val="0"/>
      <w:autoSpaceDN w:val="0"/>
      <w:spacing w:before="0" w:after="120" w:line="240" w:lineRule="auto"/>
    </w:pPr>
    <w:rPr>
      <w:rFonts w:eastAsia="Arial" w:cs="Arial"/>
      <w:b/>
      <w:bCs/>
      <w:color w:val="auto"/>
      <w:sz w:val="18"/>
      <w:szCs w:val="18"/>
      <w:lang w:eastAsia="en-US" w:bidi="en-US"/>
    </w:rPr>
  </w:style>
  <w:style w:type="character" w:styleId="Hyperlink">
    <w:name w:val="Hyperlink"/>
    <w:basedOn w:val="DefaultParagraphFont"/>
    <w:uiPriority w:val="99"/>
    <w:unhideWhenUsed/>
    <w:rsid w:val="0096642C"/>
    <w:rPr>
      <w:color w:val="0000FF" w:themeColor="hyperlink"/>
      <w:u w:val="single"/>
    </w:rPr>
  </w:style>
  <w:style w:type="table" w:customStyle="1" w:styleId="ClinicalStyle">
    <w:name w:val="Clinical Style"/>
    <w:basedOn w:val="TableNormal"/>
    <w:uiPriority w:val="99"/>
    <w:rsid w:val="000C4D27"/>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0C4D27"/>
    <w:pPr>
      <w:spacing w:after="120" w:line="240" w:lineRule="auto"/>
      <w:jc w:val="center"/>
    </w:pPr>
    <w:rPr>
      <w:rFonts w:eastAsia="Times New Roman" w:cs="Times New Roman"/>
      <w:color w:val="595958"/>
      <w:sz w:val="22"/>
      <w:szCs w:val="20"/>
      <w:lang w:val="en-AU"/>
    </w:rPr>
  </w:style>
  <w:style w:type="character" w:styleId="CommentReference">
    <w:name w:val="annotation reference"/>
    <w:basedOn w:val="DefaultParagraphFont"/>
    <w:semiHidden/>
    <w:unhideWhenUsed/>
    <w:rsid w:val="00772EB5"/>
    <w:rPr>
      <w:sz w:val="16"/>
      <w:szCs w:val="16"/>
    </w:rPr>
  </w:style>
  <w:style w:type="paragraph" w:styleId="CommentText">
    <w:name w:val="annotation text"/>
    <w:basedOn w:val="Normal"/>
    <w:link w:val="CommentTextChar"/>
    <w:semiHidden/>
    <w:unhideWhenUsed/>
    <w:rsid w:val="00772EB5"/>
    <w:pPr>
      <w:spacing w:line="240" w:lineRule="auto"/>
    </w:pPr>
    <w:rPr>
      <w:sz w:val="20"/>
      <w:szCs w:val="20"/>
    </w:rPr>
  </w:style>
  <w:style w:type="character" w:customStyle="1" w:styleId="CommentTextChar">
    <w:name w:val="Comment Text Char"/>
    <w:basedOn w:val="DefaultParagraphFont"/>
    <w:link w:val="CommentText"/>
    <w:semiHidden/>
    <w:rsid w:val="00772EB5"/>
    <w:rPr>
      <w:rFonts w:ascii="Arial" w:hAnsi="Arial"/>
      <w:color w:val="595959" w:themeColor="text1" w:themeTint="A6"/>
      <w:sz w:val="20"/>
      <w:szCs w:val="20"/>
      <w:lang w:val="en-US"/>
    </w:rPr>
  </w:style>
  <w:style w:type="paragraph" w:styleId="CommentSubject">
    <w:name w:val="annotation subject"/>
    <w:basedOn w:val="CommentText"/>
    <w:next w:val="CommentText"/>
    <w:link w:val="CommentSubjectChar"/>
    <w:semiHidden/>
    <w:unhideWhenUsed/>
    <w:rsid w:val="00772EB5"/>
    <w:rPr>
      <w:b/>
      <w:bCs/>
    </w:rPr>
  </w:style>
  <w:style w:type="character" w:customStyle="1" w:styleId="CommentSubjectChar">
    <w:name w:val="Comment Subject Char"/>
    <w:basedOn w:val="CommentTextChar"/>
    <w:link w:val="CommentSubject"/>
    <w:semiHidden/>
    <w:rsid w:val="00772EB5"/>
    <w:rPr>
      <w:rFonts w:ascii="Arial" w:hAnsi="Arial"/>
      <w:b/>
      <w:bCs/>
      <w:color w:val="595959" w:themeColor="text1" w:themeTint="A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6A67-01A9-459B-A877-3E757419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33FA41-2C96-4232-87E0-76D92948AA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86C24B5-47FC-4A94-B741-C69466FF59C6}">
  <ds:schemaRefs>
    <ds:schemaRef ds:uri="http://schemas.microsoft.com/sharepoint/v3/contenttype/forms"/>
  </ds:schemaRefs>
</ds:datastoreItem>
</file>

<file path=customXml/itemProps4.xml><?xml version="1.0" encoding="utf-8"?>
<ds:datastoreItem xmlns:ds="http://schemas.openxmlformats.org/officeDocument/2006/customXml" ds:itemID="{D02AC635-AADE-4E32-B646-D67E3366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2371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Private health insurance reforms: Gold/Silver/Bronze/Basic product tiers</vt:lpstr>
    </vt:vector>
  </TitlesOfParts>
  <Company>Dept Health And Ageing</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reforms: Gold/Silver/Bronze/Basic product tiers</dc:title>
  <dc:subject>Private health insurance reforms</dc:subject>
  <dc:creator>Department of Health</dc:creator>
  <cp:keywords>Private health insurance; reforms; product tiers</cp:keywords>
  <dc:description>This factsheet explains how the new system for categorising hospital products will be introduced from 2019.</dc:description>
  <cp:lastModifiedBy>Chan, Sharon</cp:lastModifiedBy>
  <cp:revision>2</cp:revision>
  <cp:lastPrinted>2018-07-06T01:02:00Z</cp:lastPrinted>
  <dcterms:created xsi:type="dcterms:W3CDTF">2019-04-12T01:25:00Z</dcterms:created>
  <dcterms:modified xsi:type="dcterms:W3CDTF">2019-04-12T01:25:00Z</dcterms:modified>
  <cp:category>Private health 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