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EA" w:rsidRPr="00AF29E8" w:rsidRDefault="00D848EA" w:rsidP="00AF29E8">
      <w:pPr>
        <w:pStyle w:val="Heading1"/>
      </w:pPr>
      <w:r w:rsidRPr="00AF29E8">
        <w:t>Cigarette paper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Cigarette paper"/>
        <w:tblDescription w:val="Composite list of non-tobacco ingredients - cigarette paper"/>
      </w:tblPr>
      <w:tblGrid>
        <w:gridCol w:w="6991"/>
        <w:gridCol w:w="7003"/>
      </w:tblGrid>
      <w:tr w:rsidR="00D848EA" w:rsidTr="00717DFE">
        <w:trPr>
          <w:trHeight w:val="567"/>
          <w:tblHeader/>
        </w:trPr>
        <w:tc>
          <w:tcPr>
            <w:tcW w:w="2498" w:type="pct"/>
            <w:shd w:val="clear" w:color="auto" w:fill="FFFF00"/>
            <w:vAlign w:val="center"/>
          </w:tcPr>
          <w:p w:rsidR="00D848EA" w:rsidRDefault="00D848EA" w:rsidP="00717DFE">
            <w:pPr>
              <w:pStyle w:val="TableHeading"/>
            </w:pPr>
            <w:r>
              <w:t>INGREDIENTS</w:t>
            </w:r>
          </w:p>
          <w:p w:rsidR="00D848EA" w:rsidRDefault="00D848EA" w:rsidP="00717DFE">
            <w:pPr>
              <w:pStyle w:val="TableHeading"/>
            </w:pPr>
            <w:r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D848EA" w:rsidRDefault="00D848EA" w:rsidP="00717DFE">
            <w:pPr>
              <w:pStyle w:val="TableHeading"/>
            </w:pPr>
            <w:r>
              <w:t>QUANTITY NOT EXCEEDED</w:t>
            </w:r>
          </w:p>
          <w:p w:rsidR="00D848EA" w:rsidRDefault="00D848EA" w:rsidP="00717DFE">
            <w:pPr>
              <w:pStyle w:val="TableHeading"/>
            </w:pPr>
            <w:r>
              <w:t>(% of product weight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</w:t>
            </w:r>
            <w:r w:rsidRPr="00D848EA">
              <w:rPr>
                <w:rFonts w:ascii="Arial"/>
                <w:spacing w:val="-1"/>
                <w:sz w:val="20"/>
              </w:rPr>
              <w:t>ellulose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 w:rsidRPr="00D848EA">
              <w:rPr>
                <w:rFonts w:ascii="Arial"/>
                <w:spacing w:val="-1"/>
                <w:sz w:val="20"/>
              </w:rPr>
              <w:t>4.6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calcium carbonate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4.1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starch and/or modified starches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0.3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potassium citrate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sodium citrate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carboxymethylcellulose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and its sodium salt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D848EA" w:rsidRPr="00D848EA" w:rsidTr="00717DFE">
        <w:trPr>
          <w:trHeight w:val="340"/>
        </w:trPr>
        <w:tc>
          <w:tcPr>
            <w:tcW w:w="2498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guar gum</w:t>
            </w:r>
          </w:p>
        </w:tc>
        <w:tc>
          <w:tcPr>
            <w:tcW w:w="2502" w:type="pct"/>
          </w:tcPr>
          <w:p w:rsidR="00D848EA" w:rsidRPr="00D848EA" w:rsidRDefault="00D848EA" w:rsidP="00D848EA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</w:tbl>
    <w:p w:rsidR="004C2C30" w:rsidRPr="00AF29E8" w:rsidRDefault="004C2C30" w:rsidP="00AF29E8">
      <w:pPr>
        <w:pStyle w:val="Heading1"/>
      </w:pPr>
      <w:proofErr w:type="spellStart"/>
      <w:r w:rsidRPr="00AF29E8">
        <w:lastRenderedPageBreak/>
        <w:t>Sideseam</w:t>
      </w:r>
      <w:proofErr w:type="spellEnd"/>
      <w:r w:rsidRPr="00AF29E8">
        <w:t xml:space="preserve"> adhesive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Sideseam adhesive"/>
        <w:tblDescription w:val="Composite list of non-tobacco ingredients - sideseam adhesive"/>
      </w:tblPr>
      <w:tblGrid>
        <w:gridCol w:w="6991"/>
        <w:gridCol w:w="7003"/>
      </w:tblGrid>
      <w:tr w:rsidR="004C2C30" w:rsidTr="00717DFE">
        <w:trPr>
          <w:trHeight w:val="567"/>
          <w:tblHeader/>
        </w:trPr>
        <w:tc>
          <w:tcPr>
            <w:tcW w:w="2498" w:type="pct"/>
            <w:shd w:val="clear" w:color="auto" w:fill="FFFF00"/>
            <w:vAlign w:val="center"/>
          </w:tcPr>
          <w:p w:rsidR="004C2C30" w:rsidRDefault="004C2C30" w:rsidP="00717DFE">
            <w:pPr>
              <w:pStyle w:val="TableHeading"/>
            </w:pPr>
            <w:r>
              <w:t>INGREDIENTS</w:t>
            </w:r>
          </w:p>
          <w:p w:rsidR="004C2C30" w:rsidRDefault="004C2C30" w:rsidP="00717DFE">
            <w:pPr>
              <w:pStyle w:val="TableHeading"/>
            </w:pPr>
            <w:r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4C2C30" w:rsidRDefault="004C2C30" w:rsidP="00717DFE">
            <w:pPr>
              <w:pStyle w:val="TableHeading"/>
            </w:pPr>
            <w:r>
              <w:t>QUANTITY NOT EXCEEDED</w:t>
            </w:r>
          </w:p>
          <w:p w:rsidR="004C2C30" w:rsidRDefault="004C2C30" w:rsidP="00717DFE">
            <w:pPr>
              <w:pStyle w:val="TableHeading"/>
            </w:pPr>
            <w:r>
              <w:t>(% of product weight</w:t>
            </w:r>
          </w:p>
        </w:tc>
      </w:tr>
      <w:tr w:rsidR="004C2C30" w:rsidRPr="00D848EA" w:rsidTr="0081199D">
        <w:trPr>
          <w:trHeight w:val="340"/>
        </w:trPr>
        <w:tc>
          <w:tcPr>
            <w:tcW w:w="2498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ethylene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vinyl acetate copolymer</w:t>
            </w:r>
          </w:p>
        </w:tc>
        <w:tc>
          <w:tcPr>
            <w:tcW w:w="2502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0.3</w:t>
            </w:r>
          </w:p>
        </w:tc>
      </w:tr>
      <w:tr w:rsidR="004C2C30" w:rsidRPr="00D848EA" w:rsidTr="0081199D">
        <w:trPr>
          <w:trHeight w:val="340"/>
        </w:trPr>
        <w:tc>
          <w:tcPr>
            <w:tcW w:w="2498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polyvinyl acetate</w:t>
            </w:r>
          </w:p>
        </w:tc>
        <w:tc>
          <w:tcPr>
            <w:tcW w:w="2502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4C2C30" w:rsidRPr="00D848EA" w:rsidTr="0081199D">
        <w:trPr>
          <w:trHeight w:val="340"/>
        </w:trPr>
        <w:tc>
          <w:tcPr>
            <w:tcW w:w="2498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hydroxyethylene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vinyl acetate copolymer</w:t>
            </w:r>
          </w:p>
        </w:tc>
        <w:tc>
          <w:tcPr>
            <w:tcW w:w="2502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4C2C30" w:rsidRPr="00D848EA" w:rsidTr="0081199D">
        <w:trPr>
          <w:trHeight w:val="340"/>
        </w:trPr>
        <w:tc>
          <w:tcPr>
            <w:tcW w:w="2498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processing aids (water, </w:t>
            </w:r>
            <w:proofErr w:type="spellStart"/>
            <w:r>
              <w:rPr>
                <w:rFonts w:ascii="Arial"/>
                <w:spacing w:val="-1"/>
                <w:sz w:val="20"/>
              </w:rPr>
              <w:t>defoamer</w:t>
            </w:r>
            <w:proofErr w:type="spellEnd"/>
            <w:r>
              <w:rPr>
                <w:rFonts w:ascii="Arial"/>
                <w:spacing w:val="-1"/>
                <w:sz w:val="20"/>
              </w:rPr>
              <w:t>, preservative)</w:t>
            </w:r>
          </w:p>
        </w:tc>
        <w:tc>
          <w:tcPr>
            <w:tcW w:w="2502" w:type="pct"/>
          </w:tcPr>
          <w:p w:rsidR="004C2C30" w:rsidRPr="00D848EA" w:rsidRDefault="004C2C30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</w:p>
        </w:tc>
      </w:tr>
    </w:tbl>
    <w:p w:rsidR="00A31332" w:rsidRPr="00A31332" w:rsidRDefault="00A31332" w:rsidP="00AF29E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Monogram Ink/Die Print Ink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Monogram Ink/Die Print Ink"/>
        <w:tblDescription w:val="Composite list of non-tobacco ingredients - monogram ink/die print ink"/>
      </w:tblPr>
      <w:tblGrid>
        <w:gridCol w:w="6991"/>
        <w:gridCol w:w="7003"/>
      </w:tblGrid>
      <w:tr w:rsidR="00A31332" w:rsidTr="00717DFE">
        <w:trPr>
          <w:trHeight w:val="567"/>
          <w:tblHeader/>
        </w:trPr>
        <w:tc>
          <w:tcPr>
            <w:tcW w:w="2498" w:type="pct"/>
            <w:shd w:val="clear" w:color="auto" w:fill="FFFF00"/>
            <w:vAlign w:val="center"/>
          </w:tcPr>
          <w:p w:rsidR="00A31332" w:rsidRDefault="00A31332" w:rsidP="00717DFE">
            <w:pPr>
              <w:pStyle w:val="TableHeading"/>
            </w:pPr>
            <w:r>
              <w:t>INGREDIENTS</w:t>
            </w:r>
          </w:p>
          <w:p w:rsidR="00A31332" w:rsidRDefault="00A31332" w:rsidP="00717DFE">
            <w:pPr>
              <w:pStyle w:val="TableHeading"/>
            </w:pPr>
            <w:r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A31332" w:rsidRDefault="00A31332" w:rsidP="00717DFE">
            <w:pPr>
              <w:pStyle w:val="TableHeading"/>
            </w:pPr>
            <w:r>
              <w:t>QUANTITY NOT EXCEEDED</w:t>
            </w:r>
          </w:p>
          <w:p w:rsidR="00A31332" w:rsidRDefault="00A31332" w:rsidP="00717DFE">
            <w:pPr>
              <w:pStyle w:val="TableHeading"/>
            </w:pPr>
            <w:r>
              <w:t>(% of product weight</w:t>
            </w:r>
          </w:p>
        </w:tc>
      </w:tr>
      <w:tr w:rsidR="00A31332" w:rsidRPr="00D848EA" w:rsidTr="0081199D">
        <w:trPr>
          <w:trHeight w:val="340"/>
        </w:trPr>
        <w:tc>
          <w:tcPr>
            <w:tcW w:w="2498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alkyd resin</w:t>
            </w:r>
          </w:p>
        </w:tc>
        <w:tc>
          <w:tcPr>
            <w:tcW w:w="2502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A31332" w:rsidRPr="00D848EA" w:rsidTr="0081199D">
        <w:trPr>
          <w:trHeight w:val="340"/>
        </w:trPr>
        <w:tc>
          <w:tcPr>
            <w:tcW w:w="2498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</w:t>
            </w:r>
            <w:proofErr w:type="spellStart"/>
            <w:r>
              <w:rPr>
                <w:rFonts w:ascii="Arial"/>
                <w:spacing w:val="-1"/>
                <w:sz w:val="20"/>
              </w:rPr>
              <w:t>allura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red AC</w:t>
            </w:r>
          </w:p>
        </w:tc>
        <w:tc>
          <w:tcPr>
            <w:tcW w:w="2502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0.001</w:t>
            </w:r>
          </w:p>
        </w:tc>
      </w:tr>
      <w:tr w:rsidR="00A31332" w:rsidRPr="00D848EA" w:rsidTr="0081199D">
        <w:trPr>
          <w:trHeight w:val="340"/>
        </w:trPr>
        <w:tc>
          <w:tcPr>
            <w:tcW w:w="2498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brilliant blue FCF</w:t>
            </w:r>
          </w:p>
        </w:tc>
        <w:tc>
          <w:tcPr>
            <w:tcW w:w="2502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0.001</w:t>
            </w:r>
          </w:p>
        </w:tc>
      </w:tr>
      <w:tr w:rsidR="00A31332" w:rsidRPr="00D848EA" w:rsidTr="0081199D">
        <w:trPr>
          <w:trHeight w:val="340"/>
        </w:trPr>
        <w:tc>
          <w:tcPr>
            <w:tcW w:w="2498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calcium carbonate</w:t>
            </w:r>
          </w:p>
        </w:tc>
        <w:tc>
          <w:tcPr>
            <w:tcW w:w="2502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A31332" w:rsidRPr="00D848EA" w:rsidTr="0081199D">
        <w:trPr>
          <w:trHeight w:val="340"/>
        </w:trPr>
        <w:tc>
          <w:tcPr>
            <w:tcW w:w="2498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mineral oil</w:t>
            </w:r>
          </w:p>
        </w:tc>
        <w:tc>
          <w:tcPr>
            <w:tcW w:w="2502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A31332" w:rsidRPr="00D848EA" w:rsidTr="0081199D">
        <w:trPr>
          <w:trHeight w:val="340"/>
        </w:trPr>
        <w:tc>
          <w:tcPr>
            <w:tcW w:w="2498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silica</w:t>
            </w:r>
          </w:p>
        </w:tc>
        <w:tc>
          <w:tcPr>
            <w:tcW w:w="2502" w:type="pct"/>
          </w:tcPr>
          <w:p w:rsidR="00A31332" w:rsidRPr="00D848EA" w:rsidRDefault="00A3133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</w:tbl>
    <w:p w:rsidR="0049236A" w:rsidRDefault="000473F7" w:rsidP="00AF29E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Filtration materials</w:t>
      </w:r>
      <w:bookmarkStart w:id="0" w:name="_GoBack"/>
      <w:bookmarkEnd w:id="0"/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Filtration materials"/>
        <w:tblDescription w:val="Composite list of non-tobacco ingredients - filtration materials "/>
      </w:tblPr>
      <w:tblGrid>
        <w:gridCol w:w="6991"/>
        <w:gridCol w:w="7003"/>
      </w:tblGrid>
      <w:tr w:rsidR="003321F2" w:rsidTr="00717DFE">
        <w:trPr>
          <w:trHeight w:val="567"/>
          <w:tblHeader/>
        </w:trPr>
        <w:tc>
          <w:tcPr>
            <w:tcW w:w="2498" w:type="pct"/>
            <w:shd w:val="clear" w:color="auto" w:fill="FFFF00"/>
            <w:vAlign w:val="center"/>
          </w:tcPr>
          <w:p w:rsidR="003321F2" w:rsidRDefault="003321F2" w:rsidP="00717DFE">
            <w:pPr>
              <w:pStyle w:val="TableHeading"/>
            </w:pPr>
            <w:r>
              <w:t>INGREDIENTS</w:t>
            </w:r>
          </w:p>
          <w:p w:rsidR="003321F2" w:rsidRDefault="003321F2" w:rsidP="00717DFE">
            <w:pPr>
              <w:pStyle w:val="TableHeading"/>
            </w:pPr>
            <w:r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3321F2" w:rsidRDefault="003321F2" w:rsidP="00717DFE">
            <w:pPr>
              <w:pStyle w:val="TableHeading"/>
            </w:pPr>
            <w:r>
              <w:t>QUANTITY NOT EXCEEDED</w:t>
            </w:r>
          </w:p>
          <w:p w:rsidR="003321F2" w:rsidRDefault="003321F2" w:rsidP="00717DFE">
            <w:pPr>
              <w:pStyle w:val="TableHeading"/>
            </w:pPr>
            <w:r>
              <w:t>(% of product weight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</w:t>
            </w:r>
            <w:r w:rsidRPr="00D848EA">
              <w:rPr>
                <w:rFonts w:ascii="Arial"/>
                <w:spacing w:val="-1"/>
                <w:sz w:val="20"/>
              </w:rPr>
              <w:t>ellulose</w:t>
            </w:r>
            <w:r>
              <w:rPr>
                <w:rFonts w:ascii="Arial"/>
                <w:spacing w:val="-1"/>
                <w:sz w:val="20"/>
              </w:rPr>
              <w:t xml:space="preserve"> acetate</w:t>
            </w:r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17.2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triglyceride oils</w:t>
            </w:r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3.0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triacetin</w:t>
            </w:r>
            <w:proofErr w:type="spellEnd"/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2.0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menthol</w:t>
            </w:r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1.2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modified starches and polysaccharides</w:t>
            </w:r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0.7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gelatin</w:t>
            </w:r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0.3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natural and/or artificial </w:t>
            </w:r>
            <w:proofErr w:type="spellStart"/>
            <w:r>
              <w:rPr>
                <w:rFonts w:ascii="Arial"/>
                <w:spacing w:val="-1"/>
                <w:sz w:val="20"/>
              </w:rPr>
              <w:t>flavourings</w:t>
            </w:r>
            <w:proofErr w:type="spellEnd"/>
          </w:p>
        </w:tc>
        <w:tc>
          <w:tcPr>
            <w:tcW w:w="2502" w:type="pct"/>
          </w:tcPr>
          <w:p w:rsidR="003321F2" w:rsidRPr="00D848EA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titanium dioxide</w:t>
            </w:r>
          </w:p>
        </w:tc>
        <w:tc>
          <w:tcPr>
            <w:tcW w:w="2502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glycerol</w:t>
            </w:r>
          </w:p>
        </w:tc>
        <w:tc>
          <w:tcPr>
            <w:tcW w:w="2502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sorbitol</w:t>
            </w:r>
          </w:p>
        </w:tc>
        <w:tc>
          <w:tcPr>
            <w:tcW w:w="2502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sodium citrate</w:t>
            </w:r>
          </w:p>
        </w:tc>
        <w:tc>
          <w:tcPr>
            <w:tcW w:w="2502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3321F2" w:rsidRPr="00D848EA" w:rsidTr="0081199D">
        <w:trPr>
          <w:trHeight w:val="351"/>
        </w:trPr>
        <w:tc>
          <w:tcPr>
            <w:tcW w:w="2498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pigments</w:t>
            </w:r>
          </w:p>
        </w:tc>
        <w:tc>
          <w:tcPr>
            <w:tcW w:w="2502" w:type="pct"/>
          </w:tcPr>
          <w:p w:rsidR="003321F2" w:rsidRDefault="003321F2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</w:tbl>
    <w:p w:rsidR="0049236A" w:rsidRDefault="00300A0D" w:rsidP="00AF29E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Tipping/Filter Adhesives 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ipping/Filter Adhesives"/>
        <w:tblDescription w:val="Composite list of non-tobacco ingredients - tipping/filter adhesives"/>
      </w:tblPr>
      <w:tblGrid>
        <w:gridCol w:w="6991"/>
        <w:gridCol w:w="7003"/>
      </w:tblGrid>
      <w:tr w:rsidR="00B738B7" w:rsidRPr="00D848EA" w:rsidTr="00717DFE">
        <w:trPr>
          <w:trHeight w:val="567"/>
          <w:tblHeader/>
        </w:trPr>
        <w:tc>
          <w:tcPr>
            <w:tcW w:w="2498" w:type="pct"/>
            <w:shd w:val="clear" w:color="auto" w:fill="FFFF00"/>
            <w:vAlign w:val="center"/>
          </w:tcPr>
          <w:p w:rsidR="00B738B7" w:rsidRPr="00B738B7" w:rsidRDefault="00B738B7" w:rsidP="00717DFE">
            <w:pPr>
              <w:pStyle w:val="TableHeading"/>
            </w:pPr>
            <w:r w:rsidRPr="00B738B7">
              <w:t>INGREDIENTS</w:t>
            </w:r>
          </w:p>
          <w:p w:rsidR="00B738B7" w:rsidRPr="00B738B7" w:rsidRDefault="00B738B7" w:rsidP="00717DFE">
            <w:pPr>
              <w:pStyle w:val="TableHeading"/>
            </w:pPr>
            <w:r w:rsidRPr="00B738B7"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B738B7" w:rsidRPr="00B738B7" w:rsidRDefault="00B738B7" w:rsidP="00717DFE">
            <w:pPr>
              <w:pStyle w:val="TableHeading"/>
            </w:pPr>
            <w:r w:rsidRPr="00B738B7">
              <w:t>QUANTITY NOT EXCEEDED</w:t>
            </w:r>
          </w:p>
          <w:p w:rsidR="00B738B7" w:rsidRPr="00B738B7" w:rsidRDefault="00B738B7" w:rsidP="00717DFE">
            <w:pPr>
              <w:pStyle w:val="TableHeading"/>
            </w:pPr>
            <w:r w:rsidRPr="00B738B7">
              <w:t>(% of product weight)</w:t>
            </w:r>
          </w:p>
        </w:tc>
      </w:tr>
      <w:tr w:rsidR="00E35288" w:rsidRPr="00D848EA" w:rsidTr="0081199D">
        <w:trPr>
          <w:trHeight w:val="351"/>
          <w:tblHeader/>
        </w:trPr>
        <w:tc>
          <w:tcPr>
            <w:tcW w:w="2498" w:type="pct"/>
            <w:shd w:val="clear" w:color="auto" w:fill="FFFFFF" w:themeFill="background1"/>
          </w:tcPr>
          <w:p w:rsidR="00E35288" w:rsidRPr="00E35288" w:rsidRDefault="00E35288" w:rsidP="00E35288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Ethylene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vinyl acetate copolymer</w:t>
            </w:r>
          </w:p>
        </w:tc>
        <w:tc>
          <w:tcPr>
            <w:tcW w:w="2502" w:type="pct"/>
            <w:shd w:val="clear" w:color="auto" w:fill="FFFFFF" w:themeFill="background1"/>
          </w:tcPr>
          <w:p w:rsidR="00E35288" w:rsidRPr="00E35288" w:rsidRDefault="00E35288" w:rsidP="00E35288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 w:rsidRPr="00E35288">
              <w:rPr>
                <w:rFonts w:ascii="Arial"/>
                <w:spacing w:val="-1"/>
                <w:sz w:val="20"/>
              </w:rPr>
              <w:t>2.3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diethyleneglycol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dibenzoate</w:t>
            </w:r>
            <w:proofErr w:type="spellEnd"/>
          </w:p>
        </w:tc>
        <w:tc>
          <w:tcPr>
            <w:tcW w:w="2502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Pr="00D848EA" w:rsidRDefault="00387635" w:rsidP="00387635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di</w:t>
            </w:r>
            <w:r w:rsidR="00300A0D">
              <w:rPr>
                <w:rFonts w:ascii="Arial"/>
                <w:spacing w:val="-1"/>
                <w:sz w:val="20"/>
              </w:rPr>
              <w:t>propyleneglycol</w:t>
            </w:r>
            <w:proofErr w:type="spellEnd"/>
            <w:r w:rsidR="00300A0D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300A0D">
              <w:rPr>
                <w:rFonts w:ascii="Arial"/>
                <w:spacing w:val="-1"/>
                <w:sz w:val="20"/>
              </w:rPr>
              <w:t>dibenzoate</w:t>
            </w:r>
            <w:proofErr w:type="spellEnd"/>
          </w:p>
        </w:tc>
        <w:tc>
          <w:tcPr>
            <w:tcW w:w="2502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hydroxyethylene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vinyl acetate copolymer</w:t>
            </w:r>
          </w:p>
        </w:tc>
        <w:tc>
          <w:tcPr>
            <w:tcW w:w="2502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polyvinol</w:t>
            </w:r>
            <w:proofErr w:type="spellEnd"/>
          </w:p>
        </w:tc>
        <w:tc>
          <w:tcPr>
            <w:tcW w:w="2502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triacetin</w:t>
            </w:r>
            <w:proofErr w:type="spellEnd"/>
          </w:p>
        </w:tc>
        <w:tc>
          <w:tcPr>
            <w:tcW w:w="2502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boric acid</w:t>
            </w:r>
          </w:p>
        </w:tc>
        <w:tc>
          <w:tcPr>
            <w:tcW w:w="2502" w:type="pct"/>
          </w:tcPr>
          <w:p w:rsidR="00300A0D" w:rsidRPr="00D848EA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0.01</w:t>
            </w:r>
          </w:p>
        </w:tc>
      </w:tr>
      <w:tr w:rsidR="00300A0D" w:rsidRPr="00D848EA" w:rsidTr="0081199D">
        <w:trPr>
          <w:trHeight w:val="351"/>
        </w:trPr>
        <w:tc>
          <w:tcPr>
            <w:tcW w:w="2498" w:type="pct"/>
          </w:tcPr>
          <w:p w:rsidR="00300A0D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processing aids (water, </w:t>
            </w:r>
            <w:proofErr w:type="spellStart"/>
            <w:r>
              <w:rPr>
                <w:rFonts w:ascii="Arial"/>
                <w:spacing w:val="-1"/>
                <w:sz w:val="20"/>
              </w:rPr>
              <w:t>defoamer</w:t>
            </w:r>
            <w:proofErr w:type="spellEnd"/>
            <w:r>
              <w:rPr>
                <w:rFonts w:ascii="Arial"/>
                <w:spacing w:val="-1"/>
                <w:sz w:val="20"/>
              </w:rPr>
              <w:t>, preservative)</w:t>
            </w:r>
          </w:p>
        </w:tc>
        <w:tc>
          <w:tcPr>
            <w:tcW w:w="2502" w:type="pct"/>
          </w:tcPr>
          <w:p w:rsidR="00300A0D" w:rsidRDefault="00300A0D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</w:p>
        </w:tc>
      </w:tr>
    </w:tbl>
    <w:p w:rsidR="0049236A" w:rsidRDefault="00881BEC" w:rsidP="00AF29E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Filter Papers/</w:t>
      </w:r>
      <w:proofErr w:type="spellStart"/>
      <w:r>
        <w:rPr>
          <w:rFonts w:eastAsia="Times New Roman"/>
        </w:rPr>
        <w:t>Plugwrap</w:t>
      </w:r>
      <w:proofErr w:type="spellEnd"/>
      <w:r>
        <w:rPr>
          <w:rFonts w:eastAsia="Times New Roman"/>
        </w:rPr>
        <w:t xml:space="preserve"> Papers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Filter Papers/Plugwrap Paper"/>
        <w:tblDescription w:val="Composite list of non-tobacco ingredients - filter papers/plugwrap papers"/>
      </w:tblPr>
      <w:tblGrid>
        <w:gridCol w:w="6991"/>
        <w:gridCol w:w="7003"/>
      </w:tblGrid>
      <w:tr w:rsidR="004C7221" w:rsidTr="00717DFE">
        <w:trPr>
          <w:trHeight w:val="567"/>
          <w:tblHeader/>
        </w:trPr>
        <w:tc>
          <w:tcPr>
            <w:tcW w:w="2498" w:type="pct"/>
            <w:shd w:val="clear" w:color="auto" w:fill="FFFF00"/>
            <w:vAlign w:val="center"/>
          </w:tcPr>
          <w:p w:rsidR="004C7221" w:rsidRPr="00717DFE" w:rsidRDefault="004C7221" w:rsidP="00717DFE">
            <w:pPr>
              <w:pStyle w:val="TableHeading"/>
            </w:pPr>
            <w:r w:rsidRPr="00717DFE">
              <w:t>INGREDIENTS</w:t>
            </w:r>
          </w:p>
          <w:p w:rsidR="004C7221" w:rsidRPr="00717DFE" w:rsidRDefault="004C7221" w:rsidP="00717DFE">
            <w:pPr>
              <w:pStyle w:val="TableHeading"/>
            </w:pPr>
            <w:r w:rsidRPr="00717DFE"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4C7221" w:rsidRPr="00717DFE" w:rsidRDefault="004C7221" w:rsidP="00717DFE">
            <w:pPr>
              <w:pStyle w:val="TableHeading"/>
            </w:pPr>
            <w:r w:rsidRPr="00717DFE">
              <w:t>QUANTITY NOT EXCEEDED</w:t>
            </w:r>
          </w:p>
          <w:p w:rsidR="004C7221" w:rsidRPr="00717DFE" w:rsidRDefault="004C7221" w:rsidP="00717DFE">
            <w:pPr>
              <w:pStyle w:val="TableHeading"/>
            </w:pPr>
            <w:r w:rsidRPr="00717DFE">
              <w:t>(% of product weight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cellulose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6.8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calcium carbonate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0.9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collodion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0.3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proofErr w:type="spellStart"/>
            <w:r w:rsidRPr="0081199D">
              <w:t>polyvinol</w:t>
            </w:r>
            <w:proofErr w:type="spellEnd"/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0.3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starch and/or modified starches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0.2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 xml:space="preserve">acetyl </w:t>
            </w:r>
            <w:proofErr w:type="spellStart"/>
            <w:r w:rsidRPr="0081199D">
              <w:t>tributyl</w:t>
            </w:r>
            <w:proofErr w:type="spellEnd"/>
            <w:r w:rsidRPr="0081199D">
              <w:t xml:space="preserve"> citrate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0.1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proofErr w:type="spellStart"/>
            <w:r w:rsidRPr="0081199D">
              <w:t>alkylketene</w:t>
            </w:r>
            <w:proofErr w:type="spellEnd"/>
            <w:r w:rsidRPr="0081199D">
              <w:t xml:space="preserve"> dimer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0.05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proofErr w:type="spellStart"/>
            <w:r w:rsidRPr="0081199D">
              <w:t>carboxymethylcellulose</w:t>
            </w:r>
            <w:proofErr w:type="spellEnd"/>
            <w:r w:rsidRPr="0081199D">
              <w:t xml:space="preserve"> and its sodium salt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0.05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fluoropolymer acetate salt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0.05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proofErr w:type="spellStart"/>
            <w:r w:rsidRPr="0081199D">
              <w:t>epichlorhydrin</w:t>
            </w:r>
            <w:proofErr w:type="spellEnd"/>
            <w:r w:rsidRPr="0081199D">
              <w:t xml:space="preserve"> resin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0.01</w:t>
            </w:r>
          </w:p>
        </w:tc>
      </w:tr>
      <w:tr w:rsidR="004C7221" w:rsidRPr="00D848EA" w:rsidTr="0081199D">
        <w:trPr>
          <w:trHeight w:val="340"/>
        </w:trPr>
        <w:tc>
          <w:tcPr>
            <w:tcW w:w="2498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pigment iron oxide black</w:t>
            </w:r>
          </w:p>
        </w:tc>
        <w:tc>
          <w:tcPr>
            <w:tcW w:w="2502" w:type="pct"/>
          </w:tcPr>
          <w:p w:rsidR="004C7221" w:rsidRPr="0081199D" w:rsidRDefault="004C7221" w:rsidP="0081199D">
            <w:pPr>
              <w:pStyle w:val="TableParagraph"/>
            </w:pPr>
            <w:r w:rsidRPr="0081199D">
              <w:t>0.0005</w:t>
            </w:r>
          </w:p>
        </w:tc>
      </w:tr>
    </w:tbl>
    <w:p w:rsidR="0049236A" w:rsidRDefault="00167E3A" w:rsidP="00AF29E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Filter Paper Inks/Tipping Papers/Tipping Inks 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Filter Paper Inks/Tipping Papers/Tipping Inks"/>
        <w:tblDescription w:val="Composite list of non-tobacco ingredients - filter paper inks/tipping papers/tipping inks "/>
      </w:tblPr>
      <w:tblGrid>
        <w:gridCol w:w="6991"/>
        <w:gridCol w:w="7003"/>
      </w:tblGrid>
      <w:tr w:rsidR="00167E3A" w:rsidTr="0081199D">
        <w:trPr>
          <w:trHeight w:val="340"/>
          <w:tblHeader/>
        </w:trPr>
        <w:tc>
          <w:tcPr>
            <w:tcW w:w="2498" w:type="pct"/>
            <w:shd w:val="clear" w:color="auto" w:fill="FFFF00"/>
            <w:vAlign w:val="center"/>
          </w:tcPr>
          <w:p w:rsidR="00167E3A" w:rsidRDefault="00167E3A" w:rsidP="003522D0">
            <w:pPr>
              <w:pStyle w:val="TableParagraph"/>
              <w:spacing w:line="275" w:lineRule="auto"/>
              <w:ind w:right="-12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INGREDIENTS</w:t>
            </w:r>
          </w:p>
          <w:p w:rsidR="00167E3A" w:rsidRDefault="00167E3A" w:rsidP="003522D0">
            <w:pPr>
              <w:pStyle w:val="TableParagraph"/>
              <w:spacing w:line="275" w:lineRule="auto"/>
              <w:ind w:right="-12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167E3A" w:rsidRDefault="00167E3A" w:rsidP="003522D0">
            <w:pPr>
              <w:pStyle w:val="TableParagraph"/>
              <w:spacing w:line="275" w:lineRule="auto"/>
              <w:ind w:right="-12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QUANTITY NOT EXCEEDED</w:t>
            </w:r>
          </w:p>
          <w:p w:rsidR="00167E3A" w:rsidRDefault="00167E3A" w:rsidP="003522D0">
            <w:pPr>
              <w:pStyle w:val="TableParagraph"/>
              <w:spacing w:line="275" w:lineRule="auto"/>
              <w:ind w:right="-12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(% of product weight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167E3A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</w:t>
            </w:r>
            <w:r w:rsidRPr="00D848EA">
              <w:rPr>
                <w:rFonts w:ascii="Arial"/>
                <w:spacing w:val="-1"/>
                <w:sz w:val="20"/>
              </w:rPr>
              <w:t>ellulose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</w:p>
        </w:tc>
        <w:tc>
          <w:tcPr>
            <w:tcW w:w="2502" w:type="pct"/>
          </w:tcPr>
          <w:p w:rsidR="00167E3A" w:rsidRPr="00D848EA" w:rsidRDefault="00167E3A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3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</w:t>
            </w:r>
            <w:r w:rsidR="00167E3A">
              <w:rPr>
                <w:rFonts w:ascii="Arial"/>
                <w:spacing w:val="-1"/>
                <w:sz w:val="20"/>
              </w:rPr>
              <w:t>alcium carbonate</w:t>
            </w:r>
          </w:p>
        </w:tc>
        <w:tc>
          <w:tcPr>
            <w:tcW w:w="2502" w:type="pct"/>
          </w:tcPr>
          <w:p w:rsidR="00167E3A" w:rsidRPr="00D848EA" w:rsidRDefault="00167E3A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1.3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k</w:t>
            </w:r>
            <w:r w:rsidR="00167E3A">
              <w:rPr>
                <w:rFonts w:ascii="Arial"/>
                <w:spacing w:val="-1"/>
                <w:sz w:val="20"/>
              </w:rPr>
              <w:t>aolin</w:t>
            </w:r>
          </w:p>
        </w:tc>
        <w:tc>
          <w:tcPr>
            <w:tcW w:w="2502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0.4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titanium dioxide</w:t>
            </w:r>
          </w:p>
        </w:tc>
        <w:tc>
          <w:tcPr>
            <w:tcW w:w="2502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0.4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aluminium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silicate, magnesium sodium salt</w:t>
            </w:r>
          </w:p>
        </w:tc>
        <w:tc>
          <w:tcPr>
            <w:tcW w:w="2502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collodion</w:t>
            </w:r>
          </w:p>
        </w:tc>
        <w:tc>
          <w:tcPr>
            <w:tcW w:w="2502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guar gum</w:t>
            </w:r>
          </w:p>
        </w:tc>
        <w:tc>
          <w:tcPr>
            <w:tcW w:w="2502" w:type="pct"/>
          </w:tcPr>
          <w:p w:rsidR="00167E3A" w:rsidRPr="00D848E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iron oxide black</w:t>
            </w:r>
          </w:p>
        </w:tc>
        <w:tc>
          <w:tcPr>
            <w:tcW w:w="2502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iron oxide yellow</w:t>
            </w:r>
          </w:p>
        </w:tc>
        <w:tc>
          <w:tcPr>
            <w:tcW w:w="2502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starch and/or modified starches</w:t>
            </w:r>
          </w:p>
        </w:tc>
        <w:tc>
          <w:tcPr>
            <w:tcW w:w="2502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0.2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Default="00167E3A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sodium </w:t>
            </w:r>
            <w:r w:rsidR="00E71D75">
              <w:rPr>
                <w:rFonts w:ascii="Arial"/>
                <w:spacing w:val="-1"/>
                <w:sz w:val="20"/>
              </w:rPr>
              <w:t>phosphate dibasic</w:t>
            </w:r>
          </w:p>
        </w:tc>
        <w:tc>
          <w:tcPr>
            <w:tcW w:w="2502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167E3A" w:rsidRPr="00D848EA" w:rsidTr="0081199D">
        <w:trPr>
          <w:trHeight w:val="340"/>
        </w:trPr>
        <w:tc>
          <w:tcPr>
            <w:tcW w:w="2498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talc</w:t>
            </w:r>
          </w:p>
        </w:tc>
        <w:tc>
          <w:tcPr>
            <w:tcW w:w="2502" w:type="pct"/>
          </w:tcPr>
          <w:p w:rsidR="00167E3A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0.1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acetyl </w:t>
            </w:r>
            <w:proofErr w:type="spellStart"/>
            <w:r>
              <w:rPr>
                <w:rFonts w:ascii="Arial"/>
                <w:spacing w:val="-1"/>
                <w:sz w:val="20"/>
              </w:rPr>
              <w:t>tributyl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citrate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alkylketene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dimer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aluminium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hydroxide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carbo </w:t>
            </w:r>
            <w:proofErr w:type="spellStart"/>
            <w:r>
              <w:rPr>
                <w:rFonts w:ascii="Arial"/>
                <w:spacing w:val="-1"/>
                <w:sz w:val="20"/>
              </w:rPr>
              <w:t>medicinalis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vegetabilis</w:t>
            </w:r>
            <w:proofErr w:type="spellEnd"/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polyamide resin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galactomannanphosphoric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ester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paraffin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iron oxide red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mica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E71D75" w:rsidRPr="00D848EA" w:rsidTr="0081199D">
        <w:trPr>
          <w:trHeight w:val="340"/>
        </w:trPr>
        <w:tc>
          <w:tcPr>
            <w:tcW w:w="2498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chlorite</w:t>
            </w:r>
          </w:p>
        </w:tc>
        <w:tc>
          <w:tcPr>
            <w:tcW w:w="2502" w:type="pct"/>
          </w:tcPr>
          <w:p w:rsidR="00E71D75" w:rsidRDefault="00E71D75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0.01</w:t>
            </w:r>
          </w:p>
        </w:tc>
      </w:tr>
    </w:tbl>
    <w:p w:rsidR="002025F1" w:rsidRDefault="002025F1" w:rsidP="00AF29E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Filter Paper Inks/Tipping Papers/Tipping Inks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Filter Paper Inks/Tipping Papers/Tipping Inks"/>
        <w:tblDescription w:val="Composite list of non-tobacco ingredients - filter paper inks/tipping papers/tipping inks "/>
      </w:tblPr>
      <w:tblGrid>
        <w:gridCol w:w="6991"/>
        <w:gridCol w:w="7003"/>
      </w:tblGrid>
      <w:tr w:rsidR="002025F1" w:rsidTr="0081199D">
        <w:trPr>
          <w:trHeight w:val="340"/>
          <w:tblHeader/>
        </w:trPr>
        <w:tc>
          <w:tcPr>
            <w:tcW w:w="2498" w:type="pct"/>
            <w:shd w:val="clear" w:color="auto" w:fill="FFFF00"/>
            <w:vAlign w:val="center"/>
          </w:tcPr>
          <w:p w:rsidR="002025F1" w:rsidRDefault="002025F1" w:rsidP="00717DFE">
            <w:pPr>
              <w:pStyle w:val="TableHeading"/>
            </w:pPr>
            <w:r>
              <w:t>INGREDIENTS</w:t>
            </w:r>
          </w:p>
          <w:p w:rsidR="002025F1" w:rsidRDefault="002025F1" w:rsidP="00717DFE">
            <w:pPr>
              <w:pStyle w:val="TableHeading"/>
            </w:pPr>
            <w:r>
              <w:t>(in descending order by weight)</w:t>
            </w:r>
          </w:p>
        </w:tc>
        <w:tc>
          <w:tcPr>
            <w:tcW w:w="2502" w:type="pct"/>
            <w:shd w:val="clear" w:color="auto" w:fill="FFFF00"/>
            <w:vAlign w:val="center"/>
          </w:tcPr>
          <w:p w:rsidR="002025F1" w:rsidRDefault="002025F1" w:rsidP="00717DFE">
            <w:pPr>
              <w:pStyle w:val="TableHeading"/>
            </w:pPr>
            <w:r>
              <w:t>QUANTITY NOT EXCEEDED</w:t>
            </w:r>
          </w:p>
          <w:p w:rsidR="002025F1" w:rsidRDefault="002025F1" w:rsidP="00717DFE">
            <w:pPr>
              <w:pStyle w:val="TableHeading"/>
            </w:pPr>
            <w:r>
              <w:t>(% of product weight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</w:t>
            </w:r>
            <w:r w:rsidR="002025F1">
              <w:rPr>
                <w:rFonts w:ascii="Arial"/>
                <w:spacing w:val="-1"/>
                <w:sz w:val="20"/>
              </w:rPr>
              <w:t>pichlorhydrin</w:t>
            </w:r>
            <w:proofErr w:type="spellEnd"/>
            <w:r w:rsidR="002025F1">
              <w:rPr>
                <w:rFonts w:ascii="Arial"/>
                <w:spacing w:val="-1"/>
                <w:sz w:val="20"/>
              </w:rPr>
              <w:t xml:space="preserve"> resin</w:t>
            </w:r>
          </w:p>
        </w:tc>
        <w:tc>
          <w:tcPr>
            <w:tcW w:w="2502" w:type="pct"/>
          </w:tcPr>
          <w:p w:rsidR="002025F1" w:rsidRPr="00D848EA" w:rsidRDefault="002025F1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e</w:t>
            </w:r>
            <w:r w:rsidR="002025F1">
              <w:rPr>
                <w:rFonts w:ascii="Arial"/>
                <w:spacing w:val="-1"/>
                <w:sz w:val="20"/>
              </w:rPr>
              <w:t>thyl cellulose</w:t>
            </w:r>
          </w:p>
        </w:tc>
        <w:tc>
          <w:tcPr>
            <w:tcW w:w="2502" w:type="pct"/>
          </w:tcPr>
          <w:p w:rsidR="002025F1" w:rsidRPr="00D848EA" w:rsidRDefault="002025F1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r</w:t>
            </w:r>
            <w:r w:rsidR="002025F1">
              <w:rPr>
                <w:rFonts w:ascii="Arial"/>
                <w:spacing w:val="-1"/>
                <w:sz w:val="20"/>
              </w:rPr>
              <w:t>osin</w:t>
            </w:r>
          </w:p>
        </w:tc>
        <w:tc>
          <w:tcPr>
            <w:tcW w:w="2502" w:type="pct"/>
          </w:tcPr>
          <w:p w:rsidR="002025F1" w:rsidRPr="00D848EA" w:rsidRDefault="002025F1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</w:t>
            </w:r>
            <w:r w:rsidR="002025F1">
              <w:rPr>
                <w:rFonts w:ascii="Arial"/>
                <w:spacing w:val="-1"/>
                <w:sz w:val="20"/>
              </w:rPr>
              <w:t>riacetin</w:t>
            </w:r>
            <w:proofErr w:type="spellEnd"/>
          </w:p>
        </w:tc>
        <w:tc>
          <w:tcPr>
            <w:tcW w:w="2502" w:type="pct"/>
          </w:tcPr>
          <w:p w:rsidR="002025F1" w:rsidRPr="00D848EA" w:rsidRDefault="002025F1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sulfuric acid and/or its calcium, potassium and sodium salts</w:t>
            </w:r>
          </w:p>
        </w:tc>
        <w:tc>
          <w:tcPr>
            <w:tcW w:w="2502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aluminium</w:t>
            </w:r>
            <w:proofErr w:type="spellEnd"/>
          </w:p>
        </w:tc>
        <w:tc>
          <w:tcPr>
            <w:tcW w:w="2502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isononyl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cyclohexane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1, 2 </w:t>
            </w:r>
            <w:r>
              <w:rPr>
                <w:rFonts w:ascii="Arial"/>
                <w:spacing w:val="-1"/>
                <w:sz w:val="20"/>
              </w:rPr>
              <w:t>–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dicarboxylate</w:t>
            </w:r>
            <w:proofErr w:type="spellEnd"/>
          </w:p>
        </w:tc>
        <w:tc>
          <w:tcPr>
            <w:tcW w:w="2502" w:type="pct"/>
          </w:tcPr>
          <w:p w:rsidR="002025F1" w:rsidRPr="00D848EA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formaldehyde, cyclohexanone copolymer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2025F1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</w:t>
            </w:r>
            <w:r w:rsidR="00A20B93">
              <w:rPr>
                <w:rFonts w:ascii="Arial"/>
                <w:spacing w:val="-1"/>
                <w:sz w:val="20"/>
              </w:rPr>
              <w:t>gold bronze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silica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erythrosine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</w:t>
            </w:r>
            <w:proofErr w:type="spellStart"/>
            <w:r>
              <w:rPr>
                <w:rFonts w:ascii="Arial"/>
                <w:spacing w:val="-1"/>
                <w:sz w:val="20"/>
              </w:rPr>
              <w:t>indigotine</w:t>
            </w:r>
            <w:proofErr w:type="spellEnd"/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formaldehyde/</w:t>
            </w:r>
            <w:proofErr w:type="spellStart"/>
            <w:r>
              <w:rPr>
                <w:rFonts w:ascii="Arial"/>
                <w:spacing w:val="-1"/>
                <w:sz w:val="20"/>
              </w:rPr>
              <w:t>acetophenone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resin modified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brilliant blue FCF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</w:t>
            </w:r>
            <w:proofErr w:type="spellStart"/>
            <w:r>
              <w:rPr>
                <w:rFonts w:ascii="Arial"/>
                <w:spacing w:val="-1"/>
                <w:sz w:val="20"/>
              </w:rPr>
              <w:t>guinoline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yellow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red </w:t>
            </w:r>
            <w:proofErr w:type="spellStart"/>
            <w:r>
              <w:rPr>
                <w:rFonts w:ascii="Arial"/>
                <w:spacing w:val="-1"/>
                <w:sz w:val="20"/>
              </w:rPr>
              <w:t>lithol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BK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sunset yellow FCF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</w:t>
            </w:r>
            <w:proofErr w:type="spellStart"/>
            <w:r>
              <w:rPr>
                <w:rFonts w:ascii="Arial"/>
                <w:spacing w:val="-1"/>
                <w:sz w:val="20"/>
              </w:rPr>
              <w:t>tartrazine</w:t>
            </w:r>
            <w:proofErr w:type="spellEnd"/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sodium </w:t>
            </w:r>
            <w:proofErr w:type="spellStart"/>
            <w:r>
              <w:rPr>
                <w:rFonts w:ascii="Arial"/>
                <w:spacing w:val="-1"/>
                <w:sz w:val="20"/>
              </w:rPr>
              <w:t>ligninsulfonate</w:t>
            </w:r>
            <w:proofErr w:type="spellEnd"/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0.0005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pigment blue 15:3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0.0001</w:t>
            </w:r>
          </w:p>
        </w:tc>
      </w:tr>
      <w:tr w:rsidR="002025F1" w:rsidRPr="00D848EA" w:rsidTr="0081199D">
        <w:trPr>
          <w:trHeight w:val="340"/>
        </w:trPr>
        <w:tc>
          <w:tcPr>
            <w:tcW w:w="2498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pigment </w:t>
            </w:r>
            <w:proofErr w:type="spellStart"/>
            <w:r>
              <w:rPr>
                <w:rFonts w:ascii="Arial"/>
                <w:spacing w:val="-1"/>
                <w:sz w:val="20"/>
              </w:rPr>
              <w:t>diarylide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yellow</w:t>
            </w:r>
          </w:p>
        </w:tc>
        <w:tc>
          <w:tcPr>
            <w:tcW w:w="2502" w:type="pct"/>
          </w:tcPr>
          <w:p w:rsidR="002025F1" w:rsidRDefault="00A20B93" w:rsidP="003522D0">
            <w:pPr>
              <w:pStyle w:val="TableParagraph"/>
              <w:spacing w:line="275" w:lineRule="auto"/>
              <w:ind w:right="-1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0.0001</w:t>
            </w:r>
          </w:p>
        </w:tc>
      </w:tr>
    </w:tbl>
    <w:p w:rsidR="0028384C" w:rsidRPr="000473F7" w:rsidRDefault="0028384C" w:rsidP="000473F7"/>
    <w:sectPr w:rsidR="0028384C" w:rsidRPr="000473F7" w:rsidSect="0081199D">
      <w:headerReference w:type="default" r:id="rId7"/>
      <w:footerReference w:type="default" r:id="rId8"/>
      <w:pgSz w:w="15840" w:h="12240" w:orient="landscape"/>
      <w:pgMar w:top="1140" w:right="980" w:bottom="600" w:left="98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4C" w:rsidRDefault="002666ED">
      <w:r>
        <w:separator/>
      </w:r>
    </w:p>
  </w:endnote>
  <w:endnote w:type="continuationSeparator" w:id="0">
    <w:p w:rsidR="0028384C" w:rsidRDefault="0026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0" w:rsidRDefault="004C2C30" w:rsidP="004C2C30">
    <w:pPr>
      <w:spacing w:line="14" w:lineRule="auto"/>
      <w:rPr>
        <w:sz w:val="20"/>
        <w:szCs w:val="20"/>
      </w:rPr>
    </w:pPr>
  </w:p>
  <w:p w:rsidR="00AF29E8" w:rsidRPr="004C2C30" w:rsidRDefault="00AF29E8" w:rsidP="00AF29E8">
    <w:pPr>
      <w:rPr>
        <w:rFonts w:ascii="Arial" w:eastAsia="Arial" w:hAnsi="Arial" w:cs="Arial"/>
        <w:sz w:val="14"/>
        <w:szCs w:val="14"/>
      </w:rPr>
    </w:pPr>
    <w:r w:rsidRPr="00DA7CDA">
      <w:rPr>
        <w:rFonts w:ascii="Arial" w:eastAsia="Arial" w:hAnsi="Arial" w:cs="Arial"/>
        <w:sz w:val="20"/>
        <w:szCs w:val="14"/>
      </w:rPr>
      <w:t>Philip Morris International, April 2018</w:t>
    </w:r>
  </w:p>
  <w:p w:rsidR="0049236A" w:rsidRDefault="0049236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4C" w:rsidRDefault="002666ED">
      <w:r>
        <w:separator/>
      </w:r>
    </w:p>
  </w:footnote>
  <w:footnote w:type="continuationSeparator" w:id="0">
    <w:p w:rsidR="0028384C" w:rsidRDefault="0026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E8" w:rsidRPr="00C3218B" w:rsidRDefault="00AF29E8" w:rsidP="00AF29E8">
    <w:pPr>
      <w:pStyle w:val="Header"/>
      <w:rPr>
        <w:b w:val="0"/>
        <w:w w:val="102"/>
      </w:rPr>
    </w:pPr>
    <w:r w:rsidRPr="00C3218B">
      <w:t>Philip</w:t>
    </w:r>
    <w:r w:rsidRPr="00C3218B">
      <w:rPr>
        <w:spacing w:val="13"/>
      </w:rPr>
      <w:t xml:space="preserve"> </w:t>
    </w:r>
    <w:r w:rsidRPr="00C3218B">
      <w:t>Morris</w:t>
    </w:r>
    <w:r w:rsidRPr="00C3218B">
      <w:rPr>
        <w:spacing w:val="10"/>
      </w:rPr>
      <w:t xml:space="preserve"> </w:t>
    </w:r>
    <w:r w:rsidRPr="00C3218B">
      <w:t>LTD</w:t>
    </w:r>
    <w:r w:rsidRPr="00C3218B">
      <w:rPr>
        <w:w w:val="102"/>
      </w:rPr>
      <w:t xml:space="preserve"> </w:t>
    </w:r>
  </w:p>
  <w:p w:rsidR="00AF29E8" w:rsidRPr="00C3218B" w:rsidRDefault="00AF29E8" w:rsidP="00AF29E8">
    <w:pPr>
      <w:pStyle w:val="Header"/>
      <w:rPr>
        <w:rFonts w:eastAsia="Arial" w:hAnsi="Arial" w:cs="Arial"/>
        <w:szCs w:val="14"/>
      </w:rPr>
    </w:pPr>
    <w:r w:rsidRPr="00C3218B">
      <w:rPr>
        <w:spacing w:val="-1"/>
      </w:rPr>
      <w:t>Australia Ingredients</w:t>
    </w:r>
    <w:r w:rsidRPr="00C3218B">
      <w:rPr>
        <w:spacing w:val="18"/>
      </w:rPr>
      <w:t xml:space="preserve"> </w:t>
    </w:r>
    <w:r w:rsidRPr="00C3218B">
      <w:rPr>
        <w:spacing w:val="-1"/>
      </w:rPr>
      <w:t>Report</w:t>
    </w:r>
    <w:r w:rsidRPr="00C3218B">
      <w:rPr>
        <w:rFonts w:eastAsia="Arial" w:hAnsi="Arial" w:cs="Arial"/>
        <w:szCs w:val="14"/>
      </w:rPr>
      <w:t xml:space="preserve"> </w:t>
    </w:r>
  </w:p>
  <w:p w:rsidR="00AF29E8" w:rsidRPr="00C3218B" w:rsidRDefault="00AF29E8" w:rsidP="00AF29E8">
    <w:pPr>
      <w:pStyle w:val="Header"/>
      <w:rPr>
        <w:b w:val="0"/>
        <w:spacing w:val="-1"/>
      </w:rPr>
    </w:pPr>
    <w:r w:rsidRPr="00C3218B">
      <w:rPr>
        <w:spacing w:val="-1"/>
      </w:rPr>
      <w:t>Composite</w:t>
    </w:r>
    <w:r w:rsidRPr="00C3218B">
      <w:rPr>
        <w:spacing w:val="8"/>
      </w:rPr>
      <w:t xml:space="preserve"> </w:t>
    </w:r>
    <w:r w:rsidRPr="00C3218B">
      <w:rPr>
        <w:spacing w:val="-1"/>
      </w:rPr>
      <w:t>List</w:t>
    </w:r>
    <w:r w:rsidRPr="00C3218B">
      <w:rPr>
        <w:spacing w:val="11"/>
      </w:rPr>
      <w:t xml:space="preserve"> </w:t>
    </w:r>
    <w:r w:rsidRPr="00C3218B">
      <w:t>of</w:t>
    </w:r>
    <w:r w:rsidRPr="00C3218B">
      <w:rPr>
        <w:spacing w:val="10"/>
      </w:rPr>
      <w:t xml:space="preserve"> </w:t>
    </w:r>
    <w:r w:rsidRPr="00C3218B">
      <w:rPr>
        <w:spacing w:val="-1"/>
      </w:rPr>
      <w:t>Non</w:t>
    </w:r>
    <w:r w:rsidRPr="00C3218B">
      <w:rPr>
        <w:spacing w:val="11"/>
      </w:rPr>
      <w:t xml:space="preserve"> </w:t>
    </w:r>
    <w:r w:rsidRPr="00C3218B">
      <w:t>-</w:t>
    </w:r>
    <w:r w:rsidRPr="00C3218B">
      <w:rPr>
        <w:spacing w:val="10"/>
      </w:rPr>
      <w:t xml:space="preserve"> </w:t>
    </w:r>
    <w:r w:rsidRPr="00C3218B">
      <w:rPr>
        <w:spacing w:val="-1"/>
      </w:rPr>
      <w:t>Tobacco</w:t>
    </w:r>
    <w:r w:rsidRPr="00C3218B">
      <w:rPr>
        <w:spacing w:val="12"/>
      </w:rPr>
      <w:t xml:space="preserve"> </w:t>
    </w:r>
    <w:r w:rsidRPr="00C3218B">
      <w:rPr>
        <w:spacing w:val="-1"/>
      </w:rPr>
      <w:t>Ingredients</w:t>
    </w:r>
  </w:p>
  <w:p w:rsidR="00AF29E8" w:rsidRPr="00C3218B" w:rsidRDefault="00AF29E8" w:rsidP="00AF29E8">
    <w:pPr>
      <w:pStyle w:val="Header"/>
      <w:rPr>
        <w:b w:val="0"/>
        <w:spacing w:val="47"/>
        <w:w w:val="102"/>
      </w:rPr>
    </w:pPr>
    <w:r w:rsidRPr="00C3218B">
      <w:t>For</w:t>
    </w:r>
    <w:r w:rsidRPr="00C3218B">
      <w:rPr>
        <w:spacing w:val="6"/>
      </w:rPr>
      <w:t xml:space="preserve"> </w:t>
    </w:r>
    <w:r w:rsidRPr="00C3218B">
      <w:rPr>
        <w:spacing w:val="-1"/>
      </w:rPr>
      <w:t>Reporting</w:t>
    </w:r>
    <w:r w:rsidRPr="00C3218B">
      <w:rPr>
        <w:spacing w:val="10"/>
      </w:rPr>
      <w:t xml:space="preserve"> </w:t>
    </w:r>
    <w:r w:rsidRPr="00C3218B">
      <w:rPr>
        <w:spacing w:val="-1"/>
      </w:rPr>
      <w:t>Period</w:t>
    </w:r>
    <w:r w:rsidRPr="00C3218B">
      <w:rPr>
        <w:spacing w:val="9"/>
      </w:rPr>
      <w:t xml:space="preserve"> </w:t>
    </w:r>
    <w:r w:rsidRPr="00C3218B">
      <w:rPr>
        <w:spacing w:val="-1"/>
      </w:rPr>
      <w:t>(March</w:t>
    </w:r>
    <w:r w:rsidRPr="00C3218B">
      <w:rPr>
        <w:spacing w:val="9"/>
      </w:rPr>
      <w:t xml:space="preserve"> </w:t>
    </w:r>
    <w:r w:rsidRPr="00C3218B">
      <w:rPr>
        <w:spacing w:val="-1"/>
      </w:rPr>
      <w:t>1,</w:t>
    </w:r>
    <w:r w:rsidRPr="00C3218B">
      <w:rPr>
        <w:spacing w:val="9"/>
      </w:rPr>
      <w:t xml:space="preserve"> </w:t>
    </w:r>
    <w:r w:rsidRPr="00C3218B">
      <w:rPr>
        <w:spacing w:val="-1"/>
      </w:rPr>
      <w:t>2017</w:t>
    </w:r>
    <w:r w:rsidRPr="00C3218B">
      <w:rPr>
        <w:spacing w:val="7"/>
      </w:rPr>
      <w:t xml:space="preserve"> </w:t>
    </w:r>
    <w:r w:rsidRPr="00C3218B">
      <w:t>to</w:t>
    </w:r>
    <w:r w:rsidRPr="00C3218B">
      <w:rPr>
        <w:spacing w:val="10"/>
      </w:rPr>
      <w:t xml:space="preserve"> </w:t>
    </w:r>
    <w:r w:rsidRPr="00C3218B">
      <w:rPr>
        <w:spacing w:val="-1"/>
      </w:rPr>
      <w:t>March</w:t>
    </w:r>
    <w:r w:rsidRPr="00C3218B">
      <w:rPr>
        <w:spacing w:val="9"/>
      </w:rPr>
      <w:t xml:space="preserve"> </w:t>
    </w:r>
    <w:r w:rsidRPr="00C3218B">
      <w:rPr>
        <w:spacing w:val="-1"/>
      </w:rPr>
      <w:t>1,</w:t>
    </w:r>
    <w:r w:rsidRPr="00C3218B">
      <w:rPr>
        <w:spacing w:val="9"/>
      </w:rPr>
      <w:t xml:space="preserve"> </w:t>
    </w:r>
    <w:r w:rsidRPr="00C3218B">
      <w:rPr>
        <w:spacing w:val="-1"/>
      </w:rPr>
      <w:t>2018)</w:t>
    </w:r>
  </w:p>
  <w:p w:rsidR="00AF29E8" w:rsidRPr="00C3218B" w:rsidRDefault="00AF29E8" w:rsidP="00AF29E8">
    <w:pPr>
      <w:pStyle w:val="Header"/>
      <w:rPr>
        <w:b w:val="0"/>
      </w:rPr>
    </w:pPr>
    <w:r w:rsidRPr="00C3218B">
      <w:rPr>
        <w:spacing w:val="-1"/>
      </w:rPr>
      <w:t>(</w:t>
    </w:r>
    <w:proofErr w:type="gramStart"/>
    <w:r w:rsidRPr="00C3218B">
      <w:rPr>
        <w:spacing w:val="-1"/>
      </w:rPr>
      <w:t>pursuant</w:t>
    </w:r>
    <w:proofErr w:type="gramEnd"/>
    <w:r w:rsidRPr="00C3218B">
      <w:rPr>
        <w:spacing w:val="9"/>
      </w:rPr>
      <w:t xml:space="preserve"> </w:t>
    </w:r>
    <w:r w:rsidRPr="00C3218B">
      <w:t>to</w:t>
    </w:r>
    <w:r w:rsidRPr="00C3218B">
      <w:rPr>
        <w:spacing w:val="11"/>
      </w:rPr>
      <w:t xml:space="preserve"> </w:t>
    </w:r>
    <w:r w:rsidRPr="00C3218B">
      <w:rPr>
        <w:spacing w:val="-1"/>
      </w:rPr>
      <w:t>Clause</w:t>
    </w:r>
    <w:r w:rsidRPr="00C3218B">
      <w:rPr>
        <w:spacing w:val="9"/>
      </w:rPr>
      <w:t xml:space="preserve"> </w:t>
    </w:r>
    <w:r w:rsidRPr="00C3218B">
      <w:rPr>
        <w:spacing w:val="-1"/>
      </w:rPr>
      <w:t>6.3(iii)</w:t>
    </w:r>
    <w:r w:rsidRPr="00C3218B">
      <w:rPr>
        <w:spacing w:val="9"/>
      </w:rPr>
      <w:t xml:space="preserve"> </w:t>
    </w:r>
    <w:r w:rsidRPr="00C3218B">
      <w:t>of</w:t>
    </w:r>
    <w:r w:rsidRPr="00C3218B">
      <w:rPr>
        <w:spacing w:val="10"/>
      </w:rPr>
      <w:t xml:space="preserve"> </w:t>
    </w:r>
    <w:r w:rsidRPr="00C3218B">
      <w:t>the</w:t>
    </w:r>
    <w:r w:rsidRPr="00C3218B">
      <w:rPr>
        <w:spacing w:val="9"/>
      </w:rPr>
      <w:t xml:space="preserve"> </w:t>
    </w:r>
    <w:r w:rsidRPr="00C3218B">
      <w:rPr>
        <w:spacing w:val="-2"/>
      </w:rPr>
      <w:t>Agreement</w:t>
    </w:r>
    <w:r w:rsidRPr="00C3218B">
      <w:rPr>
        <w:spacing w:val="9"/>
      </w:rPr>
      <w:t xml:space="preserve"> </w:t>
    </w:r>
    <w:r w:rsidRPr="00C3218B">
      <w:t>between</w:t>
    </w:r>
    <w:r w:rsidRPr="00C3218B">
      <w:rPr>
        <w:spacing w:val="11"/>
      </w:rPr>
      <w:t xml:space="preserve"> </w:t>
    </w:r>
    <w:r w:rsidRPr="00C3218B">
      <w:t>the</w:t>
    </w:r>
  </w:p>
  <w:p w:rsidR="00AF29E8" w:rsidRPr="00AF29E8" w:rsidRDefault="00AF29E8" w:rsidP="00AF29E8">
    <w:pPr>
      <w:pStyle w:val="Header"/>
      <w:spacing w:after="120"/>
      <w:rPr>
        <w:spacing w:val="-1"/>
      </w:rPr>
    </w:pPr>
    <w:r w:rsidRPr="00C3218B">
      <w:t>Commonwealth</w:t>
    </w:r>
    <w:r w:rsidRPr="00C3218B">
      <w:rPr>
        <w:spacing w:val="13"/>
      </w:rPr>
      <w:t xml:space="preserve"> </w:t>
    </w:r>
    <w:r w:rsidRPr="00C3218B">
      <w:rPr>
        <w:spacing w:val="-1"/>
      </w:rPr>
      <w:t>and</w:t>
    </w:r>
    <w:r w:rsidRPr="00C3218B">
      <w:rPr>
        <w:spacing w:val="14"/>
      </w:rPr>
      <w:t xml:space="preserve"> </w:t>
    </w:r>
    <w:r w:rsidRPr="00C3218B">
      <w:t>the</w:t>
    </w:r>
    <w:r w:rsidRPr="00C3218B">
      <w:rPr>
        <w:spacing w:val="12"/>
      </w:rPr>
      <w:t xml:space="preserve"> </w:t>
    </w:r>
    <w:r w:rsidRPr="00C3218B">
      <w:rPr>
        <w:spacing w:val="-1"/>
      </w:rPr>
      <w:t>Manufacturers</w:t>
    </w:r>
    <w:r w:rsidRPr="00C3218B">
      <w:rPr>
        <w:spacing w:val="11"/>
      </w:rPr>
      <w:t xml:space="preserve"> </w:t>
    </w:r>
    <w:r w:rsidRPr="00C3218B">
      <w:rPr>
        <w:spacing w:val="-1"/>
      </w:rPr>
      <w:t>dated</w:t>
    </w:r>
    <w:r w:rsidRPr="00C3218B">
      <w:rPr>
        <w:spacing w:val="14"/>
      </w:rPr>
      <w:t xml:space="preserve"> </w:t>
    </w:r>
    <w:r w:rsidRPr="00C3218B">
      <w:rPr>
        <w:spacing w:val="-1"/>
      </w:rPr>
      <w:t>December</w:t>
    </w:r>
    <w:r w:rsidRPr="00C3218B">
      <w:rPr>
        <w:spacing w:val="11"/>
      </w:rPr>
      <w:t xml:space="preserve"> </w:t>
    </w:r>
    <w:r w:rsidRPr="00C3218B">
      <w:rPr>
        <w:spacing w:val="-1"/>
      </w:rPr>
      <w:t>20,</w:t>
    </w:r>
    <w:r w:rsidRPr="00C3218B">
      <w:rPr>
        <w:spacing w:val="14"/>
      </w:rPr>
      <w:t xml:space="preserve"> </w:t>
    </w:r>
    <w:r w:rsidRPr="00C3218B">
      <w:rPr>
        <w:spacing w:val="-1"/>
      </w:rPr>
      <w:t>2000)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A"/>
    <w:rsid w:val="000473F7"/>
    <w:rsid w:val="00124167"/>
    <w:rsid w:val="00167E3A"/>
    <w:rsid w:val="001E7E36"/>
    <w:rsid w:val="002025F1"/>
    <w:rsid w:val="002666ED"/>
    <w:rsid w:val="0028384C"/>
    <w:rsid w:val="00300A0D"/>
    <w:rsid w:val="003321F2"/>
    <w:rsid w:val="00387635"/>
    <w:rsid w:val="0049236A"/>
    <w:rsid w:val="004C2C30"/>
    <w:rsid w:val="004C7221"/>
    <w:rsid w:val="00603A5E"/>
    <w:rsid w:val="00717DFE"/>
    <w:rsid w:val="00754ACB"/>
    <w:rsid w:val="007E16E5"/>
    <w:rsid w:val="0081199D"/>
    <w:rsid w:val="00836DF3"/>
    <w:rsid w:val="00881BEC"/>
    <w:rsid w:val="008F1E17"/>
    <w:rsid w:val="00906622"/>
    <w:rsid w:val="0091564D"/>
    <w:rsid w:val="00920C75"/>
    <w:rsid w:val="00A20B93"/>
    <w:rsid w:val="00A31332"/>
    <w:rsid w:val="00AF29E8"/>
    <w:rsid w:val="00B115BA"/>
    <w:rsid w:val="00B738B7"/>
    <w:rsid w:val="00BF55F8"/>
    <w:rsid w:val="00C3218B"/>
    <w:rsid w:val="00D848EA"/>
    <w:rsid w:val="00DA7CDA"/>
    <w:rsid w:val="00E35288"/>
    <w:rsid w:val="00E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F7"/>
    <w:pPr>
      <w:keepNext/>
      <w:keepLines/>
      <w:pageBreakBefore/>
      <w:widowControl/>
      <w:spacing w:before="360" w:after="24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0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8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73F7"/>
    <w:rPr>
      <w:rFonts w:ascii="Arial" w:eastAsiaTheme="majorEastAsia" w:hAnsi="Arial" w:cstheme="majorBidi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F29E8"/>
    <w:pPr>
      <w:widowControl/>
      <w:tabs>
        <w:tab w:val="center" w:pos="4513"/>
        <w:tab w:val="right" w:pos="9026"/>
      </w:tabs>
      <w:spacing w:before="120"/>
      <w:contextualSpacing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F29E8"/>
    <w:rPr>
      <w:b/>
    </w:rPr>
  </w:style>
  <w:style w:type="paragraph" w:styleId="Footer">
    <w:name w:val="footer"/>
    <w:basedOn w:val="Normal"/>
    <w:link w:val="FooterChar"/>
    <w:uiPriority w:val="99"/>
    <w:unhideWhenUsed/>
    <w:rsid w:val="004C2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30"/>
  </w:style>
  <w:style w:type="paragraph" w:customStyle="1" w:styleId="TableHeading">
    <w:name w:val="Table Heading"/>
    <w:basedOn w:val="TableParagraph"/>
    <w:uiPriority w:val="1"/>
    <w:qFormat/>
    <w:rsid w:val="00717DFE"/>
    <w:pPr>
      <w:spacing w:line="275" w:lineRule="auto"/>
      <w:ind w:right="-12"/>
      <w:jc w:val="center"/>
    </w:pPr>
    <w:rPr>
      <w:rFonts w:ascii="Arial"/>
      <w:b/>
      <w:spacing w:val="-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F7"/>
    <w:pPr>
      <w:keepNext/>
      <w:keepLines/>
      <w:pageBreakBefore/>
      <w:widowControl/>
      <w:spacing w:before="360" w:after="24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0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8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73F7"/>
    <w:rPr>
      <w:rFonts w:ascii="Arial" w:eastAsiaTheme="majorEastAsia" w:hAnsi="Arial" w:cstheme="majorBidi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F29E8"/>
    <w:pPr>
      <w:widowControl/>
      <w:tabs>
        <w:tab w:val="center" w:pos="4513"/>
        <w:tab w:val="right" w:pos="9026"/>
      </w:tabs>
      <w:spacing w:before="120"/>
      <w:contextualSpacing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F29E8"/>
    <w:rPr>
      <w:b/>
    </w:rPr>
  </w:style>
  <w:style w:type="paragraph" w:styleId="Footer">
    <w:name w:val="footer"/>
    <w:basedOn w:val="Normal"/>
    <w:link w:val="FooterChar"/>
    <w:uiPriority w:val="99"/>
    <w:unhideWhenUsed/>
    <w:rsid w:val="004C2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30"/>
  </w:style>
  <w:style w:type="paragraph" w:customStyle="1" w:styleId="TableHeading">
    <w:name w:val="Table Heading"/>
    <w:basedOn w:val="TableParagraph"/>
    <w:uiPriority w:val="1"/>
    <w:qFormat/>
    <w:rsid w:val="00717DFE"/>
    <w:pPr>
      <w:spacing w:line="275" w:lineRule="auto"/>
      <w:ind w:right="-12"/>
      <w:jc w:val="center"/>
    </w:pPr>
    <w:rPr>
      <w:rFonts w:ascii="Arial"/>
      <w:b/>
      <w:spacing w:val="-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C5E86-3F88-4040-8494-7AD4FE639225}"/>
</file>

<file path=customXml/itemProps2.xml><?xml version="1.0" encoding="utf-8"?>
<ds:datastoreItem xmlns:ds="http://schemas.openxmlformats.org/officeDocument/2006/customXml" ds:itemID="{3BFEF7CF-D365-4F67-AFB9-01819FF2854B}"/>
</file>

<file path=customXml/itemProps3.xml><?xml version="1.0" encoding="utf-8"?>
<ds:datastoreItem xmlns:ds="http://schemas.openxmlformats.org/officeDocument/2006/customXml" ds:itemID="{9D4AE1D8-5E0C-4E2C-A760-749FE7746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Composite List of Tobacco Ingredients</vt:lpstr>
    </vt:vector>
  </TitlesOfParts>
  <Company>Department of Health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List of Tobacco Ingredients</dc:title>
  <dc:subject>Tobacco</dc:subject>
  <dc:creator>Department of Health</dc:creator>
  <cp:keywords>Tobacco; Philip Morris ltd; Tobacco ingredients; report</cp:keywords>
  <cp:lastModifiedBy>Health Transformation</cp:lastModifiedBy>
  <cp:revision>5</cp:revision>
  <cp:lastPrinted>2018-11-21T01:37:00Z</cp:lastPrinted>
  <dcterms:created xsi:type="dcterms:W3CDTF">2019-01-25T07:11:00Z</dcterms:created>
  <dcterms:modified xsi:type="dcterms:W3CDTF">2019-01-28T23:11:00Z</dcterms:modified>
  <cp:category>Tobacco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2018-04-29T00:00:00Z</vt:filetime>
  </property>
  <property fmtid="{D5CDD505-2E9C-101B-9397-08002B2CF9AE}" pid="4" name="ContentTypeId">
    <vt:lpwstr>0x010100E0627BD2E77EA4458DC41A270DF2E32B</vt:lpwstr>
  </property>
</Properties>
</file>