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1FB07" w14:textId="77777777" w:rsidR="00E421D6" w:rsidRDefault="00941E8D" w:rsidP="006E2C62">
      <w:pPr>
        <w:pStyle w:val="Heading1"/>
        <w:spacing w:before="480"/>
      </w:pPr>
      <w:bookmarkStart w:id="0" w:name="_GoBack"/>
      <w:r>
        <w:t>Introduction</w:t>
      </w:r>
      <w:r w:rsidR="002F6B91">
        <w:t xml:space="preserve"> of tobacco plain packaging in Australia</w:t>
      </w:r>
    </w:p>
    <w:bookmarkEnd w:id="0"/>
    <w:p w14:paraId="6BB1FB08" w14:textId="77777777" w:rsidR="00941E8D" w:rsidRDefault="00941E8D" w:rsidP="00941E8D">
      <w:pPr>
        <w:pStyle w:val="Heading2"/>
      </w:pPr>
      <w:r>
        <w:t>About plain packaging</w:t>
      </w:r>
    </w:p>
    <w:p w14:paraId="6BB1FB09" w14:textId="77777777" w:rsidR="00941E8D" w:rsidRDefault="00941E8D" w:rsidP="00941E8D">
      <w:r w:rsidRPr="00941E8D">
        <w:t>Since 1 December 2012, all tobacco products sold, offered for sale, or supplied in Australia must be in plain packaging.</w:t>
      </w:r>
    </w:p>
    <w:p w14:paraId="6BB1FB0A" w14:textId="12C1C6A4" w:rsidR="00941E8D" w:rsidRDefault="008F71BC" w:rsidP="00941E8D">
      <w:r>
        <w:t>T</w:t>
      </w:r>
      <w:r w:rsidR="00941E8D">
        <w:t xml:space="preserve">he </w:t>
      </w:r>
      <w:hyperlink r:id="rId11" w:history="1">
        <w:r w:rsidR="00941E8D" w:rsidRPr="004969CB">
          <w:rPr>
            <w:rStyle w:val="Hyperlink"/>
            <w:i/>
          </w:rPr>
          <w:t>Tobacco Plain Packaging Act 2011</w:t>
        </w:r>
      </w:hyperlink>
      <w:r>
        <w:t xml:space="preserve"> </w:t>
      </w:r>
      <w:r w:rsidR="00941E8D">
        <w:t>aims to improve public health by:</w:t>
      </w:r>
    </w:p>
    <w:p w14:paraId="6BB1FB0B" w14:textId="77777777" w:rsidR="00941E8D" w:rsidRDefault="00941E8D" w:rsidP="00941E8D">
      <w:pPr>
        <w:pStyle w:val="ListParagraph"/>
        <w:numPr>
          <w:ilvl w:val="0"/>
          <w:numId w:val="2"/>
        </w:numPr>
      </w:pPr>
      <w:r>
        <w:t>discouraging people from using tobacco products</w:t>
      </w:r>
    </w:p>
    <w:p w14:paraId="6BB1FB0C" w14:textId="77777777" w:rsidR="00941E8D" w:rsidRDefault="00941E8D" w:rsidP="00941E8D">
      <w:pPr>
        <w:pStyle w:val="ListParagraph"/>
        <w:numPr>
          <w:ilvl w:val="0"/>
          <w:numId w:val="2"/>
        </w:numPr>
      </w:pPr>
      <w:r>
        <w:t>encouraging people to give up using tobacco products</w:t>
      </w:r>
    </w:p>
    <w:p w14:paraId="6BB1FB0D" w14:textId="77777777" w:rsidR="00941E8D" w:rsidRDefault="00941E8D" w:rsidP="00941E8D">
      <w:pPr>
        <w:pStyle w:val="ListParagraph"/>
        <w:numPr>
          <w:ilvl w:val="0"/>
          <w:numId w:val="2"/>
        </w:numPr>
      </w:pPr>
      <w:r>
        <w:t>discouraging people from taking up tobacco use again</w:t>
      </w:r>
    </w:p>
    <w:p w14:paraId="6BB1FB0E" w14:textId="77777777" w:rsidR="00941E8D" w:rsidRDefault="00941E8D" w:rsidP="00941E8D">
      <w:pPr>
        <w:pStyle w:val="ListParagraph"/>
        <w:numPr>
          <w:ilvl w:val="0"/>
          <w:numId w:val="2"/>
        </w:numPr>
      </w:pPr>
      <w:r>
        <w:t>reducing exposure to tobacco smoke</w:t>
      </w:r>
    </w:p>
    <w:p w14:paraId="6BB1FB0F" w14:textId="77777777" w:rsidR="00941E8D" w:rsidRDefault="00A50E3B" w:rsidP="00941E8D">
      <w:r>
        <w:t>P</w:t>
      </w:r>
      <w:r w:rsidR="00941E8D">
        <w:t>lain packaging regulates the retail packaging and appearance of tobacco products to:</w:t>
      </w:r>
    </w:p>
    <w:p w14:paraId="6BB1FB10" w14:textId="77777777" w:rsidR="00941E8D" w:rsidRDefault="00941E8D" w:rsidP="00941E8D">
      <w:pPr>
        <w:pStyle w:val="ListParagraph"/>
        <w:numPr>
          <w:ilvl w:val="0"/>
          <w:numId w:val="2"/>
        </w:numPr>
      </w:pPr>
      <w:r>
        <w:t>reduce the appeal of tobacco products to consumers</w:t>
      </w:r>
    </w:p>
    <w:p w14:paraId="6BB1FB11" w14:textId="77777777" w:rsidR="00941E8D" w:rsidRDefault="00941E8D" w:rsidP="00941E8D">
      <w:pPr>
        <w:pStyle w:val="ListParagraph"/>
        <w:numPr>
          <w:ilvl w:val="0"/>
          <w:numId w:val="2"/>
        </w:numPr>
      </w:pPr>
      <w:r>
        <w:t>make health warnings more effective</w:t>
      </w:r>
    </w:p>
    <w:p w14:paraId="6BB1FB12" w14:textId="77777777" w:rsidR="00941E8D" w:rsidRDefault="00941E8D" w:rsidP="00941E8D">
      <w:pPr>
        <w:pStyle w:val="ListParagraph"/>
        <w:numPr>
          <w:ilvl w:val="0"/>
          <w:numId w:val="2"/>
        </w:numPr>
      </w:pPr>
      <w:r>
        <w:t>reduce the ability of the retail packaging to mislead consumers about the harmful effects of smoking or using tobacco products</w:t>
      </w:r>
    </w:p>
    <w:p w14:paraId="6BB1FB13" w14:textId="77777777" w:rsidR="00941E8D" w:rsidRDefault="00E42990" w:rsidP="00C6111A">
      <w:pPr>
        <w:pStyle w:val="Heading3"/>
      </w:pPr>
      <w:r>
        <w:t>P</w:t>
      </w:r>
      <w:r w:rsidR="00E814AA">
        <w:t>art of Australia’s t</w:t>
      </w:r>
      <w:r w:rsidR="00941E8D">
        <w:t>obacco control</w:t>
      </w:r>
      <w:r w:rsidR="00E814AA">
        <w:t xml:space="preserve"> measures</w:t>
      </w:r>
    </w:p>
    <w:p w14:paraId="6BB1FB14" w14:textId="77777777" w:rsidR="00941E8D" w:rsidRDefault="00941E8D" w:rsidP="00941E8D">
      <w:r>
        <w:t>Plain packaging is a key part of Australia’s package of tobacco control measures, which include:</w:t>
      </w:r>
    </w:p>
    <w:p w14:paraId="6BB1FB15" w14:textId="77777777" w:rsidR="00941E8D" w:rsidRDefault="00941E8D" w:rsidP="00941E8D">
      <w:pPr>
        <w:pStyle w:val="ListParagraph"/>
        <w:numPr>
          <w:ilvl w:val="0"/>
          <w:numId w:val="1"/>
        </w:numPr>
      </w:pPr>
      <w:r>
        <w:t>laws to restrict internet advertising o</w:t>
      </w:r>
      <w:r w:rsidR="00C6111A">
        <w:t>f tobacco products in Australia</w:t>
      </w:r>
      <w:r>
        <w:t xml:space="preserve"> from 6 September 2012</w:t>
      </w:r>
    </w:p>
    <w:p w14:paraId="6BB1FB16" w14:textId="77777777" w:rsidR="00941E8D" w:rsidRDefault="00941E8D" w:rsidP="00941E8D">
      <w:pPr>
        <w:pStyle w:val="ListParagraph"/>
        <w:numPr>
          <w:ilvl w:val="0"/>
          <w:numId w:val="1"/>
        </w:numPr>
      </w:pPr>
      <w:r>
        <w:t>anti-smoking social marketing campaigns</w:t>
      </w:r>
    </w:p>
    <w:p w14:paraId="6BB1FB17" w14:textId="77777777" w:rsidR="00941E8D" w:rsidRDefault="00941E8D" w:rsidP="00941E8D">
      <w:pPr>
        <w:pStyle w:val="ListParagraph"/>
        <w:numPr>
          <w:ilvl w:val="0"/>
          <w:numId w:val="1"/>
        </w:numPr>
      </w:pPr>
      <w:r>
        <w:t>the 25</w:t>
      </w:r>
      <w:r w:rsidR="00C6111A">
        <w:t>%</w:t>
      </w:r>
      <w:r>
        <w:t xml:space="preserve"> tobacco excise increase in April 2010</w:t>
      </w:r>
    </w:p>
    <w:p w14:paraId="6BB1FB18" w14:textId="77777777" w:rsidR="00941E8D" w:rsidRDefault="00941E8D" w:rsidP="004969CB">
      <w:pPr>
        <w:pStyle w:val="ListParagraph"/>
        <w:numPr>
          <w:ilvl w:val="0"/>
          <w:numId w:val="1"/>
        </w:numPr>
      </w:pPr>
      <w:r>
        <w:t>increases in excise and customs duty on tobacc</w:t>
      </w:r>
      <w:r w:rsidR="00C6111A">
        <w:t>o and tobacco-related products:</w:t>
      </w:r>
      <w:r w:rsidR="004969CB">
        <w:t xml:space="preserve"> </w:t>
      </w:r>
      <w:r>
        <w:t>12.5</w:t>
      </w:r>
      <w:r w:rsidR="008F71BC">
        <w:t>%</w:t>
      </w:r>
      <w:r>
        <w:t xml:space="preserve"> increases on 1 D</w:t>
      </w:r>
      <w:r w:rsidR="004969CB">
        <w:t>ecember 2013, 1 September 2014</w:t>
      </w:r>
      <w:r w:rsidR="00A50E3B">
        <w:t>,</w:t>
      </w:r>
      <w:r w:rsidR="004969CB">
        <w:t xml:space="preserve"> and then </w:t>
      </w:r>
      <w:r w:rsidR="00C6111A">
        <w:t xml:space="preserve">annually </w:t>
      </w:r>
      <w:r w:rsidR="008F71BC">
        <w:t>to</w:t>
      </w:r>
      <w:r w:rsidR="00C6111A">
        <w:t xml:space="preserve"> 1 September 2020</w:t>
      </w:r>
    </w:p>
    <w:p w14:paraId="6BB1FB19" w14:textId="77777777" w:rsidR="00941E8D" w:rsidRDefault="00941E8D" w:rsidP="00941E8D">
      <w:pPr>
        <w:pStyle w:val="ListParagraph"/>
        <w:numPr>
          <w:ilvl w:val="0"/>
          <w:numId w:val="1"/>
        </w:numPr>
      </w:pPr>
      <w:r>
        <w:t>a reduction in duty free concessions for tobacco products</w:t>
      </w:r>
    </w:p>
    <w:p w14:paraId="6BB1FB1A" w14:textId="77777777" w:rsidR="00941E8D" w:rsidRDefault="00941E8D" w:rsidP="00941E8D">
      <w:pPr>
        <w:pStyle w:val="ListParagraph"/>
        <w:numPr>
          <w:ilvl w:val="0"/>
          <w:numId w:val="1"/>
        </w:numPr>
      </w:pPr>
      <w:r>
        <w:t>stronger penalties</w:t>
      </w:r>
      <w:r w:rsidR="00C6111A">
        <w:t xml:space="preserve"> for tobacco smuggling offences</w:t>
      </w:r>
    </w:p>
    <w:p w14:paraId="6BB1FB1B" w14:textId="0EAAC60D" w:rsidR="00C6111A" w:rsidRDefault="00C6111A" w:rsidP="00C6111A">
      <w:pPr>
        <w:pStyle w:val="ListParagraph"/>
        <w:numPr>
          <w:ilvl w:val="0"/>
          <w:numId w:val="1"/>
        </w:numPr>
      </w:pPr>
      <w:r>
        <w:t xml:space="preserve">updated and expanded health warnings under the </w:t>
      </w:r>
      <w:hyperlink r:id="rId12" w:history="1">
        <w:r w:rsidRPr="00CF3ACC">
          <w:rPr>
            <w:rStyle w:val="Hyperlink"/>
          </w:rPr>
          <w:t>Competition and Consumer (Tobacco) Information Standard 2011</w:t>
        </w:r>
      </w:hyperlink>
    </w:p>
    <w:p w14:paraId="6BB1FB1C" w14:textId="77777777" w:rsidR="00C6111A" w:rsidRDefault="00C6111A" w:rsidP="00C6111A">
      <w:r>
        <w:t xml:space="preserve">The updated health warning </w:t>
      </w:r>
      <w:r w:rsidR="00E814AA">
        <w:t>standard</w:t>
      </w:r>
      <w:r>
        <w:t>, which started on 1 January 2012 and took full effect from 1 December 2012, requires health warnings to cover at least:</w:t>
      </w:r>
    </w:p>
    <w:p w14:paraId="6BB1FB1D" w14:textId="77777777" w:rsidR="00C6111A" w:rsidRDefault="00C6111A" w:rsidP="00C6111A">
      <w:pPr>
        <w:pStyle w:val="ListParagraph"/>
        <w:numPr>
          <w:ilvl w:val="0"/>
          <w:numId w:val="3"/>
        </w:numPr>
      </w:pPr>
      <w:r>
        <w:t>75% of the front of most tobacco packaging</w:t>
      </w:r>
    </w:p>
    <w:p w14:paraId="6BB1FB1E" w14:textId="77777777" w:rsidR="00C6111A" w:rsidRDefault="00C6111A" w:rsidP="00C6111A">
      <w:pPr>
        <w:pStyle w:val="ListParagraph"/>
        <w:numPr>
          <w:ilvl w:val="0"/>
          <w:numId w:val="3"/>
        </w:numPr>
      </w:pPr>
      <w:r>
        <w:t>90% of the back of cigarette packaging</w:t>
      </w:r>
    </w:p>
    <w:p w14:paraId="6BB1FB1F" w14:textId="77777777" w:rsidR="00C6111A" w:rsidRDefault="00C6111A" w:rsidP="00C6111A">
      <w:pPr>
        <w:pStyle w:val="ListParagraph"/>
        <w:numPr>
          <w:ilvl w:val="0"/>
          <w:numId w:val="3"/>
        </w:numPr>
      </w:pPr>
      <w:r>
        <w:t>75% of the back of most other tobacco product packaging)</w:t>
      </w:r>
    </w:p>
    <w:p w14:paraId="6BB1FB20" w14:textId="77777777" w:rsidR="00E814AA" w:rsidRDefault="00E814AA" w:rsidP="00E814AA">
      <w:pPr>
        <w:pStyle w:val="Heading2"/>
      </w:pPr>
      <w:r>
        <w:lastRenderedPageBreak/>
        <w:t>How the plain packaging law was developed</w:t>
      </w:r>
    </w:p>
    <w:p w14:paraId="6BB1FB21" w14:textId="77777777" w:rsidR="002F6B91" w:rsidRDefault="00805E87" w:rsidP="00E814AA">
      <w:pPr>
        <w:pStyle w:val="Heading3"/>
      </w:pPr>
      <w:r>
        <w:t>2009 — e</w:t>
      </w:r>
      <w:r w:rsidR="004969CB">
        <w:t>vidence in support of plain packaging</w:t>
      </w:r>
      <w:r w:rsidR="00E814AA">
        <w:t xml:space="preserve"> </w:t>
      </w:r>
    </w:p>
    <w:p w14:paraId="6BB1FB22" w14:textId="77777777" w:rsidR="00E814AA" w:rsidRDefault="00E814AA" w:rsidP="002F6B91">
      <w:r>
        <w:t>The National Preventative Health Taskforce, a group of Australia’s leading public health experts, set out e</w:t>
      </w:r>
      <w:r w:rsidR="002F6B91">
        <w:t xml:space="preserve">xtensive research evidence </w:t>
      </w:r>
      <w:r w:rsidR="002F6B91" w:rsidRPr="00E814AA">
        <w:t>to</w:t>
      </w:r>
      <w:r w:rsidR="00805E87">
        <w:t xml:space="preserve"> </w:t>
      </w:r>
      <w:r w:rsidR="002F6B91" w:rsidRPr="00E814AA">
        <w:t>June 2009</w:t>
      </w:r>
      <w:r w:rsidR="002F6B91">
        <w:t xml:space="preserve"> in support of plain packaging. </w:t>
      </w:r>
    </w:p>
    <w:p w14:paraId="6BB1FB23" w14:textId="71B76F99" w:rsidR="002F6B91" w:rsidRDefault="00805E87" w:rsidP="002F6B91">
      <w:r>
        <w:t>Read the</w:t>
      </w:r>
      <w:r w:rsidR="002F6B91">
        <w:t xml:space="preserve"> </w:t>
      </w:r>
      <w:hyperlink r:id="rId13" w:history="1">
        <w:r w:rsidR="002F6B91" w:rsidRPr="00805E87">
          <w:rPr>
            <w:rStyle w:val="Hyperlink"/>
          </w:rPr>
          <w:t>Taskforc</w:t>
        </w:r>
        <w:r w:rsidR="008F71BC">
          <w:rPr>
            <w:rStyle w:val="Hyperlink"/>
          </w:rPr>
          <w:t>e reports</w:t>
        </w:r>
      </w:hyperlink>
      <w:r w:rsidR="002F6B91">
        <w:t xml:space="preserve"> and </w:t>
      </w:r>
      <w:hyperlink r:id="rId14" w:history="1">
        <w:r w:rsidR="002F6B91" w:rsidRPr="00805E87">
          <w:rPr>
            <w:rStyle w:val="Hyperlink"/>
          </w:rPr>
          <w:t>government response</w:t>
        </w:r>
      </w:hyperlink>
      <w:r w:rsidR="002F6B91">
        <w:t xml:space="preserve"> </w:t>
      </w:r>
      <w:r w:rsidR="00E42990">
        <w:t>o</w:t>
      </w:r>
      <w:r>
        <w:t xml:space="preserve">n the </w:t>
      </w:r>
      <w:r w:rsidR="00DB7A33">
        <w:t>Aus</w:t>
      </w:r>
      <w:r w:rsidR="00CF3ACC">
        <w:t>tralian Government Web Archive.</w:t>
      </w:r>
    </w:p>
    <w:p w14:paraId="6BB1FB24" w14:textId="77777777" w:rsidR="002F6B91" w:rsidRDefault="00805E87" w:rsidP="00E814AA">
      <w:pPr>
        <w:pStyle w:val="Heading3"/>
      </w:pPr>
      <w:r>
        <w:t>2011 — m</w:t>
      </w:r>
      <w:r w:rsidR="002F6B91">
        <w:t xml:space="preserve">arket </w:t>
      </w:r>
      <w:r>
        <w:t>research</w:t>
      </w:r>
      <w:r w:rsidR="00E814AA">
        <w:t xml:space="preserve"> of plain packaging</w:t>
      </w:r>
    </w:p>
    <w:p w14:paraId="6BB1FB25" w14:textId="77777777" w:rsidR="00805E87" w:rsidRDefault="002F6B91" w:rsidP="002F6B91">
      <w:r>
        <w:t xml:space="preserve">In </w:t>
      </w:r>
      <w:r w:rsidRPr="00805E87">
        <w:t>2011</w:t>
      </w:r>
      <w:r>
        <w:t xml:space="preserve">, </w:t>
      </w:r>
      <w:r w:rsidR="00805E87">
        <w:t xml:space="preserve">we commissioned </w:t>
      </w:r>
      <w:r>
        <w:t xml:space="preserve">consumer and market research reports </w:t>
      </w:r>
      <w:r w:rsidR="00805E87">
        <w:t>on:</w:t>
      </w:r>
    </w:p>
    <w:p w14:paraId="6BB1FB26" w14:textId="77777777" w:rsidR="00805E87" w:rsidRDefault="002F6B91" w:rsidP="00805E87">
      <w:pPr>
        <w:pStyle w:val="ListParagraph"/>
        <w:numPr>
          <w:ilvl w:val="0"/>
          <w:numId w:val="4"/>
        </w:numPr>
      </w:pPr>
      <w:r>
        <w:t>market testing of new health warnings and information message</w:t>
      </w:r>
      <w:r w:rsidR="00805E87">
        <w:t>s for tobacco product packaging</w:t>
      </w:r>
    </w:p>
    <w:p w14:paraId="6BB1FB27" w14:textId="77777777" w:rsidR="00E814AA" w:rsidRDefault="002F6B91" w:rsidP="00805E87">
      <w:pPr>
        <w:pStyle w:val="ListParagraph"/>
        <w:numPr>
          <w:ilvl w:val="0"/>
          <w:numId w:val="4"/>
        </w:numPr>
      </w:pPr>
      <w:r>
        <w:t xml:space="preserve">market research to </w:t>
      </w:r>
      <w:r w:rsidR="00805E87">
        <w:t>decide</w:t>
      </w:r>
      <w:r>
        <w:t xml:space="preserve"> effective plain</w:t>
      </w:r>
      <w:r w:rsidR="00805E87">
        <w:t xml:space="preserve"> packaging of tobacco products</w:t>
      </w:r>
    </w:p>
    <w:p w14:paraId="6BB1FB28" w14:textId="77777777" w:rsidR="00C412F7" w:rsidRDefault="002F6B91" w:rsidP="002F6B91">
      <w:r>
        <w:t xml:space="preserve">The research reports informed the approach to the current graphic health warnings and the design of plain packaging for cigarettes. </w:t>
      </w:r>
    </w:p>
    <w:p w14:paraId="6BB1FB29" w14:textId="29B9DB34" w:rsidR="002F6B91" w:rsidRDefault="00C412F7" w:rsidP="002F6B91">
      <w:r>
        <w:t>Read the</w:t>
      </w:r>
      <w:r w:rsidR="002F6B91">
        <w:t xml:space="preserve"> </w:t>
      </w:r>
      <w:hyperlink r:id="rId15" w:history="1">
        <w:r w:rsidR="002F6B91" w:rsidRPr="00C412F7">
          <w:rPr>
            <w:rStyle w:val="Hyperlink"/>
          </w:rPr>
          <w:t xml:space="preserve">research </w:t>
        </w:r>
        <w:r w:rsidRPr="00C412F7">
          <w:rPr>
            <w:rStyle w:val="Hyperlink"/>
          </w:rPr>
          <w:t xml:space="preserve">reports </w:t>
        </w:r>
        <w:r w:rsidR="002F6B91" w:rsidRPr="00C412F7">
          <w:rPr>
            <w:rStyle w:val="Hyperlink"/>
          </w:rPr>
          <w:t>on tobacco plain packaging and graphic health warnings</w:t>
        </w:r>
      </w:hyperlink>
      <w:r>
        <w:t>.</w:t>
      </w:r>
    </w:p>
    <w:p w14:paraId="6BB1FB2A" w14:textId="77777777" w:rsidR="002F6B91" w:rsidRDefault="00805E87" w:rsidP="00E814AA">
      <w:pPr>
        <w:pStyle w:val="Heading3"/>
      </w:pPr>
      <w:r>
        <w:t>2011 — c</w:t>
      </w:r>
      <w:r w:rsidR="002F6B91">
        <w:t xml:space="preserve">onsultations </w:t>
      </w:r>
      <w:r w:rsidR="00A50607">
        <w:t>with the public and stakeholders</w:t>
      </w:r>
    </w:p>
    <w:p w14:paraId="6BB1FB2B" w14:textId="77777777" w:rsidR="00805E87" w:rsidRDefault="00805E87" w:rsidP="002F6B91">
      <w:r>
        <w:t>To help us develop the tobacco plain packaging law, we held:</w:t>
      </w:r>
    </w:p>
    <w:p w14:paraId="6BB1FB2C" w14:textId="77777777" w:rsidR="00805E87" w:rsidRDefault="002F6B91" w:rsidP="00805E87">
      <w:pPr>
        <w:pStyle w:val="ListParagraph"/>
        <w:numPr>
          <w:ilvl w:val="0"/>
          <w:numId w:val="5"/>
        </w:numPr>
      </w:pPr>
      <w:r>
        <w:t>formal public consultation processes</w:t>
      </w:r>
    </w:p>
    <w:p w14:paraId="6BB1FB2D" w14:textId="77777777" w:rsidR="00805E87" w:rsidRDefault="002F6B91" w:rsidP="00805E87">
      <w:pPr>
        <w:pStyle w:val="ListParagraph"/>
        <w:numPr>
          <w:ilvl w:val="0"/>
          <w:numId w:val="5"/>
        </w:numPr>
      </w:pPr>
      <w:r>
        <w:t xml:space="preserve">targeted consultation with </w:t>
      </w:r>
      <w:r w:rsidR="00E42990">
        <w:t>stakeholders</w:t>
      </w:r>
    </w:p>
    <w:p w14:paraId="6BB1FB2E" w14:textId="77777777" w:rsidR="002F6B91" w:rsidRDefault="00A50607" w:rsidP="00805E87">
      <w:r>
        <w:t xml:space="preserve">Find out more about the </w:t>
      </w:r>
      <w:hyperlink r:id="rId16" w:history="1">
        <w:r w:rsidRPr="00A50607">
          <w:rPr>
            <w:rStyle w:val="Hyperlink"/>
          </w:rPr>
          <w:t>public consultation on plain packaging of tobacco products</w:t>
        </w:r>
      </w:hyperlink>
      <w:r>
        <w:t xml:space="preserve"> on the Australian Government Web Archive, </w:t>
      </w:r>
      <w:r w:rsidR="002F6B91">
        <w:t>including consultati</w:t>
      </w:r>
      <w:r w:rsidR="008F71BC">
        <w:t>on papers and submissions</w:t>
      </w:r>
      <w:r>
        <w:t>.</w:t>
      </w:r>
    </w:p>
    <w:p w14:paraId="6BB1FB2F" w14:textId="77777777" w:rsidR="00941E8D" w:rsidRDefault="00805E87" w:rsidP="00805E87">
      <w:pPr>
        <w:pStyle w:val="Heading3"/>
      </w:pPr>
      <w:r>
        <w:t>2012 — plain packaging laws takes effect</w:t>
      </w:r>
    </w:p>
    <w:p w14:paraId="6BB1FB30" w14:textId="57B34779" w:rsidR="00805E87" w:rsidRDefault="00941E8D" w:rsidP="00941E8D">
      <w:r>
        <w:t xml:space="preserve">The </w:t>
      </w:r>
      <w:hyperlink r:id="rId17" w:history="1">
        <w:r w:rsidRPr="00C9038E">
          <w:rPr>
            <w:rStyle w:val="Hyperlink"/>
            <w:i/>
          </w:rPr>
          <w:t>Tobacco Plain Packaging Act 20</w:t>
        </w:r>
        <w:r w:rsidR="00805E87" w:rsidRPr="00C9038E">
          <w:rPr>
            <w:rStyle w:val="Hyperlink"/>
            <w:i/>
          </w:rPr>
          <w:t>11</w:t>
        </w:r>
      </w:hyperlink>
      <w:r w:rsidR="00805E87">
        <w:t xml:space="preserve"> </w:t>
      </w:r>
      <w:r>
        <w:t xml:space="preserve">received </w:t>
      </w:r>
      <w:r w:rsidR="00805E87">
        <w:t xml:space="preserve">Royal Assent on 1 December 2011. </w:t>
      </w:r>
    </w:p>
    <w:p w14:paraId="6BB1FB31" w14:textId="77777777" w:rsidR="00941E8D" w:rsidRDefault="00E42990" w:rsidP="00941E8D">
      <w:r>
        <w:t xml:space="preserve">The Act took effect on </w:t>
      </w:r>
      <w:r w:rsidR="00805E87">
        <w:t>1 December 2012</w:t>
      </w:r>
      <w:r>
        <w:t>.</w:t>
      </w:r>
    </w:p>
    <w:p w14:paraId="6BB1FB32" w14:textId="38A5E293" w:rsidR="00941E8D" w:rsidRDefault="00E42990" w:rsidP="00941E8D">
      <w:r>
        <w:t>T</w:t>
      </w:r>
      <w:r w:rsidR="00805E87">
        <w:t>he</w:t>
      </w:r>
      <w:r w:rsidR="00941E8D">
        <w:t xml:space="preserve"> </w:t>
      </w:r>
      <w:hyperlink r:id="rId18" w:history="1">
        <w:r w:rsidR="00941E8D" w:rsidRPr="00C9038E">
          <w:rPr>
            <w:rStyle w:val="Hyperlink"/>
          </w:rPr>
          <w:t>Tobacco Plain Packaging Regulations 2011</w:t>
        </w:r>
      </w:hyperlink>
      <w:r w:rsidR="00941E8D">
        <w:t xml:space="preserve"> </w:t>
      </w:r>
      <w:r>
        <w:t>were made by the</w:t>
      </w:r>
      <w:r w:rsidRPr="00E42990">
        <w:t xml:space="preserve"> </w:t>
      </w:r>
      <w:r>
        <w:t xml:space="preserve">Governor-General in Council </w:t>
      </w:r>
      <w:r w:rsidR="00805E87">
        <w:t>on 7 November 2011. These regulations set out</w:t>
      </w:r>
      <w:r w:rsidR="00941E8D">
        <w:t xml:space="preserve"> plain packaging </w:t>
      </w:r>
      <w:r w:rsidR="00805E87">
        <w:t>requirements</w:t>
      </w:r>
      <w:r w:rsidR="00941E8D">
        <w:t xml:space="preserve"> for </w:t>
      </w:r>
      <w:r w:rsidR="00C9038E">
        <w:t>non-cigarette tobacco products.</w:t>
      </w:r>
    </w:p>
    <w:p w14:paraId="6BB1FB33" w14:textId="77777777" w:rsidR="00805E87" w:rsidRDefault="00805E87" w:rsidP="00805E87">
      <w:pPr>
        <w:pStyle w:val="Heading2"/>
      </w:pPr>
      <w:r>
        <w:t>Find out more</w:t>
      </w:r>
    </w:p>
    <w:p w14:paraId="6BB1FB34" w14:textId="77777777" w:rsidR="00A50607" w:rsidRDefault="00A50607" w:rsidP="00941E8D">
      <w:r>
        <w:t xml:space="preserve">Find out more about </w:t>
      </w:r>
      <w:hyperlink r:id="rId19" w:history="1">
        <w:r w:rsidRPr="00A50607">
          <w:rPr>
            <w:rStyle w:val="Hyperlink"/>
          </w:rPr>
          <w:t>tobacco plain packaging</w:t>
        </w:r>
      </w:hyperlink>
      <w:r>
        <w:t xml:space="preserve"> on the Health website, including:</w:t>
      </w:r>
    </w:p>
    <w:p w14:paraId="6BB1FB35" w14:textId="77777777" w:rsidR="00A50607" w:rsidRDefault="00941E8D" w:rsidP="00A50607">
      <w:pPr>
        <w:pStyle w:val="ListParagraph"/>
        <w:numPr>
          <w:ilvl w:val="0"/>
          <w:numId w:val="6"/>
        </w:numPr>
      </w:pPr>
      <w:r>
        <w:t>how to make a com</w:t>
      </w:r>
      <w:r w:rsidR="00A50607">
        <w:t>plaint about a potential breach</w:t>
      </w:r>
    </w:p>
    <w:p w14:paraId="6BB1FB36" w14:textId="77777777" w:rsidR="00941E8D" w:rsidRDefault="00A50607" w:rsidP="002F6B91">
      <w:pPr>
        <w:pStyle w:val="ListParagraph"/>
        <w:numPr>
          <w:ilvl w:val="0"/>
          <w:numId w:val="6"/>
        </w:numPr>
      </w:pPr>
      <w:r>
        <w:t>resources for manufacturers, importers and suppliers</w:t>
      </w:r>
    </w:p>
    <w:sectPr w:rsidR="00941E8D" w:rsidSect="006E2C62">
      <w:footerReference w:type="default" r:id="rId20"/>
      <w:headerReference w:type="first" r:id="rId21"/>
      <w:footerReference w:type="first" r:id="rId22"/>
      <w:pgSz w:w="11906" w:h="16838"/>
      <w:pgMar w:top="899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1FB39" w14:textId="77777777" w:rsidR="00A50607" w:rsidRDefault="00A50607" w:rsidP="00A50607">
      <w:pPr>
        <w:spacing w:after="0"/>
      </w:pPr>
      <w:r>
        <w:separator/>
      </w:r>
    </w:p>
  </w:endnote>
  <w:endnote w:type="continuationSeparator" w:id="0">
    <w:p w14:paraId="6BB1FB3A" w14:textId="77777777" w:rsidR="00A50607" w:rsidRDefault="00A50607" w:rsidP="00A506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680259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76C6A9E" w14:textId="27A1C940" w:rsidR="006E2C62" w:rsidRDefault="006E2C6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EF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2C6D47E8" w14:textId="77777777" w:rsidR="006E2C62" w:rsidRDefault="006E2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8659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6CD0FBC" w14:textId="1906974A" w:rsidR="008F1311" w:rsidRDefault="008F131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EF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7645718" w14:textId="77777777" w:rsidR="008F1311" w:rsidRDefault="008F1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1FB37" w14:textId="77777777" w:rsidR="00A50607" w:rsidRDefault="00A50607" w:rsidP="00A50607">
      <w:pPr>
        <w:spacing w:after="0"/>
      </w:pPr>
      <w:r>
        <w:separator/>
      </w:r>
    </w:p>
  </w:footnote>
  <w:footnote w:type="continuationSeparator" w:id="0">
    <w:p w14:paraId="6BB1FB38" w14:textId="77777777" w:rsidR="00A50607" w:rsidRDefault="00A50607" w:rsidP="00A506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9FA21" w14:textId="652818CF" w:rsidR="008F1311" w:rsidRDefault="008F1311">
    <w:pPr>
      <w:pStyle w:val="Header"/>
    </w:pPr>
    <w:r>
      <w:rPr>
        <w:noProof/>
        <w:lang w:eastAsia="en-AU"/>
      </w:rPr>
      <w:drawing>
        <wp:inline distT="0" distB="0" distL="0" distR="0" wp14:anchorId="4E4CBCE0" wp14:editId="70F6CAFE">
          <wp:extent cx="1409700" cy="933450"/>
          <wp:effectExtent l="0" t="0" r="0" b="0"/>
          <wp:docPr id="1" name="Picture 1" descr="Australian Government,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H-cr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359D"/>
    <w:multiLevelType w:val="hybridMultilevel"/>
    <w:tmpl w:val="04AA2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041DB"/>
    <w:multiLevelType w:val="hybridMultilevel"/>
    <w:tmpl w:val="65AA9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D7886"/>
    <w:multiLevelType w:val="hybridMultilevel"/>
    <w:tmpl w:val="FFC275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E585B"/>
    <w:multiLevelType w:val="hybridMultilevel"/>
    <w:tmpl w:val="BF001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B02D7"/>
    <w:multiLevelType w:val="hybridMultilevel"/>
    <w:tmpl w:val="1D2EB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05D56"/>
    <w:multiLevelType w:val="hybridMultilevel"/>
    <w:tmpl w:val="333AA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3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9B"/>
    <w:rsid w:val="0011369B"/>
    <w:rsid w:val="00244156"/>
    <w:rsid w:val="002F6B91"/>
    <w:rsid w:val="004969CB"/>
    <w:rsid w:val="006677AD"/>
    <w:rsid w:val="006E2C62"/>
    <w:rsid w:val="007213AD"/>
    <w:rsid w:val="00733C41"/>
    <w:rsid w:val="007C6E65"/>
    <w:rsid w:val="00805E87"/>
    <w:rsid w:val="008F1311"/>
    <w:rsid w:val="008F71BC"/>
    <w:rsid w:val="00941E8D"/>
    <w:rsid w:val="00A50607"/>
    <w:rsid w:val="00A50E3B"/>
    <w:rsid w:val="00C412F7"/>
    <w:rsid w:val="00C6111A"/>
    <w:rsid w:val="00C9038E"/>
    <w:rsid w:val="00CF3ACC"/>
    <w:rsid w:val="00DB7A33"/>
    <w:rsid w:val="00E421D6"/>
    <w:rsid w:val="00E42990"/>
    <w:rsid w:val="00E814AA"/>
    <w:rsid w:val="00EF0EF7"/>
    <w:rsid w:val="00F5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B1FB07"/>
  <w15:docId w15:val="{3FB0F28F-EB7B-4785-A407-1A5E9B8E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B91"/>
    <w:pPr>
      <w:spacing w:after="240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A50607"/>
    <w:pPr>
      <w:keepNext/>
      <w:outlineLvl w:val="0"/>
    </w:pPr>
    <w:rPr>
      <w:rFonts w:ascii="Arial" w:hAnsi="Arial" w:cs="Arial"/>
      <w:bCs/>
      <w:kern w:val="28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6E2C62"/>
    <w:pPr>
      <w:keepNext/>
      <w:pBdr>
        <w:bottom w:val="single" w:sz="4" w:space="1" w:color="auto"/>
      </w:pBdr>
      <w:spacing w:before="240" w:line="360" w:lineRule="auto"/>
      <w:outlineLvl w:val="1"/>
    </w:pPr>
    <w:rPr>
      <w:rFonts w:ascii="Arial" w:hAnsi="Arial" w:cs="Arial"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2F6B91"/>
    <w:pPr>
      <w:keepNext/>
      <w:spacing w:before="360"/>
      <w:outlineLvl w:val="2"/>
    </w:pPr>
    <w:rPr>
      <w:rFonts w:ascii="Arial" w:hAnsi="Arial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2F6B91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F6B91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2F6B91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paragraph">
    <w:name w:val="Intro paragraph"/>
    <w:basedOn w:val="Normal"/>
    <w:link w:val="IntroparagraphChar"/>
    <w:qFormat/>
    <w:rsid w:val="002F6B91"/>
    <w:rPr>
      <w:sz w:val="26"/>
    </w:rPr>
  </w:style>
  <w:style w:type="character" w:customStyle="1" w:styleId="IntroparagraphChar">
    <w:name w:val="Intro paragraph Char"/>
    <w:basedOn w:val="DefaultParagraphFont"/>
    <w:link w:val="Introparagraph"/>
    <w:rsid w:val="002F6B91"/>
    <w:rPr>
      <w:rFonts w:asciiTheme="minorHAnsi" w:hAnsiTheme="minorHAnsi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A50607"/>
    <w:rPr>
      <w:rFonts w:ascii="Arial" w:hAnsi="Arial" w:cs="Arial"/>
      <w:bCs/>
      <w:kern w:val="28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6E2C62"/>
    <w:rPr>
      <w:rFonts w:ascii="Arial" w:hAnsi="Arial" w:cs="Arial"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2F6B91"/>
    <w:rPr>
      <w:rFonts w:ascii="Arial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2F6B91"/>
    <w:rPr>
      <w:rFonts w:ascii="Arial" w:hAnsi="Arial"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F6B91"/>
    <w:rPr>
      <w:rFonts w:asciiTheme="minorHAnsi" w:hAnsiTheme="minorHAnsi"/>
      <w:b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2F6B91"/>
    <w:rPr>
      <w:rFonts w:asciiTheme="minorHAnsi" w:hAnsiTheme="minorHAnsi"/>
      <w:b/>
      <w:bCs/>
      <w:i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2F6B91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2F6B91"/>
    <w:rPr>
      <w:rFonts w:ascii="Arial" w:eastAsiaTheme="majorEastAsia" w:hAnsi="Arial" w:cstheme="majorBidi"/>
      <w:b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qFormat/>
    <w:rsid w:val="002F6B91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2F6B91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styleId="Strong">
    <w:name w:val="Strong"/>
    <w:basedOn w:val="DefaultParagraphFont"/>
    <w:qFormat/>
    <w:rsid w:val="002F6B91"/>
    <w:rPr>
      <w:b/>
      <w:bCs/>
    </w:rPr>
  </w:style>
  <w:style w:type="character" w:styleId="Emphasis">
    <w:name w:val="Emphasis"/>
    <w:basedOn w:val="DefaultParagraphFont"/>
    <w:qFormat/>
    <w:rsid w:val="002F6B91"/>
    <w:rPr>
      <w:i/>
      <w:iCs/>
    </w:rPr>
  </w:style>
  <w:style w:type="paragraph" w:styleId="NoSpacing">
    <w:name w:val="No Spacing"/>
    <w:uiPriority w:val="1"/>
    <w:qFormat/>
    <w:rsid w:val="002F6B9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6B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F6B91"/>
    <w:rPr>
      <w:rFonts w:ascii="Times New Roman" w:hAnsi="Times New Roman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F6B91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B9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B91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F6B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F6B9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F6B9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6B91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2F6B91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4969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60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0607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5060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0607"/>
    <w:rPr>
      <w:rFonts w:asciiTheme="minorHAnsi" w:hAnsiTheme="minorHAnsi"/>
      <w:sz w:val="2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3AC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3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AC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ACC"/>
    <w:rPr>
      <w:rFonts w:asciiTheme="minorHAnsi" w:hAnsiTheme="minorHAns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A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ebarchive.nla.gov.au/gov/20160923060300/http:/www.preventativehealth.org.au/internet/preventativehealth/publishing.nsf/Content/national-preventative-health-strategy-1lp" TargetMode="External"/><Relationship Id="rId18" Type="http://schemas.openxmlformats.org/officeDocument/2006/relationships/hyperlink" Target="https://www.legislation.gov.au/Series/F2011L02644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Series/F2011L02766" TargetMode="External"/><Relationship Id="rId17" Type="http://schemas.openxmlformats.org/officeDocument/2006/relationships/hyperlink" Target="https://www.legislation.gov.au/Series/C2011A0014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ebarchive.nla.gov.au/gov/20140213094548/http:/www.health.gov.au/internet/yourhealth/publishing.nsf/Content/plainpack-non-cig-tob-produc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Series/C2011A00148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beta.health.gov.au/resources/collections/market-research-reports-on-tobacco-plain-packaging-and-graphic-health-warning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beta.health.gov.au/health-topics/smoking-and-tobacco/tobacco-control/tobacco-plain-packag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ontent.webarchive.nla.gov.au/gov/wayback/20101017032444/http:/www.health.gov.au/internet/preventativehealth/publishing.nsf/Content/taking-preventative-action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4CEF0-C950-4174-A4B8-D8D81BE9E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A927A9-5727-45EA-B574-186591777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4C133-C4B3-47D4-89D9-4B9CC44FE2E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F0DF59-E332-4E47-AAAA-B1B75A4B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682</Words>
  <Characters>3907</Characters>
  <Application>Microsoft Office Word</Application>
  <DocSecurity>0</DocSecurity>
  <Lines>76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of tobacco plain packaging in Australia</dc:title>
  <dc:creator>Department of Health</dc:creator>
  <cp:keywords>smoking tobacco plain packaging</cp:keywords>
  <cp:lastModifiedBy>McCay, Meryl</cp:lastModifiedBy>
  <cp:revision>11</cp:revision>
  <dcterms:created xsi:type="dcterms:W3CDTF">2018-12-20T08:22:00Z</dcterms:created>
  <dcterms:modified xsi:type="dcterms:W3CDTF">2019-04-01T04:17:00Z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0x010100E0627BD2E77EA4458DC41A270DF2E32B</vt:lpwstr>
  </property>
</Properties>
</file>