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55" w:rsidRDefault="001E1555" w:rsidP="001E1555">
      <w:pPr>
        <w:pStyle w:val="Title"/>
        <w:jc w:val="center"/>
      </w:pPr>
      <w:r>
        <w:rPr>
          <w:noProof/>
          <w:lang w:eastAsia="en-AU"/>
        </w:rPr>
        <w:drawing>
          <wp:inline distT="0" distB="0" distL="0" distR="0">
            <wp:extent cx="1724025" cy="1141584"/>
            <wp:effectExtent l="0" t="0" r="0" b="0"/>
            <wp:docPr id="1" name="Picture 1" descr="Australian Government, Department of Health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H-cres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14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6F9" w:rsidRPr="001E1555" w:rsidRDefault="002D36F9" w:rsidP="001E1555">
      <w:pPr>
        <w:pStyle w:val="Title"/>
      </w:pPr>
      <w:bookmarkStart w:id="0" w:name="_GoBack"/>
      <w:bookmarkEnd w:id="0"/>
      <w:r w:rsidRPr="001E1555">
        <w:t>Health’s Gender Equality &amp; Flexibility</w:t>
      </w:r>
      <w:r w:rsidR="001E1555">
        <w:t xml:space="preserve"> </w:t>
      </w:r>
      <w:r w:rsidRPr="001E1555">
        <w:t>BLUEPRINT 2017-20</w:t>
      </w:r>
    </w:p>
    <w:p w:rsidR="002D36F9" w:rsidRPr="001E1555" w:rsidRDefault="002D36F9" w:rsidP="001E1555">
      <w:pPr>
        <w:pStyle w:val="Heading1"/>
      </w:pPr>
      <w:r w:rsidRPr="001E1555">
        <w:t>Health's Commitment</w:t>
      </w:r>
    </w:p>
    <w:p w:rsidR="002D36F9" w:rsidRDefault="002D36F9" w:rsidP="001E1555">
      <w:r>
        <w:t xml:space="preserve">The Department acknowledges and respects the importance </w:t>
      </w:r>
      <w:proofErr w:type="gramStart"/>
      <w:r>
        <w:t>of  diversity</w:t>
      </w:r>
      <w:proofErr w:type="gramEnd"/>
      <w:r>
        <w:t xml:space="preserve"> in our workforce, its representation of the community we serve, and the strength it brings to our workforce. </w:t>
      </w:r>
    </w:p>
    <w:p w:rsidR="002D36F9" w:rsidRDefault="002D36F9" w:rsidP="001E1555">
      <w:r>
        <w:t>We are building a culture where flexible working arrangements are for everyone.</w:t>
      </w:r>
    </w:p>
    <w:p w:rsidR="002D36F9" w:rsidRPr="002D36F9" w:rsidRDefault="002D36F9" w:rsidP="002D36F9">
      <w:pPr>
        <w:spacing w:after="0"/>
        <w:rPr>
          <w:i/>
        </w:rPr>
      </w:pPr>
      <w:r w:rsidRPr="002D36F9">
        <w:rPr>
          <w:i/>
        </w:rPr>
        <w:t>People Strategy 2016-20</w:t>
      </w:r>
    </w:p>
    <w:p w:rsidR="002D36F9" w:rsidRPr="001E1555" w:rsidRDefault="002D36F9" w:rsidP="001E1555">
      <w:pPr>
        <w:pStyle w:val="Heading2"/>
      </w:pPr>
      <w:r w:rsidRPr="001E1555">
        <w:t>Driving a supportive and enabling workplace culture</w:t>
      </w:r>
    </w:p>
    <w:p w:rsidR="002D36F9" w:rsidRDefault="002D36F9" w:rsidP="001E1555">
      <w:r>
        <w:t>Culture is important at Health, and we strive to be a flexible and inclusive organisation. Together we seek to balance employees' personal and working lives, and offer flexible solutions to meet operational needs.</w:t>
      </w:r>
    </w:p>
    <w:p w:rsidR="002D36F9" w:rsidRPr="001E1555" w:rsidRDefault="002D36F9" w:rsidP="001E1555">
      <w:pPr>
        <w:pStyle w:val="Heading3"/>
      </w:pPr>
      <w:r w:rsidRPr="001E1555">
        <w:t>To achieve this, we will:</w:t>
      </w:r>
    </w:p>
    <w:p w:rsidR="002D36F9" w:rsidRDefault="002D36F9" w:rsidP="002D36F9">
      <w:pPr>
        <w:pStyle w:val="ListParagraph"/>
        <w:numPr>
          <w:ilvl w:val="0"/>
          <w:numId w:val="1"/>
        </w:numPr>
        <w:spacing w:after="0"/>
      </w:pPr>
      <w:r>
        <w:t>Support leaders and managers to respect and appreciate differences, focussing on the needs of every individual so they can achieve their full potential</w:t>
      </w:r>
    </w:p>
    <w:p w:rsidR="002D36F9" w:rsidRDefault="002D36F9" w:rsidP="002D36F9">
      <w:pPr>
        <w:pStyle w:val="ListParagraph"/>
        <w:numPr>
          <w:ilvl w:val="0"/>
          <w:numId w:val="1"/>
        </w:numPr>
        <w:spacing w:after="0"/>
      </w:pPr>
      <w:r>
        <w:t xml:space="preserve">Continue to promote the value of gender equality and working flexibly </w:t>
      </w:r>
    </w:p>
    <w:p w:rsidR="002D36F9" w:rsidRDefault="002D36F9" w:rsidP="002D36F9">
      <w:pPr>
        <w:pStyle w:val="ListParagraph"/>
        <w:numPr>
          <w:ilvl w:val="0"/>
          <w:numId w:val="1"/>
        </w:numPr>
        <w:spacing w:after="0"/>
      </w:pPr>
      <w:r>
        <w:t>Support leaders and managers to model reasonable and flexible working hours and patterns</w:t>
      </w:r>
    </w:p>
    <w:p w:rsidR="002D36F9" w:rsidRDefault="002D36F9" w:rsidP="002D36F9">
      <w:pPr>
        <w:pStyle w:val="ListParagraph"/>
        <w:numPr>
          <w:ilvl w:val="0"/>
          <w:numId w:val="1"/>
        </w:numPr>
        <w:spacing w:after="0"/>
      </w:pPr>
      <w:r>
        <w:t xml:space="preserve">Support staff who experience domestic and family violence, underpinned by our Domestic and Family Violence Policy </w:t>
      </w:r>
    </w:p>
    <w:p w:rsidR="002D36F9" w:rsidRDefault="002D36F9" w:rsidP="002D36F9">
      <w:pPr>
        <w:pStyle w:val="ListParagraph"/>
        <w:numPr>
          <w:ilvl w:val="0"/>
          <w:numId w:val="1"/>
        </w:numPr>
        <w:spacing w:after="0"/>
      </w:pPr>
      <w:r>
        <w:t xml:space="preserve">Grow and support our internal diversity networks, and promote days of significance such as: International Women’s and Men's Days; International Day against Homophobia, Transphobia and </w:t>
      </w:r>
      <w:proofErr w:type="spellStart"/>
      <w:r>
        <w:t>Biphobia</w:t>
      </w:r>
      <w:proofErr w:type="spellEnd"/>
      <w:r>
        <w:t>; and White Ribbon Day.</w:t>
      </w:r>
    </w:p>
    <w:p w:rsidR="002D36F9" w:rsidRPr="00006522" w:rsidRDefault="002D36F9" w:rsidP="001E1555">
      <w:pPr>
        <w:pStyle w:val="Heading2"/>
      </w:pPr>
      <w:r w:rsidRPr="00006522">
        <w:t>Increasing</w:t>
      </w:r>
      <w:r w:rsidR="00006522" w:rsidRPr="00006522">
        <w:t xml:space="preserve"> </w:t>
      </w:r>
      <w:r w:rsidRPr="00006522">
        <w:t>uptake of</w:t>
      </w:r>
      <w:r w:rsidR="00006522" w:rsidRPr="00006522">
        <w:t xml:space="preserve"> </w:t>
      </w:r>
      <w:r w:rsidRPr="00006522">
        <w:t>flexib</w:t>
      </w:r>
      <w:r w:rsidR="00006522" w:rsidRPr="00006522">
        <w:t xml:space="preserve">le </w:t>
      </w:r>
      <w:r w:rsidRPr="00006522">
        <w:t>work</w:t>
      </w:r>
      <w:r w:rsidR="00006522" w:rsidRPr="00006522">
        <w:t xml:space="preserve"> </w:t>
      </w:r>
      <w:r w:rsidRPr="00006522">
        <w:t>arrangements</w:t>
      </w:r>
      <w:r w:rsidR="00006522" w:rsidRPr="00006522">
        <w:t xml:space="preserve"> </w:t>
      </w:r>
      <w:r w:rsidRPr="00006522">
        <w:t>by all staff</w:t>
      </w:r>
    </w:p>
    <w:p w:rsidR="00006522" w:rsidRDefault="00006522" w:rsidP="00006522">
      <w:pPr>
        <w:spacing w:after="0"/>
      </w:pPr>
      <w:r>
        <w:t>At Health, we recognise the organisational benefits of flexible work arrangements being available to everyone, regardless of gender, classification or role.</w:t>
      </w:r>
    </w:p>
    <w:p w:rsidR="002D36F9" w:rsidRPr="00006522" w:rsidRDefault="002D36F9" w:rsidP="001E1555">
      <w:pPr>
        <w:pStyle w:val="Heading3"/>
      </w:pPr>
      <w:r w:rsidRPr="00006522">
        <w:t>To achieve this, we will:</w:t>
      </w:r>
    </w:p>
    <w:p w:rsidR="002D36F9" w:rsidRDefault="002D36F9" w:rsidP="00137359">
      <w:pPr>
        <w:pStyle w:val="ListParagraph"/>
        <w:numPr>
          <w:ilvl w:val="0"/>
          <w:numId w:val="4"/>
        </w:numPr>
        <w:spacing w:after="0"/>
      </w:pPr>
      <w:r>
        <w:t>Review, refresh and promote existing policies to ensure they continue to encourage greater uptake of flexible work, including:</w:t>
      </w:r>
    </w:p>
    <w:p w:rsidR="002D36F9" w:rsidRDefault="002D36F9" w:rsidP="00137359">
      <w:pPr>
        <w:pStyle w:val="ListParagraph"/>
        <w:numPr>
          <w:ilvl w:val="1"/>
          <w:numId w:val="4"/>
        </w:numPr>
        <w:spacing w:after="0"/>
      </w:pPr>
      <w:r>
        <w:t>Mainstreaming flexibility</w:t>
      </w:r>
    </w:p>
    <w:p w:rsidR="002D36F9" w:rsidRDefault="002D36F9" w:rsidP="00137359">
      <w:pPr>
        <w:pStyle w:val="ListParagraph"/>
        <w:numPr>
          <w:ilvl w:val="1"/>
          <w:numId w:val="4"/>
        </w:numPr>
        <w:spacing w:after="0"/>
      </w:pPr>
      <w:r>
        <w:t>Teleworking</w:t>
      </w:r>
    </w:p>
    <w:p w:rsidR="002D36F9" w:rsidRDefault="002D36F9" w:rsidP="00137359">
      <w:pPr>
        <w:pStyle w:val="ListParagraph"/>
        <w:numPr>
          <w:ilvl w:val="1"/>
          <w:numId w:val="4"/>
        </w:numPr>
        <w:spacing w:after="0"/>
      </w:pPr>
      <w:r>
        <w:t>Job sharing</w:t>
      </w:r>
    </w:p>
    <w:p w:rsidR="002D36F9" w:rsidRDefault="002D36F9" w:rsidP="00137359">
      <w:pPr>
        <w:pStyle w:val="ListParagraph"/>
        <w:numPr>
          <w:ilvl w:val="0"/>
          <w:numId w:val="4"/>
        </w:numPr>
        <w:spacing w:after="0"/>
      </w:pPr>
      <w:r>
        <w:t>Develop a job share register to facilitate job share partners and to raise awareness about job sharing</w:t>
      </w:r>
    </w:p>
    <w:p w:rsidR="002D36F9" w:rsidRDefault="002D36F9" w:rsidP="00137359">
      <w:pPr>
        <w:pStyle w:val="ListParagraph"/>
        <w:numPr>
          <w:ilvl w:val="0"/>
          <w:numId w:val="4"/>
        </w:numPr>
        <w:spacing w:after="0"/>
      </w:pPr>
      <w:r>
        <w:t xml:space="preserve">Build capability for managing a flexible workforce </w:t>
      </w:r>
    </w:p>
    <w:p w:rsidR="002D36F9" w:rsidRDefault="002D36F9" w:rsidP="00137359">
      <w:pPr>
        <w:pStyle w:val="ListParagraph"/>
        <w:numPr>
          <w:ilvl w:val="0"/>
          <w:numId w:val="4"/>
        </w:numPr>
        <w:spacing w:after="0"/>
      </w:pPr>
      <w:r>
        <w:t>Develop tools to support individuals and managers to access and manage effective flexible working arrangements</w:t>
      </w:r>
    </w:p>
    <w:p w:rsidR="002D36F9" w:rsidRDefault="002D36F9" w:rsidP="00137359">
      <w:pPr>
        <w:pStyle w:val="ListParagraph"/>
        <w:numPr>
          <w:ilvl w:val="0"/>
          <w:numId w:val="4"/>
        </w:numPr>
        <w:spacing w:after="0"/>
      </w:pPr>
      <w:r>
        <w:t>Support leaders and managers to actively encourage flexible working arrangements.</w:t>
      </w:r>
    </w:p>
    <w:p w:rsidR="002D36F9" w:rsidRPr="00A84419" w:rsidRDefault="00A84419" w:rsidP="001E1555">
      <w:pPr>
        <w:pStyle w:val="Heading2"/>
      </w:pPr>
      <w:r w:rsidRPr="00A84419">
        <w:t xml:space="preserve">Achieving and </w:t>
      </w:r>
      <w:r w:rsidR="002D36F9" w:rsidRPr="00A84419">
        <w:t>sustaining</w:t>
      </w:r>
      <w:r w:rsidRPr="00A84419">
        <w:t xml:space="preserve"> </w:t>
      </w:r>
      <w:r w:rsidR="002D36F9" w:rsidRPr="00A84419">
        <w:t>gender equality</w:t>
      </w:r>
      <w:r w:rsidRPr="00A84419">
        <w:t xml:space="preserve"> </w:t>
      </w:r>
      <w:r w:rsidR="002D36F9" w:rsidRPr="00A84419">
        <w:t>in leadership</w:t>
      </w:r>
    </w:p>
    <w:p w:rsidR="00A84419" w:rsidRDefault="00A84419" w:rsidP="00A84419">
      <w:pPr>
        <w:spacing w:after="0"/>
      </w:pPr>
      <w:r>
        <w:t>Together, we must ensure that Health sustains our gender equality and diversity in leadership.</w:t>
      </w:r>
    </w:p>
    <w:p w:rsidR="002D36F9" w:rsidRPr="00A84419" w:rsidRDefault="002D36F9" w:rsidP="001E1555">
      <w:pPr>
        <w:pStyle w:val="Heading3"/>
      </w:pPr>
      <w:r w:rsidRPr="00A84419">
        <w:lastRenderedPageBreak/>
        <w:t>To achieve this, we will:</w:t>
      </w:r>
    </w:p>
    <w:p w:rsidR="002D36F9" w:rsidRDefault="002D36F9" w:rsidP="00A84419">
      <w:pPr>
        <w:pStyle w:val="ListParagraph"/>
        <w:numPr>
          <w:ilvl w:val="0"/>
          <w:numId w:val="5"/>
        </w:numPr>
        <w:spacing w:after="0"/>
      </w:pPr>
      <w:r>
        <w:t>Encourage gender balance at all levels and across business units and job families</w:t>
      </w:r>
    </w:p>
    <w:p w:rsidR="002D36F9" w:rsidRDefault="002D36F9" w:rsidP="00A84419">
      <w:pPr>
        <w:pStyle w:val="ListParagraph"/>
        <w:numPr>
          <w:ilvl w:val="0"/>
          <w:numId w:val="5"/>
        </w:numPr>
        <w:spacing w:after="0"/>
      </w:pPr>
      <w:r>
        <w:t>Monitor the gender gap relating to ‘time to promotion’ and address if required</w:t>
      </w:r>
    </w:p>
    <w:p w:rsidR="002D36F9" w:rsidRDefault="002D36F9" w:rsidP="00A84419">
      <w:pPr>
        <w:pStyle w:val="ListParagraph"/>
        <w:numPr>
          <w:ilvl w:val="0"/>
          <w:numId w:val="5"/>
        </w:numPr>
        <w:spacing w:after="0"/>
      </w:pPr>
      <w:r>
        <w:t xml:space="preserve">Promote initiatives such as mentoring to support career advancement for all genders at all levels </w:t>
      </w:r>
    </w:p>
    <w:p w:rsidR="002D36F9" w:rsidRDefault="002D36F9" w:rsidP="00A84419">
      <w:pPr>
        <w:pStyle w:val="ListParagraph"/>
        <w:numPr>
          <w:ilvl w:val="0"/>
          <w:numId w:val="5"/>
        </w:numPr>
        <w:spacing w:after="0"/>
      </w:pPr>
      <w:r>
        <w:t>Normalise flexible work arrangements so they are not detrimental to career progression</w:t>
      </w:r>
    </w:p>
    <w:p w:rsidR="002D36F9" w:rsidRDefault="002D36F9" w:rsidP="00A84419">
      <w:pPr>
        <w:pStyle w:val="ListParagraph"/>
        <w:numPr>
          <w:ilvl w:val="0"/>
          <w:numId w:val="5"/>
        </w:numPr>
        <w:spacing w:after="0"/>
      </w:pPr>
      <w:r>
        <w:t>Encourage gender balance on boards</w:t>
      </w:r>
    </w:p>
    <w:p w:rsidR="002D36F9" w:rsidRDefault="002D36F9" w:rsidP="00A84419">
      <w:pPr>
        <w:pStyle w:val="ListParagraph"/>
        <w:numPr>
          <w:ilvl w:val="0"/>
          <w:numId w:val="5"/>
        </w:numPr>
        <w:spacing w:after="0"/>
      </w:pPr>
      <w:r>
        <w:t>Ensure gender balance on internal committees</w:t>
      </w:r>
    </w:p>
    <w:p w:rsidR="002D36F9" w:rsidRDefault="002D36F9" w:rsidP="00A84419">
      <w:pPr>
        <w:pStyle w:val="ListParagraph"/>
        <w:numPr>
          <w:ilvl w:val="0"/>
          <w:numId w:val="5"/>
        </w:numPr>
        <w:spacing w:after="0"/>
      </w:pPr>
      <w:r>
        <w:t>Encourage SES to commit to the ‘Panel Pledge’ where their participation on internal and external panels will be conditional on meaningful gender representation</w:t>
      </w:r>
    </w:p>
    <w:p w:rsidR="002D36F9" w:rsidRDefault="002D36F9" w:rsidP="00A84419">
      <w:pPr>
        <w:pStyle w:val="ListParagraph"/>
        <w:numPr>
          <w:ilvl w:val="0"/>
          <w:numId w:val="5"/>
        </w:numPr>
        <w:spacing w:after="0"/>
      </w:pPr>
      <w:r>
        <w:t>Identify areas of Health where occupational segregation has occurred and develop strategies to manage this.</w:t>
      </w:r>
    </w:p>
    <w:p w:rsidR="002D36F9" w:rsidRPr="00A84419" w:rsidRDefault="00A84419" w:rsidP="001E1555">
      <w:pPr>
        <w:pStyle w:val="Heading2"/>
      </w:pPr>
      <w:r w:rsidRPr="00A84419">
        <w:t xml:space="preserve">Working </w:t>
      </w:r>
      <w:r w:rsidR="002D36F9" w:rsidRPr="00A84419">
        <w:t>innovatively to</w:t>
      </w:r>
      <w:r w:rsidRPr="00A84419">
        <w:t xml:space="preserve"> embed gender </w:t>
      </w:r>
      <w:r w:rsidR="002D36F9" w:rsidRPr="00A84419">
        <w:t>equality in</w:t>
      </w:r>
      <w:r w:rsidRPr="00A84419">
        <w:t xml:space="preserve"> </w:t>
      </w:r>
      <w:r w:rsidR="002D36F9" w:rsidRPr="00A84419">
        <w:t>employment</w:t>
      </w:r>
      <w:r w:rsidRPr="00A84419">
        <w:t xml:space="preserve"> </w:t>
      </w:r>
      <w:r w:rsidR="002D36F9" w:rsidRPr="00A84419">
        <w:t>practices</w:t>
      </w:r>
    </w:p>
    <w:p w:rsidR="002D36F9" w:rsidRDefault="002D36F9" w:rsidP="002D36F9">
      <w:pPr>
        <w:spacing w:after="0"/>
      </w:pPr>
      <w:r>
        <w:t>At Healt</w:t>
      </w:r>
      <w:r w:rsidR="00A84419">
        <w:t xml:space="preserve">h we recognise the need to take </w:t>
      </w:r>
      <w:r>
        <w:t>a fresh app</w:t>
      </w:r>
      <w:r w:rsidR="00A84419">
        <w:t>roach to attrac</w:t>
      </w:r>
      <w:r w:rsidR="002C7B44">
        <w:t xml:space="preserve">ting, developing and retaining </w:t>
      </w:r>
      <w:r>
        <w:t>tale</w:t>
      </w:r>
      <w:r w:rsidR="00A84419">
        <w:t xml:space="preserve">nted staff that reflect </w:t>
      </w:r>
      <w:r>
        <w:t>the diverse community we serve.</w:t>
      </w:r>
    </w:p>
    <w:p w:rsidR="002D36F9" w:rsidRPr="00A84419" w:rsidRDefault="002D36F9" w:rsidP="00A84419">
      <w:r w:rsidRPr="00A84419">
        <w:rPr>
          <w:b/>
          <w:i/>
        </w:rPr>
        <w:t>To achieve this, we will:</w:t>
      </w:r>
    </w:p>
    <w:p w:rsidR="002D36F9" w:rsidRDefault="002D36F9" w:rsidP="00A84419">
      <w:pPr>
        <w:pStyle w:val="ListParagraph"/>
        <w:numPr>
          <w:ilvl w:val="0"/>
          <w:numId w:val="6"/>
        </w:numPr>
        <w:spacing w:after="0"/>
      </w:pPr>
      <w:r>
        <w:t>Review and promote employment practices to support gender equality and flexible working arrangements</w:t>
      </w:r>
    </w:p>
    <w:p w:rsidR="002D36F9" w:rsidRDefault="002D36F9" w:rsidP="00A84419">
      <w:pPr>
        <w:pStyle w:val="ListParagraph"/>
        <w:numPr>
          <w:ilvl w:val="0"/>
          <w:numId w:val="6"/>
        </w:numPr>
        <w:spacing w:after="0"/>
      </w:pPr>
      <w:r>
        <w:t>Encourage all hiring managers to state that flexible working arrangements will be considered</w:t>
      </w:r>
    </w:p>
    <w:p w:rsidR="002D36F9" w:rsidRDefault="002D36F9" w:rsidP="00A84419">
      <w:pPr>
        <w:pStyle w:val="ListParagraph"/>
        <w:numPr>
          <w:ilvl w:val="0"/>
          <w:numId w:val="6"/>
        </w:numPr>
        <w:spacing w:after="0"/>
      </w:pPr>
      <w:r>
        <w:t xml:space="preserve">Build awareness of unconscious bias </w:t>
      </w:r>
    </w:p>
    <w:p w:rsidR="002D36F9" w:rsidRDefault="002D36F9" w:rsidP="00A84419">
      <w:pPr>
        <w:pStyle w:val="ListParagraph"/>
        <w:numPr>
          <w:ilvl w:val="0"/>
          <w:numId w:val="6"/>
        </w:numPr>
        <w:spacing w:after="0"/>
      </w:pPr>
      <w:r>
        <w:t>Encourage gender balance on recruitment panels</w:t>
      </w:r>
    </w:p>
    <w:p w:rsidR="002D36F9" w:rsidRDefault="002D36F9" w:rsidP="00A84419">
      <w:pPr>
        <w:pStyle w:val="ListParagraph"/>
        <w:numPr>
          <w:ilvl w:val="0"/>
          <w:numId w:val="6"/>
        </w:numPr>
        <w:spacing w:after="0"/>
      </w:pPr>
      <w:r>
        <w:t>Provide an opportunity for staff to identify outside of the gender binary, recognising that not all individuals identify as either male or female</w:t>
      </w:r>
    </w:p>
    <w:p w:rsidR="002D36F9" w:rsidRDefault="002D36F9" w:rsidP="00A84419">
      <w:pPr>
        <w:pStyle w:val="ListParagraph"/>
        <w:numPr>
          <w:ilvl w:val="0"/>
          <w:numId w:val="6"/>
        </w:numPr>
        <w:spacing w:after="0"/>
      </w:pPr>
      <w:r>
        <w:t>Improve return to work experiences for staff after long term leave (</w:t>
      </w:r>
      <w:proofErr w:type="spellStart"/>
      <w:r>
        <w:t>eg</w:t>
      </w:r>
      <w:proofErr w:type="spellEnd"/>
      <w:r>
        <w:t xml:space="preserve"> maternity leave or other extended leave), through tools such as Health's Parental Leave Toolkit.</w:t>
      </w:r>
    </w:p>
    <w:p w:rsidR="002D36F9" w:rsidRPr="002D36F9" w:rsidRDefault="002D36F9" w:rsidP="001E1555">
      <w:pPr>
        <w:pStyle w:val="Heading1"/>
      </w:pPr>
      <w:r w:rsidRPr="002D36F9">
        <w:t>How will we measure our success?</w:t>
      </w:r>
    </w:p>
    <w:p w:rsidR="002D36F9" w:rsidRDefault="002D36F9" w:rsidP="002D36F9">
      <w:pPr>
        <w:pStyle w:val="ListParagraph"/>
        <w:numPr>
          <w:ilvl w:val="0"/>
          <w:numId w:val="2"/>
        </w:numPr>
        <w:spacing w:after="0"/>
      </w:pPr>
      <w:r w:rsidRPr="002D36F9">
        <w:t>Improved survey results related to access to flexible work arrang</w:t>
      </w:r>
      <w:r>
        <w:t xml:space="preserve">ements and perceptions of SES </w:t>
      </w:r>
      <w:r w:rsidRPr="002D36F9">
        <w:t>support for flexible work</w:t>
      </w:r>
    </w:p>
    <w:p w:rsidR="002D36F9" w:rsidRDefault="002D36F9" w:rsidP="002D36F9">
      <w:pPr>
        <w:pStyle w:val="ListParagraph"/>
        <w:numPr>
          <w:ilvl w:val="0"/>
          <w:numId w:val="2"/>
        </w:numPr>
        <w:spacing w:after="0"/>
      </w:pPr>
      <w:r w:rsidRPr="002D36F9">
        <w:t>Monitoring and reporting on gender balances across the department</w:t>
      </w:r>
    </w:p>
    <w:p w:rsidR="002D36F9" w:rsidRDefault="002D36F9" w:rsidP="002D36F9">
      <w:pPr>
        <w:pStyle w:val="ListParagraph"/>
        <w:numPr>
          <w:ilvl w:val="0"/>
          <w:numId w:val="2"/>
        </w:numPr>
        <w:spacing w:after="0"/>
      </w:pPr>
      <w:r>
        <w:t>Increase in the number of staff accessing flexible working arrangements</w:t>
      </w:r>
    </w:p>
    <w:sectPr w:rsidR="002D36F9" w:rsidSect="001E1555">
      <w:footerReference w:type="default" r:id="rId10"/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555" w:rsidRDefault="001E1555" w:rsidP="001E1555">
      <w:pPr>
        <w:spacing w:before="0" w:after="0"/>
      </w:pPr>
      <w:r>
        <w:separator/>
      </w:r>
    </w:p>
  </w:endnote>
  <w:endnote w:type="continuationSeparator" w:id="0">
    <w:p w:rsidR="001E1555" w:rsidRDefault="001E1555" w:rsidP="001E15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08883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E1555" w:rsidRPr="001E1555" w:rsidRDefault="001E1555" w:rsidP="001E155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184" w:rsidRPr="00C46184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1E1555">
          <w:rPr>
            <w:color w:val="808080" w:themeColor="background1" w:themeShade="80"/>
            <w:spacing w:val="20"/>
          </w:rPr>
          <w:t>Health’s Gender Equality and Flexibility BLUEPRINT 2017-20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555" w:rsidRDefault="001E1555" w:rsidP="001E1555">
      <w:pPr>
        <w:spacing w:before="0" w:after="0"/>
      </w:pPr>
      <w:r>
        <w:separator/>
      </w:r>
    </w:p>
  </w:footnote>
  <w:footnote w:type="continuationSeparator" w:id="0">
    <w:p w:rsidR="001E1555" w:rsidRDefault="001E1555" w:rsidP="001E155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620"/>
    <w:multiLevelType w:val="hybridMultilevel"/>
    <w:tmpl w:val="D526B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C58C2"/>
    <w:multiLevelType w:val="hybridMultilevel"/>
    <w:tmpl w:val="EDB4D4A4"/>
    <w:lvl w:ilvl="0" w:tplc="2DD0F99C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A0D78"/>
    <w:multiLevelType w:val="hybridMultilevel"/>
    <w:tmpl w:val="D03C4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8763A"/>
    <w:multiLevelType w:val="hybridMultilevel"/>
    <w:tmpl w:val="C15446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35292"/>
    <w:multiLevelType w:val="hybridMultilevel"/>
    <w:tmpl w:val="F8BAB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44460"/>
    <w:multiLevelType w:val="hybridMultilevel"/>
    <w:tmpl w:val="9E7C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2084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F9"/>
    <w:rsid w:val="00006522"/>
    <w:rsid w:val="00137359"/>
    <w:rsid w:val="001E1555"/>
    <w:rsid w:val="002C7B44"/>
    <w:rsid w:val="002D36F9"/>
    <w:rsid w:val="00A84419"/>
    <w:rsid w:val="00C4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555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E1555"/>
    <w:pPr>
      <w:spacing w:after="0"/>
      <w:outlineLvl w:val="0"/>
    </w:pPr>
    <w:rPr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E1555"/>
    <w:pPr>
      <w:keepNext/>
      <w:numPr>
        <w:numId w:val="3"/>
      </w:numPr>
      <w:ind w:left="357" w:hanging="357"/>
      <w:outlineLvl w:val="1"/>
    </w:pPr>
    <w:rPr>
      <w:b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E1555"/>
    <w:pPr>
      <w:numPr>
        <w:numId w:val="0"/>
      </w:numPr>
      <w:outlineLvl w:val="2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6F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E1555"/>
    <w:pPr>
      <w:spacing w:before="240" w:after="0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E1555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E1555"/>
    <w:rPr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1555"/>
    <w:rPr>
      <w:b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1555"/>
    <w:rPr>
      <w:b/>
      <w:i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5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155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E1555"/>
  </w:style>
  <w:style w:type="paragraph" w:styleId="Footer">
    <w:name w:val="footer"/>
    <w:basedOn w:val="Normal"/>
    <w:link w:val="FooterChar"/>
    <w:uiPriority w:val="99"/>
    <w:unhideWhenUsed/>
    <w:rsid w:val="001E155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E1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555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E1555"/>
    <w:pPr>
      <w:spacing w:after="0"/>
      <w:outlineLvl w:val="0"/>
    </w:pPr>
    <w:rPr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E1555"/>
    <w:pPr>
      <w:keepNext/>
      <w:numPr>
        <w:numId w:val="3"/>
      </w:numPr>
      <w:ind w:left="357" w:hanging="357"/>
      <w:outlineLvl w:val="1"/>
    </w:pPr>
    <w:rPr>
      <w:b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E1555"/>
    <w:pPr>
      <w:numPr>
        <w:numId w:val="0"/>
      </w:numPr>
      <w:outlineLvl w:val="2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6F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E1555"/>
    <w:pPr>
      <w:spacing w:before="240" w:after="0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E1555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E1555"/>
    <w:rPr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1555"/>
    <w:rPr>
      <w:b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1555"/>
    <w:rPr>
      <w:b/>
      <w:i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5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155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E1555"/>
  </w:style>
  <w:style w:type="paragraph" w:styleId="Footer">
    <w:name w:val="footer"/>
    <w:basedOn w:val="Normal"/>
    <w:link w:val="FooterChar"/>
    <w:uiPriority w:val="99"/>
    <w:unhideWhenUsed/>
    <w:rsid w:val="001E155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E1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817A-43A5-43B6-85A6-C8F1DB76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Health's Gender Equality and Flexibility Blueprint 2017-20</vt:lpstr>
    </vt:vector>
  </TitlesOfParts>
  <Manager>Health jobs</Manager>
  <Company>Agility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Health's Gender Equality and Flexibility Blueprint 2017-20</dc:title>
  <dc:subject>Gender Equality; Health jobs; </dc:subject>
  <dc:creator>Department of Health</dc:creator>
  <cp:keywords>Gender Equality and Flexibility</cp:keywords>
  <cp:lastModifiedBy>People Capability and Communication Division</cp:lastModifiedBy>
  <cp:revision>3</cp:revision>
  <dcterms:created xsi:type="dcterms:W3CDTF">2017-06-20T01:04:00Z</dcterms:created>
  <dcterms:modified xsi:type="dcterms:W3CDTF">2017-06-20T01:05:00Z</dcterms:modified>
  <cp:category>Gender Equality; Health jobs;</cp:category>
  <cp:contentStatus>Final</cp:contentStatus>
</cp:coreProperties>
</file>