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11E4A" w14:textId="77777777" w:rsidR="008D432A" w:rsidRDefault="008D432A" w:rsidP="008509E6">
      <w:pPr>
        <w:jc w:val="center"/>
      </w:pPr>
      <w:bookmarkStart w:id="0" w:name="imageHolder"/>
      <w:bookmarkEnd w:id="0"/>
      <w:r w:rsidRPr="00D912DB">
        <w:rPr>
          <w:noProof/>
        </w:rPr>
        <w:drawing>
          <wp:inline distT="0" distB="0" distL="0" distR="0" wp14:anchorId="51C54BBF" wp14:editId="119F1577">
            <wp:extent cx="1688400" cy="1119600"/>
            <wp:effectExtent l="0" t="0" r="7620" b="4445"/>
            <wp:docPr id="1" name="Picture 1"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2"/>
                    <a:stretch>
                      <a:fillRect/>
                    </a:stretch>
                  </pic:blipFill>
                  <pic:spPr>
                    <a:xfrm>
                      <a:off x="0" y="0"/>
                      <a:ext cx="1688400" cy="1119600"/>
                    </a:xfrm>
                    <a:prstGeom prst="rect">
                      <a:avLst/>
                    </a:prstGeom>
                  </pic:spPr>
                </pic:pic>
              </a:graphicData>
            </a:graphic>
          </wp:inline>
        </w:drawing>
      </w:r>
    </w:p>
    <w:p w14:paraId="55AF919A" w14:textId="46648BD3" w:rsidR="00CE1A84" w:rsidRDefault="00CE1A84" w:rsidP="007E7F73"/>
    <w:p w14:paraId="4B71A234" w14:textId="77777777" w:rsidR="00CE1A84" w:rsidRDefault="00CE1A84" w:rsidP="007E7F73"/>
    <w:p w14:paraId="616875E3" w14:textId="77777777" w:rsidR="00003743" w:rsidRPr="00CF1A9D" w:rsidRDefault="008C4EF9" w:rsidP="00CF1A9D">
      <w:pPr>
        <w:pStyle w:val="Title"/>
      </w:pPr>
      <w:r w:rsidRPr="00CF1A9D">
        <w:t>Australian Technical Advisory Group on Immunisation</w:t>
      </w:r>
    </w:p>
    <w:p w14:paraId="60609CB1" w14:textId="76BBF7CC" w:rsidR="008C4EF9" w:rsidRPr="00CF1A9D" w:rsidRDefault="008C4EF9" w:rsidP="00CF1A9D">
      <w:pPr>
        <w:pStyle w:val="Title"/>
      </w:pPr>
      <w:r w:rsidRPr="00CF1A9D">
        <w:t xml:space="preserve">Public consultation on the </w:t>
      </w:r>
      <w:r w:rsidR="0079567C" w:rsidRPr="00CF1A9D">
        <w:t>infant</w:t>
      </w:r>
      <w:r w:rsidRPr="00CF1A9D">
        <w:t xml:space="preserve"> pneumococcal </w:t>
      </w:r>
      <w:r w:rsidR="00025E6D" w:rsidRPr="00CF1A9D">
        <w:t xml:space="preserve">vaccination </w:t>
      </w:r>
      <w:r w:rsidRPr="00CF1A9D">
        <w:t>schedule</w:t>
      </w:r>
    </w:p>
    <w:p w14:paraId="54856A30" w14:textId="004A61A8" w:rsidR="0079567C" w:rsidRDefault="0079567C" w:rsidP="008509E6">
      <w:pPr>
        <w:spacing w:before="600"/>
      </w:pPr>
      <w:r>
        <w:t xml:space="preserve">The Australian Technical Advisory Group on Immunisation (ATAGI) is consulting with stakeholders on proposed changes to the infant pneumococcal </w:t>
      </w:r>
      <w:r w:rsidR="008B6F44">
        <w:t xml:space="preserve">vaccination </w:t>
      </w:r>
      <w:r>
        <w:t xml:space="preserve">schedule, with an intention to submit the recommendation to the National Health and Medical Research Council </w:t>
      </w:r>
      <w:r w:rsidR="008D432A">
        <w:t xml:space="preserve">(NHMRC) </w:t>
      </w:r>
      <w:r>
        <w:t xml:space="preserve">for its approval under section 14A of the </w:t>
      </w:r>
      <w:r w:rsidRPr="002327E6">
        <w:t>NHMRC Act</w:t>
      </w:r>
      <w:r>
        <w:t>.</w:t>
      </w:r>
      <w:r w:rsidR="00CD6FC2" w:rsidRPr="00CD6FC2">
        <w:t xml:space="preserve"> </w:t>
      </w:r>
    </w:p>
    <w:p w14:paraId="5E70BE0A" w14:textId="72322F2C" w:rsidR="0079567C" w:rsidRPr="00C005BD" w:rsidRDefault="0079567C" w:rsidP="007E7F73">
      <w:r w:rsidRPr="00C005BD">
        <w:t>The draft recommendations and the rationale for the changes are outlined in th</w:t>
      </w:r>
      <w:r w:rsidR="00B47646">
        <w:t>is</w:t>
      </w:r>
      <w:r w:rsidRPr="00C005BD">
        <w:t xml:space="preserve"> paper. You are invited to make a submission on the draft recommendation</w:t>
      </w:r>
      <w:r w:rsidR="00B47646">
        <w:t>s</w:t>
      </w:r>
      <w:r w:rsidRPr="00C005BD">
        <w:t xml:space="preserve"> </w:t>
      </w:r>
      <w:r w:rsidRPr="002677FD">
        <w:t xml:space="preserve">by </w:t>
      </w:r>
      <w:r w:rsidR="0094769A" w:rsidRPr="0038740A">
        <w:t>2</w:t>
      </w:r>
      <w:r w:rsidR="00B33DF2" w:rsidRPr="0038740A">
        <w:t xml:space="preserve"> October</w:t>
      </w:r>
      <w:r w:rsidR="00B33DF2" w:rsidRPr="002677FD">
        <w:t xml:space="preserve"> 2017</w:t>
      </w:r>
      <w:r w:rsidRPr="002677FD">
        <w:t>.</w:t>
      </w:r>
    </w:p>
    <w:p w14:paraId="51E31949" w14:textId="77777777" w:rsidR="00A931FF" w:rsidRPr="00212814" w:rsidRDefault="00A931FF" w:rsidP="007E7F73">
      <w:r w:rsidRPr="00212814">
        <w:t>In particular, ATAGI is seeking comments on the following:</w:t>
      </w:r>
    </w:p>
    <w:p w14:paraId="60E6A3B1" w14:textId="3E2DCBFF" w:rsidR="00A931FF" w:rsidRPr="00212814" w:rsidRDefault="00A931FF" w:rsidP="007E7F73">
      <w:pPr>
        <w:pStyle w:val="ListParagraph"/>
        <w:numPr>
          <w:ilvl w:val="0"/>
          <w:numId w:val="12"/>
        </w:numPr>
      </w:pPr>
      <w:r w:rsidRPr="00212814">
        <w:t>Are there additional</w:t>
      </w:r>
      <w:r w:rsidR="00CF2597">
        <w:t xml:space="preserve"> potential</w:t>
      </w:r>
      <w:r w:rsidRPr="00212814">
        <w:t xml:space="preserve"> benefits</w:t>
      </w:r>
      <w:r w:rsidR="00D21CFA">
        <w:t>,</w:t>
      </w:r>
      <w:r w:rsidRPr="00212814">
        <w:t xml:space="preserve"> harms </w:t>
      </w:r>
      <w:r w:rsidR="00D21CFA">
        <w:t>or unintended consequences</w:t>
      </w:r>
      <w:r w:rsidR="00025E6D" w:rsidRPr="00212814">
        <w:t>, not already outlined</w:t>
      </w:r>
      <w:r w:rsidR="00025E6D">
        <w:t>,</w:t>
      </w:r>
      <w:r w:rsidR="00CF2597">
        <w:t xml:space="preserve"> which could arise from </w:t>
      </w:r>
      <w:r w:rsidRPr="00212814">
        <w:t xml:space="preserve">the proposed </w:t>
      </w:r>
      <w:r w:rsidR="008500B8">
        <w:t xml:space="preserve">pneumococcal vaccine </w:t>
      </w:r>
      <w:r w:rsidRPr="00212814">
        <w:t>schedule change</w:t>
      </w:r>
      <w:r w:rsidR="00FA29A1">
        <w:t xml:space="preserve"> </w:t>
      </w:r>
      <w:r w:rsidR="00FA29A1" w:rsidRPr="00FA29A1">
        <w:t>and how likely are they to occur</w:t>
      </w:r>
      <w:r w:rsidRPr="00212814">
        <w:t>?</w:t>
      </w:r>
    </w:p>
    <w:p w14:paraId="0B22B1F8" w14:textId="17F8B334" w:rsidR="00A931FF" w:rsidRDefault="00A931FF" w:rsidP="007E7F73">
      <w:pPr>
        <w:pStyle w:val="ListParagraph"/>
        <w:numPr>
          <w:ilvl w:val="0"/>
          <w:numId w:val="12"/>
        </w:numPr>
      </w:pPr>
      <w:r w:rsidRPr="00212814">
        <w:t xml:space="preserve">Are there additional clinical </w:t>
      </w:r>
      <w:r w:rsidR="009E332C">
        <w:t xml:space="preserve">or implementation </w:t>
      </w:r>
      <w:r w:rsidRPr="00212814">
        <w:t xml:space="preserve">considerations which need to be outlined? </w:t>
      </w:r>
    </w:p>
    <w:p w14:paraId="28C32AE8" w14:textId="7DF7CB93" w:rsidR="0079567C" w:rsidRDefault="0079567C" w:rsidP="007E7F73">
      <w:r w:rsidRPr="00C005BD">
        <w:t xml:space="preserve">Should you require additional information please contact </w:t>
      </w:r>
      <w:r w:rsidR="00025E6D">
        <w:t xml:space="preserve">the </w:t>
      </w:r>
      <w:r w:rsidRPr="00C005BD">
        <w:t xml:space="preserve">ATAGI Secretariat </w:t>
      </w:r>
      <w:r w:rsidR="00025E6D">
        <w:t>at</w:t>
      </w:r>
      <w:r w:rsidR="00025E6D" w:rsidRPr="00C005BD">
        <w:t xml:space="preserve"> </w:t>
      </w:r>
      <w:hyperlink r:id="rId13" w:history="1">
        <w:r w:rsidRPr="00C005BD">
          <w:rPr>
            <w:rStyle w:val="Hyperlink"/>
            <w:sz w:val="24"/>
          </w:rPr>
          <w:t>atagi.secretariat@health.gov.au</w:t>
        </w:r>
      </w:hyperlink>
      <w:r w:rsidR="00B47646">
        <w:rPr>
          <w:rStyle w:val="Hyperlink"/>
          <w:sz w:val="24"/>
        </w:rPr>
        <w:t>.</w:t>
      </w:r>
      <w:r w:rsidRPr="00C005BD">
        <w:t xml:space="preserve"> </w:t>
      </w:r>
    </w:p>
    <w:p w14:paraId="78ED83FE" w14:textId="77777777" w:rsidR="008C4EF9" w:rsidRDefault="008C4EF9" w:rsidP="007E7F73">
      <w:r>
        <w:br w:type="page"/>
      </w:r>
    </w:p>
    <w:p w14:paraId="0F94F281" w14:textId="77777777" w:rsidR="00CD6A3F" w:rsidRPr="00CF1A9D" w:rsidRDefault="00CD6A3F" w:rsidP="00CF1A9D">
      <w:pPr>
        <w:pStyle w:val="Heading1"/>
      </w:pPr>
      <w:r w:rsidRPr="00CF1A9D">
        <w:lastRenderedPageBreak/>
        <w:t>Summary</w:t>
      </w:r>
    </w:p>
    <w:p w14:paraId="7AF002EB" w14:textId="099437B1" w:rsidR="00D623EE" w:rsidRDefault="00CD6A3F" w:rsidP="007E7F73">
      <w:r>
        <w:t>The Australian Technical Advisory Group on Immunisation (ATAGI), which advises the Australian Government on</w:t>
      </w:r>
      <w:r w:rsidR="00AC5A9F">
        <w:t xml:space="preserve"> </w:t>
      </w:r>
      <w:r w:rsidR="006A7FE7">
        <w:t>clinical recommendations for vaccination</w:t>
      </w:r>
      <w:r w:rsidR="00741326">
        <w:t>s</w:t>
      </w:r>
      <w:r>
        <w:t xml:space="preserve">, is proposing changes to the vaccination </w:t>
      </w:r>
      <w:r w:rsidRPr="008500B8">
        <w:t>schedule</w:t>
      </w:r>
      <w:r w:rsidR="006A7FE7" w:rsidRPr="008500B8">
        <w:t xml:space="preserve"> used </w:t>
      </w:r>
      <w:r w:rsidRPr="008500B8">
        <w:t>for</w:t>
      </w:r>
      <w:r w:rsidR="006A7FE7" w:rsidRPr="008500B8">
        <w:t xml:space="preserve"> </w:t>
      </w:r>
      <w:r w:rsidR="008500B8" w:rsidRPr="00107150">
        <w:t>the 13</w:t>
      </w:r>
      <w:r w:rsidR="00D15D02">
        <w:t>-</w:t>
      </w:r>
      <w:r w:rsidR="008500B8" w:rsidRPr="00107150">
        <w:t>valent pneumo</w:t>
      </w:r>
      <w:r w:rsidR="008500B8">
        <w:t>c</w:t>
      </w:r>
      <w:r w:rsidR="008500B8" w:rsidRPr="00107150">
        <w:t>occal conjugate vaccine (</w:t>
      </w:r>
      <w:r w:rsidR="006A7FE7" w:rsidRPr="008500B8">
        <w:t>13vPCV</w:t>
      </w:r>
      <w:r w:rsidR="008500B8" w:rsidRPr="008500B8">
        <w:t xml:space="preserve">; </w:t>
      </w:r>
      <w:proofErr w:type="spellStart"/>
      <w:r w:rsidR="008500B8" w:rsidRPr="0038740A">
        <w:rPr>
          <w:rStyle w:val="Strong"/>
          <w:b w:val="0"/>
          <w:iCs/>
        </w:rPr>
        <w:t>Prevenar</w:t>
      </w:r>
      <w:proofErr w:type="spellEnd"/>
      <w:r w:rsidR="008500B8" w:rsidRPr="0038740A">
        <w:rPr>
          <w:rStyle w:val="Strong"/>
          <w:b w:val="0"/>
          <w:iCs/>
        </w:rPr>
        <w:t xml:space="preserve"> 13</w:t>
      </w:r>
      <w:r w:rsidR="008500B8" w:rsidRPr="008500B8">
        <w:t>)</w:t>
      </w:r>
      <w:r w:rsidR="00C20303">
        <w:t xml:space="preserve"> </w:t>
      </w:r>
      <w:r w:rsidR="006A7FE7" w:rsidRPr="008500B8">
        <w:t>for</w:t>
      </w:r>
      <w:r w:rsidRPr="008500B8">
        <w:t xml:space="preserve"> Australian</w:t>
      </w:r>
      <w:r w:rsidR="006A7FE7" w:rsidRPr="008500B8">
        <w:t xml:space="preserve"> children.</w:t>
      </w:r>
      <w:r w:rsidRPr="008500B8">
        <w:t xml:space="preserve"> The changes are being proposed</w:t>
      </w:r>
      <w:r w:rsidR="00E36ACB" w:rsidRPr="008500B8">
        <w:t xml:space="preserve"> </w:t>
      </w:r>
      <w:r w:rsidR="006A7FE7" w:rsidRPr="008500B8">
        <w:t>to improve protection in children beyon</w:t>
      </w:r>
      <w:r w:rsidR="00207CCB">
        <w:t>d</w:t>
      </w:r>
      <w:r w:rsidR="006A7FE7" w:rsidRPr="008500B8">
        <w:t xml:space="preserve"> </w:t>
      </w:r>
      <w:r w:rsidR="003553BF" w:rsidRPr="008500B8">
        <w:t>12</w:t>
      </w:r>
      <w:r w:rsidR="00D15D02">
        <w:t> </w:t>
      </w:r>
      <w:r w:rsidR="003553BF" w:rsidRPr="008500B8">
        <w:t xml:space="preserve">months of age in whom an increasing number of </w:t>
      </w:r>
      <w:r w:rsidR="008820CB" w:rsidRPr="008500B8">
        <w:t xml:space="preserve">episodes of </w:t>
      </w:r>
      <w:r w:rsidR="00D15D02">
        <w:t>i</w:t>
      </w:r>
      <w:r w:rsidR="000738E3" w:rsidRPr="008500B8">
        <w:t xml:space="preserve">nvasive </w:t>
      </w:r>
      <w:r w:rsidR="00D15D02">
        <w:t>p</w:t>
      </w:r>
      <w:r w:rsidR="003553BF" w:rsidRPr="008500B8">
        <w:t xml:space="preserve">neumococcal </w:t>
      </w:r>
      <w:r w:rsidR="00D15D02">
        <w:t>d</w:t>
      </w:r>
      <w:r w:rsidR="003553BF" w:rsidRPr="008500B8">
        <w:t>isease</w:t>
      </w:r>
      <w:r w:rsidR="003553BF">
        <w:t xml:space="preserve"> </w:t>
      </w:r>
      <w:r w:rsidR="008820CB">
        <w:t xml:space="preserve">(IPD) </w:t>
      </w:r>
      <w:r w:rsidR="003553BF">
        <w:t>have been observed</w:t>
      </w:r>
      <w:r w:rsidR="00D15D02">
        <w:t>,</w:t>
      </w:r>
      <w:r w:rsidR="003553BF">
        <w:t xml:space="preserve"> despite being fully vaccinated according to the current recommendation. </w:t>
      </w:r>
    </w:p>
    <w:p w14:paraId="660A58FB" w14:textId="7CCF53C6" w:rsidR="00BD3555" w:rsidRDefault="00D623EE" w:rsidP="007E7F73">
      <w:r>
        <w:t xml:space="preserve">The total </w:t>
      </w:r>
      <w:r w:rsidR="00BD3555">
        <w:t xml:space="preserve">number of 13vPCV </w:t>
      </w:r>
      <w:r>
        <w:t>doses will remain unchanged</w:t>
      </w:r>
      <w:r w:rsidR="000426E7">
        <w:t>.</w:t>
      </w:r>
      <w:r w:rsidR="00BD3555">
        <w:t xml:space="preserve"> </w:t>
      </w:r>
      <w:r w:rsidR="000426E7">
        <w:t>T</w:t>
      </w:r>
      <w:r w:rsidR="00D15D02">
        <w:t>he current</w:t>
      </w:r>
      <w:r w:rsidR="00BD3555">
        <w:t xml:space="preserve"> </w:t>
      </w:r>
      <w:r w:rsidR="00256E70">
        <w:t xml:space="preserve">recommendation of three doses for </w:t>
      </w:r>
      <w:r w:rsidR="00207CCB">
        <w:t xml:space="preserve">the </w:t>
      </w:r>
      <w:r w:rsidR="00256E70">
        <w:t xml:space="preserve">majority of children </w:t>
      </w:r>
      <w:r w:rsidR="007C5B15">
        <w:t>and</w:t>
      </w:r>
      <w:r w:rsidR="00256E70">
        <w:t xml:space="preserve"> four </w:t>
      </w:r>
      <w:r w:rsidR="00BD3555">
        <w:t xml:space="preserve">doses </w:t>
      </w:r>
      <w:r w:rsidR="0094769A">
        <w:t>for</w:t>
      </w:r>
      <w:r w:rsidR="007C5B15">
        <w:t xml:space="preserve"> </w:t>
      </w:r>
      <w:r w:rsidR="00BD3555">
        <w:t>s</w:t>
      </w:r>
      <w:r w:rsidR="007C5B15">
        <w:t>pecified</w:t>
      </w:r>
      <w:r w:rsidR="0094769A">
        <w:t xml:space="preserve"> at-risk</w:t>
      </w:r>
      <w:r w:rsidR="007C5B15">
        <w:t xml:space="preserve"> groups</w:t>
      </w:r>
      <w:r w:rsidR="0094769A">
        <w:t xml:space="preserve"> </w:t>
      </w:r>
      <w:r w:rsidR="00D15D02">
        <w:t xml:space="preserve">will </w:t>
      </w:r>
      <w:r w:rsidR="0094769A">
        <w:t>be</w:t>
      </w:r>
      <w:r w:rsidR="00BD3555">
        <w:t xml:space="preserve"> </w:t>
      </w:r>
      <w:r w:rsidR="007C5B15">
        <w:t>continued</w:t>
      </w:r>
      <w:r>
        <w:t>.</w:t>
      </w:r>
      <w:r w:rsidR="005D2C87">
        <w:t xml:space="preserve"> </w:t>
      </w:r>
      <w:r w:rsidR="003553BF">
        <w:t xml:space="preserve">The </w:t>
      </w:r>
      <w:r w:rsidR="000738E3">
        <w:t>main</w:t>
      </w:r>
      <w:r w:rsidR="003553BF">
        <w:t xml:space="preserve"> change</w:t>
      </w:r>
      <w:r w:rsidR="000738E3">
        <w:t xml:space="preserve"> proposed</w:t>
      </w:r>
      <w:r w:rsidR="003553BF">
        <w:t xml:space="preserve"> is to move the</w:t>
      </w:r>
      <w:r w:rsidR="00B47646">
        <w:t xml:space="preserve"> third</w:t>
      </w:r>
      <w:r w:rsidR="003553BF">
        <w:t xml:space="preserve"> dose of the 13vPCV vaccine</w:t>
      </w:r>
      <w:r w:rsidR="00CD5F7C">
        <w:t xml:space="preserve"> </w:t>
      </w:r>
      <w:r w:rsidR="00322C6C">
        <w:t>(</w:t>
      </w:r>
      <w:r w:rsidR="00CD5F7C">
        <w:t>currently</w:t>
      </w:r>
      <w:r w:rsidR="003553BF">
        <w:t xml:space="preserve"> given at 6</w:t>
      </w:r>
      <w:r w:rsidR="000426E7">
        <w:t> </w:t>
      </w:r>
      <w:r w:rsidR="003553BF">
        <w:t>months of age</w:t>
      </w:r>
      <w:r w:rsidR="00322C6C">
        <w:t>)</w:t>
      </w:r>
      <w:r w:rsidR="003553BF">
        <w:t xml:space="preserve"> to </w:t>
      </w:r>
      <w:r w:rsidR="00CD5F7C">
        <w:t>12 </w:t>
      </w:r>
      <w:r w:rsidR="003553BF">
        <w:t>months of age</w:t>
      </w:r>
      <w:r w:rsidR="00BD3555">
        <w:t xml:space="preserve"> for those children who are recommended to receive three doses</w:t>
      </w:r>
      <w:r w:rsidR="008820CB">
        <w:t xml:space="preserve">. </w:t>
      </w:r>
      <w:r w:rsidR="000426E7">
        <w:t>C</w:t>
      </w:r>
      <w:r w:rsidR="00AF1539">
        <w:t>hildren who are currently recommended to receive four doses</w:t>
      </w:r>
      <w:r w:rsidR="00CD5F7C">
        <w:t xml:space="preserve"> will continue to receive a dose at 6</w:t>
      </w:r>
      <w:r w:rsidR="000426E7">
        <w:t> </w:t>
      </w:r>
      <w:r w:rsidR="00CD5F7C">
        <w:t>months of age due to their increased risk of IPD</w:t>
      </w:r>
      <w:r w:rsidR="000426E7">
        <w:t>.</w:t>
      </w:r>
      <w:r w:rsidR="00CD5F7C">
        <w:t xml:space="preserve"> </w:t>
      </w:r>
      <w:r w:rsidR="000426E7">
        <w:t>H</w:t>
      </w:r>
      <w:r w:rsidR="00CD5F7C">
        <w:t>owever</w:t>
      </w:r>
      <w:r w:rsidR="000426E7">
        <w:t>,</w:t>
      </w:r>
      <w:r w:rsidR="00CD5F7C">
        <w:t xml:space="preserve"> it is proposed that the</w:t>
      </w:r>
      <w:r w:rsidR="00AF1539">
        <w:t xml:space="preserve"> </w:t>
      </w:r>
      <w:r w:rsidR="00B47646">
        <w:t xml:space="preserve">fourth </w:t>
      </w:r>
      <w:r w:rsidR="00AF1539">
        <w:t xml:space="preserve">dose </w:t>
      </w:r>
      <w:r w:rsidR="00CD5F7C">
        <w:t>is</w:t>
      </w:r>
      <w:r w:rsidR="00AF1539">
        <w:t xml:space="preserve"> give</w:t>
      </w:r>
      <w:r w:rsidR="00B47646">
        <w:t>n</w:t>
      </w:r>
      <w:r w:rsidR="00CD5F7C">
        <w:t xml:space="preserve"> at</w:t>
      </w:r>
      <w:r w:rsidR="00AF1539">
        <w:t xml:space="preserve"> 12</w:t>
      </w:r>
      <w:r w:rsidR="000426E7">
        <w:t> </w:t>
      </w:r>
      <w:r w:rsidR="00AF1539">
        <w:t>months</w:t>
      </w:r>
      <w:r w:rsidR="00CD5F7C">
        <w:t xml:space="preserve"> of age</w:t>
      </w:r>
      <w:r w:rsidR="00AF1539">
        <w:t xml:space="preserve"> rather than the current</w:t>
      </w:r>
      <w:r w:rsidR="000426E7">
        <w:t>ly</w:t>
      </w:r>
      <w:r w:rsidR="00AF1539">
        <w:t xml:space="preserve"> recommend</w:t>
      </w:r>
      <w:r w:rsidR="000426E7">
        <w:t>ed</w:t>
      </w:r>
      <w:r w:rsidR="00CD5F7C">
        <w:t xml:space="preserve"> </w:t>
      </w:r>
      <w:r w:rsidR="00AF1539">
        <w:t>12</w:t>
      </w:r>
      <w:r w:rsidR="000426E7">
        <w:t>–</w:t>
      </w:r>
      <w:r w:rsidR="00AF1539">
        <w:t>18</w:t>
      </w:r>
      <w:r w:rsidR="000426E7">
        <w:t> </w:t>
      </w:r>
      <w:r w:rsidR="00AF1539">
        <w:t>months</w:t>
      </w:r>
      <w:r w:rsidR="00CD5F7C">
        <w:t xml:space="preserve"> of age</w:t>
      </w:r>
      <w:r w:rsidR="00AF1539">
        <w:t>.</w:t>
      </w:r>
      <w:r w:rsidR="0094769A">
        <w:t xml:space="preserve"> </w:t>
      </w:r>
    </w:p>
    <w:p w14:paraId="786BDB0F" w14:textId="1A4DB6E3" w:rsidR="00CD6A3F" w:rsidRDefault="008820CB" w:rsidP="007E7F73">
      <w:pPr>
        <w:rPr>
          <w:i/>
          <w:iCs/>
        </w:rPr>
      </w:pPr>
      <w:r>
        <w:t>In addition to improving protection in vaccinated children, t</w:t>
      </w:r>
      <w:r w:rsidR="000738E3">
        <w:t>h</w:t>
      </w:r>
      <w:r w:rsidR="00BD3555">
        <w:t xml:space="preserve">e proposed </w:t>
      </w:r>
      <w:r w:rsidR="000738E3">
        <w:t>change</w:t>
      </w:r>
      <w:r w:rsidR="00BD3555">
        <w:t>s</w:t>
      </w:r>
      <w:r w:rsidR="000738E3">
        <w:t xml:space="preserve"> </w:t>
      </w:r>
      <w:r w:rsidR="00BD3555">
        <w:t xml:space="preserve">are </w:t>
      </w:r>
      <w:r w:rsidR="000738E3">
        <w:t xml:space="preserve">expected to lead </w:t>
      </w:r>
      <w:r w:rsidR="00741326">
        <w:t xml:space="preserve">to considerable </w:t>
      </w:r>
      <w:r w:rsidR="000738E3">
        <w:t>improvement in disease control in older unvaccinated populations through better indirect (herd) protection. Following on from this change</w:t>
      </w:r>
      <w:r>
        <w:t>,</w:t>
      </w:r>
      <w:r w:rsidR="000738E3">
        <w:t xml:space="preserve"> revised schedules are proposed for catch</w:t>
      </w:r>
      <w:r w:rsidR="000426E7">
        <w:t>-</w:t>
      </w:r>
      <w:r w:rsidR="000738E3">
        <w:t>up doses in those</w:t>
      </w:r>
      <w:r w:rsidR="00741326">
        <w:t xml:space="preserve"> who</w:t>
      </w:r>
      <w:r w:rsidR="000738E3">
        <w:t xml:space="preserve"> miss</w:t>
      </w:r>
      <w:r w:rsidR="00741326">
        <w:t xml:space="preserve"> 13vPCV doses</w:t>
      </w:r>
      <w:r w:rsidR="000738E3">
        <w:t xml:space="preserve"> at the recommended schedule p</w:t>
      </w:r>
      <w:r w:rsidR="006C5DA9">
        <w:t>o</w:t>
      </w:r>
      <w:r w:rsidR="000738E3">
        <w:t xml:space="preserve">ints. </w:t>
      </w:r>
      <w:r w:rsidR="001100E0">
        <w:t xml:space="preserve">Moving the current </w:t>
      </w:r>
      <w:r w:rsidR="00B47646">
        <w:t xml:space="preserve">third </w:t>
      </w:r>
      <w:r w:rsidR="001100E0">
        <w:t>dose from 6</w:t>
      </w:r>
      <w:r w:rsidR="000426E7">
        <w:t> </w:t>
      </w:r>
      <w:r w:rsidR="001100E0">
        <w:t>months to 12</w:t>
      </w:r>
      <w:r w:rsidR="000426E7">
        <w:t> </w:t>
      </w:r>
      <w:r w:rsidR="001100E0">
        <w:t xml:space="preserve">months </w:t>
      </w:r>
      <w:r w:rsidR="000426E7">
        <w:t xml:space="preserve">of age </w:t>
      </w:r>
      <w:r w:rsidR="001100E0">
        <w:t xml:space="preserve">may reduce protection between </w:t>
      </w:r>
      <w:r w:rsidR="000426E7">
        <w:t xml:space="preserve">the </w:t>
      </w:r>
      <w:r w:rsidR="001100E0">
        <w:t>ages of 6</w:t>
      </w:r>
      <w:r w:rsidR="000426E7">
        <w:t> </w:t>
      </w:r>
      <w:r w:rsidR="001100E0">
        <w:t>and 12</w:t>
      </w:r>
      <w:r w:rsidR="000426E7">
        <w:t> </w:t>
      </w:r>
      <w:r w:rsidR="001100E0">
        <w:t>m</w:t>
      </w:r>
      <w:r w:rsidR="006C1ECA">
        <w:t>o</w:t>
      </w:r>
      <w:r w:rsidR="001100E0">
        <w:t>nths</w:t>
      </w:r>
      <w:r w:rsidR="000426E7">
        <w:t>,</w:t>
      </w:r>
      <w:r w:rsidR="001100E0">
        <w:t xml:space="preserve"> but </w:t>
      </w:r>
      <w:r>
        <w:t xml:space="preserve">any </w:t>
      </w:r>
      <w:r w:rsidR="006C1ECA">
        <w:t xml:space="preserve">increase in disease as a result is </w:t>
      </w:r>
      <w:r w:rsidR="00294C5D">
        <w:t>estimated</w:t>
      </w:r>
      <w:r w:rsidR="006C1ECA">
        <w:t xml:space="preserve"> to be low and </w:t>
      </w:r>
      <w:r>
        <w:t>expected</w:t>
      </w:r>
      <w:r w:rsidR="006C1ECA">
        <w:t xml:space="preserve"> to disappear with time.</w:t>
      </w:r>
    </w:p>
    <w:p w14:paraId="14C18F8C" w14:textId="6027F842" w:rsidR="00FA29A1" w:rsidRPr="00CF1A9D" w:rsidRDefault="00FA29A1" w:rsidP="00CF1A9D">
      <w:pPr>
        <w:pStyle w:val="Heading1"/>
      </w:pPr>
      <w:r w:rsidRPr="00CF1A9D">
        <w:t>Rationale</w:t>
      </w:r>
    </w:p>
    <w:p w14:paraId="718D1499" w14:textId="63FE9244" w:rsidR="00CE51B1" w:rsidRDefault="00C20303" w:rsidP="00DE622B">
      <w:r>
        <w:t>Most children in Australia are currently recommended to receive three doses of a vaccine against pneumococcal disease at 2, 4 and 6</w:t>
      </w:r>
      <w:r w:rsidR="000426E7">
        <w:t> </w:t>
      </w:r>
      <w:r>
        <w:t>months of age. The vaccine, called the 13</w:t>
      </w:r>
      <w:r w:rsidR="000426E7">
        <w:t>-</w:t>
      </w:r>
      <w:r>
        <w:t xml:space="preserve">valent pneumococcal conjugate vaccine (13vPCV; </w:t>
      </w:r>
      <w:proofErr w:type="spellStart"/>
      <w:r>
        <w:t>Prevenar</w:t>
      </w:r>
      <w:proofErr w:type="spellEnd"/>
      <w:r>
        <w:t xml:space="preserve"> 13), has been highly effective in reducing pneumococcal disease in children. Despite this, </w:t>
      </w:r>
      <w:r w:rsidR="00FA29A1" w:rsidRPr="00D96AA9">
        <w:t xml:space="preserve">ATAGI </w:t>
      </w:r>
      <w:r w:rsidR="00EC70D6">
        <w:t xml:space="preserve">now </w:t>
      </w:r>
      <w:r w:rsidR="00FA29A1" w:rsidRPr="00D96AA9">
        <w:t xml:space="preserve">considers </w:t>
      </w:r>
      <w:r w:rsidR="00723A57">
        <w:t>there to be</w:t>
      </w:r>
      <w:r w:rsidR="00FA29A1" w:rsidRPr="00D96AA9">
        <w:t xml:space="preserve"> clear evidence to suggest that a dose </w:t>
      </w:r>
      <w:r w:rsidR="00865DEA">
        <w:t xml:space="preserve">of 13vPCV </w:t>
      </w:r>
      <w:r w:rsidR="00FA29A1" w:rsidRPr="00D96AA9">
        <w:t xml:space="preserve">in the </w:t>
      </w:r>
      <w:r w:rsidR="00FA29A1">
        <w:t>second</w:t>
      </w:r>
      <w:r w:rsidR="00FA29A1" w:rsidRPr="00D96AA9">
        <w:t xml:space="preserve"> year of life</w:t>
      </w:r>
      <w:r w:rsidR="006C1ECA">
        <w:t xml:space="preserve"> (booster dose)</w:t>
      </w:r>
      <w:r w:rsidR="00FA29A1" w:rsidRPr="00D96AA9">
        <w:t xml:space="preserve"> is critical </w:t>
      </w:r>
      <w:r w:rsidR="00865DEA">
        <w:t xml:space="preserve">to </w:t>
      </w:r>
      <w:r w:rsidR="00FA29A1" w:rsidRPr="00D96AA9">
        <w:t xml:space="preserve">further </w:t>
      </w:r>
      <w:r w:rsidR="006C1ECA">
        <w:t>increase</w:t>
      </w:r>
      <w:r w:rsidR="00FA29A1" w:rsidRPr="00D96AA9">
        <w:t xml:space="preserve"> both direct and indirect benefits of the childhood 13vPCV program for all Australians</w:t>
      </w:r>
      <w:r w:rsidR="00FA29A1">
        <w:t>.</w:t>
      </w:r>
      <w:r w:rsidR="00865DEA">
        <w:t xml:space="preserve"> </w:t>
      </w:r>
      <w:r w:rsidR="00E7595F">
        <w:t>The main reasons for t</w:t>
      </w:r>
      <w:r w:rsidR="00865DEA">
        <w:t>his</w:t>
      </w:r>
      <w:r w:rsidR="00E7595F">
        <w:t xml:space="preserve"> conclusion</w:t>
      </w:r>
      <w:r w:rsidR="00865DEA">
        <w:t xml:space="preserve"> </w:t>
      </w:r>
      <w:r w:rsidR="00E7595F">
        <w:t>are</w:t>
      </w:r>
      <w:r w:rsidR="00723A57">
        <w:t>:</w:t>
      </w:r>
      <w:r w:rsidR="00865DEA">
        <w:t xml:space="preserve"> </w:t>
      </w:r>
    </w:p>
    <w:p w14:paraId="1519FB53" w14:textId="67EB292D" w:rsidR="00C20303" w:rsidRDefault="00AF1539" w:rsidP="00DE622B">
      <w:pPr>
        <w:pStyle w:val="ListParagraph"/>
        <w:numPr>
          <w:ilvl w:val="0"/>
          <w:numId w:val="33"/>
        </w:numPr>
        <w:ind w:left="714" w:hanging="357"/>
      </w:pPr>
      <w:r>
        <w:t>Cases of 13vPCV vaccine failures in toddlers older than 12</w:t>
      </w:r>
      <w:r w:rsidR="000426E7">
        <w:t> </w:t>
      </w:r>
      <w:r>
        <w:t xml:space="preserve">months continue to occur at higher rates than seen in other </w:t>
      </w:r>
      <w:r w:rsidRPr="0019704C">
        <w:t xml:space="preserve">countries </w:t>
      </w:r>
      <w:r>
        <w:t xml:space="preserve">that provide a booster dose </w:t>
      </w:r>
      <w:r w:rsidRPr="0019704C">
        <w:t xml:space="preserve">of 13vPCV </w:t>
      </w:r>
      <w:r>
        <w:t xml:space="preserve">during the </w:t>
      </w:r>
      <w:r w:rsidRPr="0019704C">
        <w:t>second year of life</w:t>
      </w:r>
      <w:r>
        <w:t xml:space="preserve">. </w:t>
      </w:r>
      <w:r w:rsidR="002327E6">
        <w:t>These</w:t>
      </w:r>
      <w:r w:rsidR="002327E6" w:rsidRPr="00AF1539">
        <w:t xml:space="preserve"> vaccine failure</w:t>
      </w:r>
      <w:r w:rsidR="002327E6">
        <w:t xml:space="preserve">s were children diagnosed with </w:t>
      </w:r>
      <w:r w:rsidR="002327E6" w:rsidRPr="00AF1539">
        <w:t xml:space="preserve">IPD due to serotypes covered in 13vPCV </w:t>
      </w:r>
      <w:r w:rsidR="002327E6">
        <w:t xml:space="preserve">who had received </w:t>
      </w:r>
      <w:r w:rsidR="002327E6" w:rsidRPr="00AF1539">
        <w:t xml:space="preserve">three infant doses of </w:t>
      </w:r>
      <w:r w:rsidR="002327E6">
        <w:t>13vPCV (at 2, 4, 6 months of age)</w:t>
      </w:r>
      <w:r>
        <w:t xml:space="preserve">. </w:t>
      </w:r>
      <w:r w:rsidR="00AF06EA">
        <w:t xml:space="preserve">Although </w:t>
      </w:r>
      <w:r w:rsidR="00C20303">
        <w:t xml:space="preserve">not all children who are vaccinated will be protected, the evidence shows that </w:t>
      </w:r>
      <w:r w:rsidR="00AF06EA">
        <w:t>some</w:t>
      </w:r>
      <w:r w:rsidR="00C20303">
        <w:t xml:space="preserve"> children in Australia who have received three doses of 13vPCV in accordance with the current schedule are not being adequately protected </w:t>
      </w:r>
      <w:r w:rsidR="009113A7">
        <w:t>beyond</w:t>
      </w:r>
      <w:r w:rsidR="00C20303">
        <w:t xml:space="preserve"> the </w:t>
      </w:r>
      <w:r w:rsidR="009113A7">
        <w:t>first</w:t>
      </w:r>
      <w:r w:rsidR="00C20303">
        <w:t xml:space="preserve"> year of life. </w:t>
      </w:r>
    </w:p>
    <w:p w14:paraId="1D00F13E" w14:textId="13C20EDD" w:rsidR="00C20303" w:rsidRPr="00EC70D6" w:rsidRDefault="00C20303" w:rsidP="00DE622B">
      <w:pPr>
        <w:pStyle w:val="ListParagraph"/>
        <w:numPr>
          <w:ilvl w:val="0"/>
          <w:numId w:val="33"/>
        </w:numPr>
      </w:pPr>
      <w:r>
        <w:t xml:space="preserve">Other </w:t>
      </w:r>
      <w:r w:rsidRPr="0019704C">
        <w:t xml:space="preserve">countries </w:t>
      </w:r>
      <w:r>
        <w:t xml:space="preserve">that provide a dose </w:t>
      </w:r>
      <w:r w:rsidRPr="0019704C">
        <w:t xml:space="preserve">of 13vPCV </w:t>
      </w:r>
      <w:r>
        <w:t xml:space="preserve">during the </w:t>
      </w:r>
      <w:r w:rsidRPr="0019704C">
        <w:t>second year of life</w:t>
      </w:r>
      <w:r>
        <w:t xml:space="preserve"> are seeing greater benefits from herd immunity than is currently being achieved in Australia. This is reflected in </w:t>
      </w:r>
      <w:r w:rsidR="00EC70D6">
        <w:t xml:space="preserve">a lower </w:t>
      </w:r>
      <w:r w:rsidR="00EC70D6" w:rsidRPr="00DE4A0B">
        <w:t xml:space="preserve">number of IPD </w:t>
      </w:r>
      <w:r w:rsidR="00AF06EA">
        <w:t xml:space="preserve">cases </w:t>
      </w:r>
      <w:r w:rsidR="00EC70D6" w:rsidRPr="00DE4A0B">
        <w:t>due to vaccine serotypes</w:t>
      </w:r>
      <w:r w:rsidR="00EC70D6" w:rsidRPr="00EC70D6">
        <w:t xml:space="preserve"> </w:t>
      </w:r>
      <w:r w:rsidRPr="00EC70D6">
        <w:t xml:space="preserve">among unvaccinated children </w:t>
      </w:r>
      <w:r w:rsidR="00EC70D6" w:rsidRPr="00EC70D6">
        <w:t>and adults</w:t>
      </w:r>
      <w:r w:rsidRPr="00EC70D6">
        <w:t xml:space="preserve">. The experience in other countries shows that by providing better protection during the second year of life, Australia also has the potential to reduce the risk of unvaccinated </w:t>
      </w:r>
      <w:r w:rsidR="00EC70D6" w:rsidRPr="00EC70D6">
        <w:t xml:space="preserve">individuals </w:t>
      </w:r>
      <w:r w:rsidRPr="00EC70D6">
        <w:t xml:space="preserve">getting IPD </w:t>
      </w:r>
      <w:r w:rsidR="00EC70D6" w:rsidRPr="00EC70D6">
        <w:t>due to</w:t>
      </w:r>
      <w:r w:rsidRPr="00EC70D6">
        <w:t xml:space="preserve"> the </w:t>
      </w:r>
      <w:r w:rsidR="00AF06EA">
        <w:t>sero</w:t>
      </w:r>
      <w:r w:rsidRPr="00EC70D6">
        <w:t>types in the 13vPCV</w:t>
      </w:r>
      <w:r w:rsidR="00EC70D6" w:rsidRPr="00EC70D6">
        <w:t>.</w:t>
      </w:r>
    </w:p>
    <w:p w14:paraId="7FEA5867" w14:textId="382B1562" w:rsidR="00802E2A" w:rsidRDefault="00FA29A1" w:rsidP="00DE622B">
      <w:r w:rsidRPr="00D96AA9">
        <w:lastRenderedPageBreak/>
        <w:t xml:space="preserve">ATAGI proposes </w:t>
      </w:r>
      <w:r w:rsidR="00865DEA">
        <w:t>changes to the childhood pneumo</w:t>
      </w:r>
      <w:r w:rsidR="00723A57">
        <w:t>c</w:t>
      </w:r>
      <w:r w:rsidR="00865DEA">
        <w:t xml:space="preserve">occal vaccination </w:t>
      </w:r>
      <w:r w:rsidR="00AF06EA">
        <w:t xml:space="preserve">schedule </w:t>
      </w:r>
      <w:r w:rsidR="00C20303">
        <w:t>so that</w:t>
      </w:r>
      <w:r w:rsidR="00865DEA">
        <w:t xml:space="preserve"> children currently </w:t>
      </w:r>
      <w:r w:rsidR="00865DEA" w:rsidRPr="00802E2A">
        <w:t>recommended to receive</w:t>
      </w:r>
      <w:r w:rsidR="00207CCB">
        <w:t xml:space="preserve"> three</w:t>
      </w:r>
      <w:r w:rsidR="00723A57" w:rsidRPr="00802E2A">
        <w:t xml:space="preserve"> infant doses of </w:t>
      </w:r>
      <w:r w:rsidR="00865DEA" w:rsidRPr="00802E2A">
        <w:t>13vPCV</w:t>
      </w:r>
      <w:r w:rsidR="00723A57" w:rsidRPr="00802E2A">
        <w:t xml:space="preserve"> (at 2, 4 and 6</w:t>
      </w:r>
      <w:r w:rsidR="00AF06EA">
        <w:t> </w:t>
      </w:r>
      <w:r w:rsidR="00723A57" w:rsidRPr="00802E2A">
        <w:t>months</w:t>
      </w:r>
      <w:r w:rsidR="00322C6C">
        <w:t xml:space="preserve"> of age</w:t>
      </w:r>
      <w:r w:rsidR="00723A57" w:rsidRPr="00802E2A">
        <w:t xml:space="preserve">) </w:t>
      </w:r>
      <w:r w:rsidR="00AF06EA">
        <w:t xml:space="preserve">instead </w:t>
      </w:r>
      <w:r w:rsidR="00865DEA" w:rsidRPr="00802E2A">
        <w:t xml:space="preserve">receive </w:t>
      </w:r>
      <w:r w:rsidR="00723A57" w:rsidRPr="00802E2A">
        <w:t>two infant doses</w:t>
      </w:r>
      <w:r w:rsidR="00207CCB">
        <w:t xml:space="preserve"> (at 2 and 4</w:t>
      </w:r>
      <w:r w:rsidR="00AF06EA">
        <w:t> </w:t>
      </w:r>
      <w:r w:rsidR="00207CCB">
        <w:t>months of age)</w:t>
      </w:r>
      <w:r w:rsidR="00723A57" w:rsidRPr="00802E2A">
        <w:t xml:space="preserve"> </w:t>
      </w:r>
      <w:r w:rsidR="00207CCB">
        <w:t xml:space="preserve">followed by </w:t>
      </w:r>
      <w:r w:rsidR="00723A57" w:rsidRPr="00802E2A">
        <w:t>a second year of life booster</w:t>
      </w:r>
      <w:r w:rsidR="00B47646">
        <w:t xml:space="preserve"> dose</w:t>
      </w:r>
      <w:r w:rsidR="00723A57" w:rsidRPr="00802E2A">
        <w:t xml:space="preserve"> </w:t>
      </w:r>
      <w:r w:rsidR="00AF06EA">
        <w:t xml:space="preserve">at </w:t>
      </w:r>
      <w:r w:rsidR="00723A57" w:rsidRPr="00802E2A">
        <w:t>12</w:t>
      </w:r>
      <w:r w:rsidR="00AF06EA">
        <w:t> </w:t>
      </w:r>
      <w:r w:rsidR="00723A57" w:rsidRPr="00802E2A">
        <w:t>months</w:t>
      </w:r>
      <w:r w:rsidR="00207CCB">
        <w:t xml:space="preserve"> of age</w:t>
      </w:r>
      <w:r w:rsidR="00723A57" w:rsidRPr="00802E2A">
        <w:t xml:space="preserve">. </w:t>
      </w:r>
      <w:r w:rsidR="00802E2A">
        <w:t xml:space="preserve">It is expected that this change will significantly improve both the direct and indirect protection provided by the childhood 13vPCV </w:t>
      </w:r>
      <w:r w:rsidR="00802E2A" w:rsidRPr="002B68BC">
        <w:t>program.</w:t>
      </w:r>
    </w:p>
    <w:p w14:paraId="645E1DB5" w14:textId="440429E2" w:rsidR="00FA29A1" w:rsidRPr="00D96AA9" w:rsidRDefault="00802E2A" w:rsidP="007E7F73">
      <w:r w:rsidRPr="00D96AA9">
        <w:t xml:space="preserve">Any potential decline in direct protection in infancy due to </w:t>
      </w:r>
      <w:r>
        <w:t>shifting the third</w:t>
      </w:r>
      <w:r w:rsidRPr="00D96AA9">
        <w:t xml:space="preserve"> infant dose</w:t>
      </w:r>
      <w:r>
        <w:t xml:space="preserve"> to the second year of life</w:t>
      </w:r>
      <w:r w:rsidR="00B47646">
        <w:t xml:space="preserve"> </w:t>
      </w:r>
      <w:r w:rsidRPr="00D96AA9">
        <w:t xml:space="preserve">will have the greatest impact on children with </w:t>
      </w:r>
      <w:r w:rsidR="007A70D9">
        <w:t xml:space="preserve">an </w:t>
      </w:r>
      <w:r w:rsidRPr="00D96AA9">
        <w:t xml:space="preserve">increased risk of IPD. </w:t>
      </w:r>
      <w:r w:rsidR="00FA29A1" w:rsidRPr="00802E2A">
        <w:t>For children with at-risk conditions for pneumococcal disease and for Aboriginal and Torres Strait Islander children living in the</w:t>
      </w:r>
      <w:r w:rsidR="00264247" w:rsidRPr="00802E2A">
        <w:t xml:space="preserve"> Northern Territory</w:t>
      </w:r>
      <w:r>
        <w:t xml:space="preserve"> </w:t>
      </w:r>
      <w:r w:rsidR="00264247" w:rsidRPr="00802E2A">
        <w:t>(</w:t>
      </w:r>
      <w:r w:rsidR="00FA29A1" w:rsidRPr="00802E2A">
        <w:t>NT</w:t>
      </w:r>
      <w:r w:rsidR="00264247" w:rsidRPr="00802E2A">
        <w:t>)</w:t>
      </w:r>
      <w:r w:rsidR="00FA29A1" w:rsidRPr="00802E2A">
        <w:t xml:space="preserve">, </w:t>
      </w:r>
      <w:r w:rsidR="00264247" w:rsidRPr="00802E2A">
        <w:t>Queensland (</w:t>
      </w:r>
      <w:r w:rsidR="00FA29A1" w:rsidRPr="00802E2A">
        <w:t>QLD</w:t>
      </w:r>
      <w:r w:rsidR="00264247" w:rsidRPr="00802E2A">
        <w:t>)</w:t>
      </w:r>
      <w:r w:rsidR="00FA29A1" w:rsidRPr="00802E2A">
        <w:t xml:space="preserve">, </w:t>
      </w:r>
      <w:r w:rsidR="00264247" w:rsidRPr="00802E2A">
        <w:t>South Australia (</w:t>
      </w:r>
      <w:r w:rsidR="00FA29A1" w:rsidRPr="00802E2A">
        <w:t>SA</w:t>
      </w:r>
      <w:r w:rsidR="00264247" w:rsidRPr="00802E2A">
        <w:t>)</w:t>
      </w:r>
      <w:r w:rsidR="00FA29A1" w:rsidRPr="00802E2A">
        <w:t xml:space="preserve"> and </w:t>
      </w:r>
      <w:r w:rsidR="00264247" w:rsidRPr="00802E2A">
        <w:t>Western Australia (</w:t>
      </w:r>
      <w:r w:rsidR="00FA29A1" w:rsidRPr="00802E2A">
        <w:t>WA</w:t>
      </w:r>
      <w:r w:rsidR="00264247" w:rsidRPr="00802E2A">
        <w:t>)</w:t>
      </w:r>
      <w:r w:rsidR="00FA29A1" w:rsidRPr="00802E2A">
        <w:t xml:space="preserve">, the current </w:t>
      </w:r>
      <w:r w:rsidRPr="00802E2A">
        <w:t>four</w:t>
      </w:r>
      <w:r w:rsidR="007A70D9">
        <w:t>-</w:t>
      </w:r>
      <w:r w:rsidRPr="00802E2A">
        <w:t xml:space="preserve">dose </w:t>
      </w:r>
      <w:r w:rsidR="00FA29A1" w:rsidRPr="00802E2A">
        <w:t xml:space="preserve">schedule </w:t>
      </w:r>
      <w:r w:rsidR="00865DEA" w:rsidRPr="00802E2A">
        <w:t>(</w:t>
      </w:r>
      <w:r w:rsidR="00723A57" w:rsidRPr="00802E2A">
        <w:t>three infant doses at 2,</w:t>
      </w:r>
      <w:r w:rsidR="007A70D9">
        <w:t xml:space="preserve"> </w:t>
      </w:r>
      <w:r w:rsidR="00723A57" w:rsidRPr="00802E2A">
        <w:t>4 and 6</w:t>
      </w:r>
      <w:r w:rsidR="007A70D9">
        <w:t> </w:t>
      </w:r>
      <w:r w:rsidR="00723A57" w:rsidRPr="00802E2A">
        <w:t xml:space="preserve">months </w:t>
      </w:r>
      <w:r w:rsidR="007A70D9">
        <w:t xml:space="preserve">of age </w:t>
      </w:r>
      <w:r w:rsidR="00723A57" w:rsidRPr="00802E2A">
        <w:t>with a second year of life booster</w:t>
      </w:r>
      <w:r w:rsidR="00865DEA" w:rsidRPr="00802E2A">
        <w:t xml:space="preserve">) </w:t>
      </w:r>
      <w:r w:rsidR="00FA29A1" w:rsidRPr="00802E2A">
        <w:t>is to be continued.</w:t>
      </w:r>
      <w:r w:rsidR="00FA29A1" w:rsidRPr="00D96AA9">
        <w:t xml:space="preserve"> Regarding the timing of the booster dose, </w:t>
      </w:r>
      <w:r w:rsidR="00B47646" w:rsidRPr="00D96AA9">
        <w:t>12</w:t>
      </w:r>
      <w:r w:rsidR="00B47646">
        <w:t> </w:t>
      </w:r>
      <w:r w:rsidR="00FA29A1" w:rsidRPr="00D96AA9">
        <w:t>months of age is preferred to 12</w:t>
      </w:r>
      <w:r w:rsidR="007A70D9">
        <w:t>–</w:t>
      </w:r>
      <w:r w:rsidR="00FA29A1" w:rsidRPr="00D96AA9">
        <w:t>18</w:t>
      </w:r>
      <w:r w:rsidR="007A70D9">
        <w:t> </w:t>
      </w:r>
      <w:r w:rsidR="00FA29A1" w:rsidRPr="00D96AA9">
        <w:t xml:space="preserve">months </w:t>
      </w:r>
      <w:r w:rsidR="00FA29A1">
        <w:t xml:space="preserve">in order </w:t>
      </w:r>
      <w:r w:rsidR="00FA29A1" w:rsidRPr="00D96AA9">
        <w:t xml:space="preserve">to shorten the interval between the completion of </w:t>
      </w:r>
      <w:r w:rsidR="00B41670">
        <w:t xml:space="preserve">the </w:t>
      </w:r>
      <w:r w:rsidR="00FA29A1" w:rsidRPr="00D96AA9">
        <w:t>primary course and the booster dose. Implementing a nationally consi</w:t>
      </w:r>
      <w:r w:rsidR="00FA29A1">
        <w:t>stent schedule point for the fourth</w:t>
      </w:r>
      <w:r w:rsidR="00FA29A1" w:rsidRPr="00D96AA9">
        <w:t xml:space="preserve"> dose (i.e. at 12</w:t>
      </w:r>
      <w:r w:rsidR="007A70D9">
        <w:t> </w:t>
      </w:r>
      <w:r w:rsidR="00FA29A1" w:rsidRPr="00D96AA9">
        <w:t>months</w:t>
      </w:r>
      <w:r w:rsidR="007A70D9">
        <w:t xml:space="preserve"> of age</w:t>
      </w:r>
      <w:r w:rsidR="00FA29A1" w:rsidRPr="00D96AA9">
        <w:t xml:space="preserve">) </w:t>
      </w:r>
      <w:r w:rsidR="00CE51B1">
        <w:t>is expected to</w:t>
      </w:r>
      <w:r w:rsidR="00CE51B1" w:rsidRPr="00D96AA9">
        <w:t xml:space="preserve"> </w:t>
      </w:r>
      <w:r w:rsidR="00FA29A1" w:rsidRPr="00D96AA9">
        <w:t>contribute to higher vaccination rates through consistent promotion of the infant pneumococcal vaccine schedule.</w:t>
      </w:r>
    </w:p>
    <w:p w14:paraId="24E7DCE6" w14:textId="7503A206" w:rsidR="00FB543B" w:rsidRPr="00CF1A9D" w:rsidRDefault="00114AAA" w:rsidP="00CF1A9D">
      <w:pPr>
        <w:pStyle w:val="Heading1"/>
      </w:pPr>
      <w:r w:rsidRPr="00CF1A9D">
        <w:t>Recommendations</w:t>
      </w:r>
    </w:p>
    <w:p w14:paraId="23E6431D" w14:textId="7E413FA5" w:rsidR="00F7367F" w:rsidRPr="00CF1A9D" w:rsidRDefault="008D432A" w:rsidP="00CF1A9D">
      <w:pPr>
        <w:pStyle w:val="Heading2"/>
      </w:pPr>
      <w:r w:rsidRPr="00CF1A9D">
        <w:t>ATAGI proposes the following recommendations</w:t>
      </w:r>
      <w:r w:rsidR="009A78ED" w:rsidRPr="00CF1A9D">
        <w:t xml:space="preserve"> for 13vPCV </w:t>
      </w:r>
      <w:r w:rsidR="00F7367F" w:rsidRPr="00CF1A9D">
        <w:t>use</w:t>
      </w:r>
      <w:r w:rsidR="004C69F7" w:rsidRPr="00CF1A9D">
        <w:t xml:space="preserve"> </w:t>
      </w:r>
      <w:r w:rsidR="009A78ED" w:rsidRPr="00CF1A9D">
        <w:t>in children</w:t>
      </w:r>
      <w:r w:rsidR="00983CED" w:rsidRPr="00CF1A9D">
        <w:t xml:space="preserve"> </w:t>
      </w:r>
      <w:r w:rsidR="00F7367F" w:rsidRPr="00CF1A9D">
        <w:t>(Table 1)</w:t>
      </w:r>
    </w:p>
    <w:p w14:paraId="71D1CC87" w14:textId="6EC7ACBF" w:rsidR="00FB543B" w:rsidRPr="00C904CB" w:rsidRDefault="00FB543B" w:rsidP="001A4E5D">
      <w:pPr>
        <w:pStyle w:val="Tableheading"/>
      </w:pPr>
      <w:r w:rsidRPr="008509E6">
        <w:rPr>
          <w:b/>
          <w:i/>
        </w:rPr>
        <w:t>Table 1</w:t>
      </w:r>
      <w:r w:rsidRPr="008509E6">
        <w:rPr>
          <w:b/>
        </w:rPr>
        <w:t>:</w:t>
      </w:r>
      <w:r>
        <w:t xml:space="preserve"> </w:t>
      </w:r>
      <w:r w:rsidRPr="008509E6">
        <w:t>Comparison of current and proposed ATAGI recommendations for 13vPCV schedules in children</w:t>
      </w:r>
    </w:p>
    <w:tbl>
      <w:tblPr>
        <w:tblStyle w:val="TableGrid"/>
        <w:tblW w:w="9631" w:type="dxa"/>
        <w:tblLook w:val="04A0" w:firstRow="1" w:lastRow="0" w:firstColumn="1" w:lastColumn="0" w:noHBand="0" w:noVBand="1"/>
        <w:tblCaption w:val="Table 1 - Comparison of current and proposed ATAGI recommendations for 13vPCV schedules in children"/>
        <w:tblDescription w:val="This table outlines the current recommendations and the proposed recommendations for the infant pneumococcal vaccination schedule using the 13-valent pneumococcal conjugate vaccine. These recommendations are outlined in detail in the text below the table."/>
      </w:tblPr>
      <w:tblGrid>
        <w:gridCol w:w="2526"/>
        <w:gridCol w:w="2402"/>
        <w:gridCol w:w="2434"/>
        <w:gridCol w:w="2269"/>
      </w:tblGrid>
      <w:tr w:rsidR="00FB543B" w:rsidRPr="007A7A95" w14:paraId="1DA01684" w14:textId="77777777" w:rsidTr="009350E8">
        <w:trPr>
          <w:trHeight w:val="546"/>
          <w:tblHeader/>
        </w:trPr>
        <w:tc>
          <w:tcPr>
            <w:tcW w:w="4928" w:type="dxa"/>
            <w:gridSpan w:val="2"/>
            <w:shd w:val="pct70" w:color="auto" w:fill="FFFFFF" w:themeFill="background1"/>
            <w:vAlign w:val="center"/>
          </w:tcPr>
          <w:p w14:paraId="18A0415E" w14:textId="77777777" w:rsidR="00FB543B" w:rsidRPr="007A7A95" w:rsidRDefault="00FB543B" w:rsidP="007A7A95">
            <w:pPr>
              <w:pStyle w:val="Tablecolumnheading"/>
            </w:pPr>
            <w:r w:rsidRPr="007A7A95">
              <w:t>Cohort</w:t>
            </w:r>
          </w:p>
        </w:tc>
        <w:tc>
          <w:tcPr>
            <w:tcW w:w="2434" w:type="dxa"/>
            <w:shd w:val="pct70" w:color="auto" w:fill="FFFFFF" w:themeFill="background1"/>
            <w:vAlign w:val="center"/>
          </w:tcPr>
          <w:p w14:paraId="56F88365" w14:textId="188DA152" w:rsidR="00FB543B" w:rsidRPr="007A7A95" w:rsidRDefault="00FB543B" w:rsidP="007A7A95">
            <w:pPr>
              <w:pStyle w:val="Tablecolumnheading"/>
            </w:pPr>
            <w:r w:rsidRPr="007A7A95">
              <w:t>Schedule in current recommendation</w:t>
            </w:r>
            <w:r w:rsidR="004808DF">
              <w:t>*</w:t>
            </w:r>
          </w:p>
        </w:tc>
        <w:tc>
          <w:tcPr>
            <w:tcW w:w="2269" w:type="dxa"/>
            <w:shd w:val="pct70" w:color="auto" w:fill="FFFFFF" w:themeFill="background1"/>
            <w:vAlign w:val="center"/>
          </w:tcPr>
          <w:p w14:paraId="16D5A823" w14:textId="77777777" w:rsidR="00FB543B" w:rsidRPr="007A7A95" w:rsidRDefault="00FB543B" w:rsidP="007A7A95">
            <w:pPr>
              <w:pStyle w:val="Tablecolumnheading"/>
            </w:pPr>
            <w:r w:rsidRPr="007A7A95">
              <w:t>Schedule in proposed recommendation</w:t>
            </w:r>
          </w:p>
        </w:tc>
      </w:tr>
      <w:tr w:rsidR="00FB543B" w:rsidRPr="002D5435" w14:paraId="6CEA275B" w14:textId="77777777" w:rsidTr="007A7A95">
        <w:trPr>
          <w:trHeight w:val="513"/>
        </w:trPr>
        <w:tc>
          <w:tcPr>
            <w:tcW w:w="2526" w:type="dxa"/>
            <w:vMerge w:val="restart"/>
            <w:vAlign w:val="center"/>
          </w:tcPr>
          <w:p w14:paraId="218C8A97" w14:textId="77777777" w:rsidR="00FB543B" w:rsidRPr="002D5435" w:rsidRDefault="00FB543B" w:rsidP="008509E6">
            <w:pPr>
              <w:pStyle w:val="Tabletext"/>
            </w:pPr>
            <w:r w:rsidRPr="002D5435">
              <w:t xml:space="preserve">Children </w:t>
            </w:r>
            <w:r w:rsidRPr="00896090">
              <w:rPr>
                <w:u w:val="single"/>
              </w:rPr>
              <w:t>without</w:t>
            </w:r>
            <w:r w:rsidRPr="002D5435">
              <w:t xml:space="preserve"> </w:t>
            </w:r>
            <w:r>
              <w:t xml:space="preserve">underlying medical </w:t>
            </w:r>
            <w:r w:rsidRPr="002D5435">
              <w:t>conditions</w:t>
            </w:r>
            <w:r>
              <w:t xml:space="preserve"> associated with increased risk of IPD</w:t>
            </w:r>
          </w:p>
        </w:tc>
        <w:tc>
          <w:tcPr>
            <w:tcW w:w="2402" w:type="dxa"/>
            <w:vAlign w:val="center"/>
          </w:tcPr>
          <w:p w14:paraId="27AD8505" w14:textId="77777777" w:rsidR="00FB543B" w:rsidRPr="002D5435" w:rsidRDefault="00FB543B" w:rsidP="008509E6">
            <w:pPr>
              <w:pStyle w:val="Tabletext"/>
            </w:pPr>
            <w:r>
              <w:t>All children in ACT, NSW, TAS or VIC</w:t>
            </w:r>
          </w:p>
        </w:tc>
        <w:tc>
          <w:tcPr>
            <w:tcW w:w="2434" w:type="dxa"/>
            <w:vMerge w:val="restart"/>
            <w:vAlign w:val="center"/>
          </w:tcPr>
          <w:p w14:paraId="46D4D334" w14:textId="77777777" w:rsidR="00FB543B" w:rsidRPr="002D5435" w:rsidRDefault="00FB543B" w:rsidP="007A7A95">
            <w:pPr>
              <w:pStyle w:val="Tabletext"/>
              <w:jc w:val="center"/>
            </w:pPr>
            <w:r>
              <w:t>3+0</w:t>
            </w:r>
          </w:p>
          <w:p w14:paraId="6DB7492E" w14:textId="77777777" w:rsidR="00FB543B" w:rsidRPr="002D5435" w:rsidRDefault="00FB543B" w:rsidP="007A7A95">
            <w:pPr>
              <w:pStyle w:val="Tabletext"/>
              <w:jc w:val="center"/>
            </w:pPr>
            <w:r w:rsidRPr="002D5435">
              <w:t>(2, 4 and 6 months)</w:t>
            </w:r>
          </w:p>
        </w:tc>
        <w:tc>
          <w:tcPr>
            <w:tcW w:w="2269" w:type="dxa"/>
            <w:vMerge w:val="restart"/>
            <w:vAlign w:val="center"/>
          </w:tcPr>
          <w:p w14:paraId="2B7F5B01" w14:textId="77777777" w:rsidR="00FB543B" w:rsidRPr="002D5435" w:rsidRDefault="00FB543B" w:rsidP="007A7A95">
            <w:pPr>
              <w:pStyle w:val="Tabletext"/>
              <w:jc w:val="center"/>
            </w:pPr>
            <w:r>
              <w:t>2+1</w:t>
            </w:r>
          </w:p>
          <w:p w14:paraId="4FD3016A" w14:textId="4A8E5996" w:rsidR="00FB543B" w:rsidRPr="002D5435" w:rsidRDefault="00FB543B" w:rsidP="007A7A95">
            <w:pPr>
              <w:pStyle w:val="Tabletext"/>
              <w:jc w:val="center"/>
            </w:pPr>
            <w:r w:rsidRPr="002D5435">
              <w:t>(2,</w:t>
            </w:r>
            <w:r w:rsidR="004808DF">
              <w:t xml:space="preserve"> </w:t>
            </w:r>
            <w:r w:rsidRPr="002D5435">
              <w:t>4 and 12 months)</w:t>
            </w:r>
          </w:p>
        </w:tc>
      </w:tr>
      <w:tr w:rsidR="00FB543B" w:rsidRPr="002D5435" w14:paraId="447661FF" w14:textId="77777777" w:rsidTr="007A7A95">
        <w:trPr>
          <w:trHeight w:val="532"/>
        </w:trPr>
        <w:tc>
          <w:tcPr>
            <w:tcW w:w="2526" w:type="dxa"/>
            <w:vMerge/>
            <w:vAlign w:val="center"/>
          </w:tcPr>
          <w:p w14:paraId="6DF4C4D1" w14:textId="77777777" w:rsidR="00FB543B" w:rsidRPr="002D5435" w:rsidRDefault="00FB543B" w:rsidP="008509E6">
            <w:pPr>
              <w:pStyle w:val="Tabletext"/>
            </w:pPr>
          </w:p>
        </w:tc>
        <w:tc>
          <w:tcPr>
            <w:tcW w:w="2402" w:type="dxa"/>
            <w:vAlign w:val="center"/>
          </w:tcPr>
          <w:p w14:paraId="622F8261" w14:textId="77777777" w:rsidR="00FB543B" w:rsidRPr="002D5435" w:rsidRDefault="00FB543B" w:rsidP="008509E6">
            <w:pPr>
              <w:pStyle w:val="Tabletext"/>
            </w:pPr>
            <w:r w:rsidRPr="002D5435">
              <w:t>Non-</w:t>
            </w:r>
            <w:r>
              <w:t>Indigenous</w:t>
            </w:r>
            <w:r w:rsidRPr="002D5435">
              <w:t xml:space="preserve"> children in NT, QLD, SA or WA</w:t>
            </w:r>
          </w:p>
        </w:tc>
        <w:tc>
          <w:tcPr>
            <w:tcW w:w="2434" w:type="dxa"/>
            <w:vMerge/>
            <w:vAlign w:val="center"/>
          </w:tcPr>
          <w:p w14:paraId="53A9B833" w14:textId="77777777" w:rsidR="00FB543B" w:rsidRPr="002D5435" w:rsidRDefault="00FB543B" w:rsidP="007A7A95">
            <w:pPr>
              <w:pStyle w:val="Tabletext"/>
              <w:jc w:val="center"/>
            </w:pPr>
          </w:p>
        </w:tc>
        <w:tc>
          <w:tcPr>
            <w:tcW w:w="2269" w:type="dxa"/>
            <w:vMerge/>
            <w:vAlign w:val="center"/>
          </w:tcPr>
          <w:p w14:paraId="310C6B1F" w14:textId="77777777" w:rsidR="00FB543B" w:rsidRPr="002D5435" w:rsidRDefault="00FB543B" w:rsidP="007A7A95">
            <w:pPr>
              <w:pStyle w:val="Tabletext"/>
              <w:jc w:val="center"/>
            </w:pPr>
          </w:p>
        </w:tc>
      </w:tr>
      <w:tr w:rsidR="00FB543B" w:rsidRPr="002D5435" w14:paraId="74DF0B9D" w14:textId="77777777" w:rsidTr="007A7A95">
        <w:trPr>
          <w:trHeight w:val="798"/>
        </w:trPr>
        <w:tc>
          <w:tcPr>
            <w:tcW w:w="2526" w:type="dxa"/>
            <w:vMerge/>
            <w:vAlign w:val="center"/>
          </w:tcPr>
          <w:p w14:paraId="0C9A5665" w14:textId="77777777" w:rsidR="00FB543B" w:rsidRPr="002D5435" w:rsidRDefault="00FB543B" w:rsidP="008509E6">
            <w:pPr>
              <w:pStyle w:val="Tabletext"/>
            </w:pPr>
          </w:p>
        </w:tc>
        <w:tc>
          <w:tcPr>
            <w:tcW w:w="2402" w:type="dxa"/>
            <w:vAlign w:val="center"/>
          </w:tcPr>
          <w:p w14:paraId="17F1239B" w14:textId="51E0DD1B" w:rsidR="00FB543B" w:rsidRPr="002D5435" w:rsidRDefault="00FB543B" w:rsidP="004808DF">
            <w:pPr>
              <w:pStyle w:val="Tabletext"/>
            </w:pPr>
            <w:r w:rsidRPr="002D5435">
              <w:t xml:space="preserve">Aboriginal and Torres Strait Islander children in </w:t>
            </w:r>
            <w:r w:rsidR="004808DF" w:rsidRPr="002D5435">
              <w:t xml:space="preserve">NT, </w:t>
            </w:r>
            <w:r w:rsidRPr="002D5435">
              <w:t xml:space="preserve">QLD, </w:t>
            </w:r>
            <w:r w:rsidR="004808DF" w:rsidRPr="002D5435">
              <w:t>SA</w:t>
            </w:r>
            <w:r w:rsidR="004808DF" w:rsidRPr="002D5435" w:rsidDel="004808DF">
              <w:t xml:space="preserve"> </w:t>
            </w:r>
            <w:r w:rsidR="004808DF">
              <w:t xml:space="preserve">or </w:t>
            </w:r>
            <w:r w:rsidRPr="002D5435">
              <w:t>WA</w:t>
            </w:r>
          </w:p>
        </w:tc>
        <w:tc>
          <w:tcPr>
            <w:tcW w:w="2434" w:type="dxa"/>
            <w:vAlign w:val="center"/>
          </w:tcPr>
          <w:p w14:paraId="18EFACA8" w14:textId="77777777" w:rsidR="00FB543B" w:rsidRPr="002D5435" w:rsidRDefault="00FB543B" w:rsidP="007A7A95">
            <w:pPr>
              <w:pStyle w:val="Tabletext"/>
              <w:jc w:val="center"/>
            </w:pPr>
            <w:r>
              <w:t>3+1</w:t>
            </w:r>
          </w:p>
          <w:p w14:paraId="3DBF571D" w14:textId="3A8F3A90" w:rsidR="00FB543B" w:rsidRPr="002D5435" w:rsidRDefault="00FB543B" w:rsidP="004808DF">
            <w:pPr>
              <w:pStyle w:val="Tabletext"/>
              <w:jc w:val="center"/>
            </w:pPr>
            <w:r w:rsidRPr="002D5435">
              <w:t>(2, 4, 6 and 12</w:t>
            </w:r>
            <w:r w:rsidR="004808DF">
              <w:t>–</w:t>
            </w:r>
            <w:r w:rsidRPr="002D5435">
              <w:t>18 months)</w:t>
            </w:r>
          </w:p>
        </w:tc>
        <w:tc>
          <w:tcPr>
            <w:tcW w:w="2269" w:type="dxa"/>
            <w:vAlign w:val="center"/>
          </w:tcPr>
          <w:p w14:paraId="707DC235" w14:textId="77777777" w:rsidR="00FB543B" w:rsidRPr="002D5435" w:rsidRDefault="00FB543B" w:rsidP="007A7A95">
            <w:pPr>
              <w:pStyle w:val="Tabletext"/>
              <w:jc w:val="center"/>
            </w:pPr>
            <w:r>
              <w:t>3+1</w:t>
            </w:r>
          </w:p>
          <w:p w14:paraId="239060D2" w14:textId="77777777" w:rsidR="00FB543B" w:rsidRPr="002D5435" w:rsidRDefault="00FB543B" w:rsidP="007A7A95">
            <w:pPr>
              <w:pStyle w:val="Tabletext"/>
              <w:jc w:val="center"/>
            </w:pPr>
            <w:r w:rsidRPr="002D5435">
              <w:t>(2, 4, 6 and 12 months)</w:t>
            </w:r>
          </w:p>
        </w:tc>
      </w:tr>
      <w:tr w:rsidR="00FB543B" w:rsidRPr="002D5435" w14:paraId="29476673" w14:textId="77777777" w:rsidTr="007A7A95">
        <w:trPr>
          <w:trHeight w:val="532"/>
        </w:trPr>
        <w:tc>
          <w:tcPr>
            <w:tcW w:w="4928" w:type="dxa"/>
            <w:gridSpan w:val="2"/>
            <w:vAlign w:val="center"/>
          </w:tcPr>
          <w:p w14:paraId="2BCD7023" w14:textId="0CFCE08F" w:rsidR="00FB543B" w:rsidRPr="002D5435" w:rsidRDefault="00FB543B" w:rsidP="008509E6">
            <w:pPr>
              <w:pStyle w:val="Tabletext"/>
            </w:pPr>
            <w:r w:rsidRPr="002D5435">
              <w:t xml:space="preserve">All children </w:t>
            </w:r>
            <w:r w:rsidRPr="00896090">
              <w:rPr>
                <w:u w:val="single"/>
              </w:rPr>
              <w:t>with</w:t>
            </w:r>
            <w:r w:rsidRPr="002D5435">
              <w:t xml:space="preserve"> </w:t>
            </w:r>
            <w:r>
              <w:t xml:space="preserve">underlying medical conditions associated with increased </w:t>
            </w:r>
            <w:r w:rsidRPr="002D5435">
              <w:t xml:space="preserve">risk </w:t>
            </w:r>
            <w:r>
              <w:t>of IPD</w:t>
            </w:r>
            <w:r w:rsidR="00CE51B1">
              <w:t xml:space="preserve"> (Attachment A)</w:t>
            </w:r>
          </w:p>
        </w:tc>
        <w:tc>
          <w:tcPr>
            <w:tcW w:w="2434" w:type="dxa"/>
            <w:vAlign w:val="center"/>
          </w:tcPr>
          <w:p w14:paraId="0353A9FD" w14:textId="77777777" w:rsidR="00FB543B" w:rsidRPr="002D5435" w:rsidRDefault="00FB543B" w:rsidP="007A7A95">
            <w:pPr>
              <w:pStyle w:val="Tabletext"/>
              <w:jc w:val="center"/>
            </w:pPr>
            <w:r>
              <w:t>3+1</w:t>
            </w:r>
          </w:p>
          <w:p w14:paraId="3BACF606" w14:textId="77777777" w:rsidR="00FB543B" w:rsidRPr="002D5435" w:rsidRDefault="00FB543B" w:rsidP="007A7A95">
            <w:pPr>
              <w:pStyle w:val="Tabletext"/>
              <w:jc w:val="center"/>
            </w:pPr>
            <w:r w:rsidRPr="002D5435">
              <w:t>(2, 4, 6 and 12 months)</w:t>
            </w:r>
          </w:p>
        </w:tc>
        <w:tc>
          <w:tcPr>
            <w:tcW w:w="2269" w:type="dxa"/>
            <w:vAlign w:val="center"/>
          </w:tcPr>
          <w:p w14:paraId="756716FA" w14:textId="77777777" w:rsidR="00FB543B" w:rsidRPr="002D5435" w:rsidRDefault="00FB543B" w:rsidP="007A7A95">
            <w:pPr>
              <w:pStyle w:val="Tabletext"/>
              <w:jc w:val="center"/>
            </w:pPr>
            <w:r>
              <w:t>3+1</w:t>
            </w:r>
          </w:p>
          <w:p w14:paraId="0EE95AA7" w14:textId="77777777" w:rsidR="00FB543B" w:rsidRPr="002D5435" w:rsidRDefault="00FB543B" w:rsidP="007A7A95">
            <w:pPr>
              <w:pStyle w:val="Tabletext"/>
              <w:jc w:val="center"/>
            </w:pPr>
            <w:r w:rsidRPr="002D5435">
              <w:t>(2, 4, 6 and 12 months)</w:t>
            </w:r>
          </w:p>
        </w:tc>
      </w:tr>
    </w:tbl>
    <w:p w14:paraId="333222F1" w14:textId="5DA53F65" w:rsidR="00FB543B" w:rsidRDefault="004808DF" w:rsidP="007A7A95">
      <w:pPr>
        <w:pStyle w:val="Tablefootnote"/>
      </w:pPr>
      <w:r>
        <w:t>*</w:t>
      </w:r>
      <w:r w:rsidR="007A7A95">
        <w:tab/>
      </w:r>
      <w:r w:rsidR="00FB543B">
        <w:t>See</w:t>
      </w:r>
      <w:r w:rsidR="00FB543B" w:rsidRPr="00FA29A1">
        <w:t xml:space="preserve"> </w:t>
      </w:r>
      <w:r w:rsidRPr="003A74EA">
        <w:rPr>
          <w:i/>
        </w:rPr>
        <w:t xml:space="preserve">The </w:t>
      </w:r>
      <w:r w:rsidR="00FB543B" w:rsidRPr="003A74EA">
        <w:rPr>
          <w:i/>
        </w:rPr>
        <w:t>Australian Immunisation Handbook</w:t>
      </w:r>
      <w:r w:rsidR="00FB543B" w:rsidRPr="00FA29A1">
        <w:t xml:space="preserve"> </w:t>
      </w:r>
      <w:r>
        <w:t>Chapter 4.13 P</w:t>
      </w:r>
      <w:r w:rsidR="00FB543B" w:rsidRPr="00FA29A1">
        <w:t>neumococcal disease</w:t>
      </w:r>
      <w:r w:rsidR="00B75829">
        <w:t>,</w:t>
      </w:r>
      <w:r w:rsidR="003A74EA">
        <w:t xml:space="preserve"> section 4.13.7 ‘</w:t>
      </w:r>
      <w:r w:rsidR="00B75829">
        <w:t>R</w:t>
      </w:r>
      <w:r w:rsidR="003A74EA">
        <w:t>ecommendations’</w:t>
      </w:r>
      <w:r w:rsidR="00B75829">
        <w:t>.</w:t>
      </w:r>
      <w:r w:rsidR="00FB543B">
        <w:t xml:space="preserve"> </w:t>
      </w:r>
      <w:hyperlink r:id="rId14" w:history="1">
        <w:r w:rsidR="007A7A95" w:rsidRPr="00F1774B">
          <w:rPr>
            <w:rStyle w:val="Hyperlink"/>
            <w:sz w:val="16"/>
          </w:rPr>
          <w:t>http://www.immunise.health.gov.au/internet/immunise/publishing.nsf/Content/Handbook10-home~handbook10part4~handbook10-4-13</w:t>
        </w:r>
      </w:hyperlink>
      <w:r w:rsidR="007A7A95">
        <w:t xml:space="preserve"> </w:t>
      </w:r>
    </w:p>
    <w:p w14:paraId="105195AE" w14:textId="0C839AD0" w:rsidR="00FB543B" w:rsidRPr="00BB404B" w:rsidRDefault="00EB7E00" w:rsidP="007536FF">
      <w:pPr>
        <w:pStyle w:val="ListParagraph"/>
        <w:numPr>
          <w:ilvl w:val="0"/>
          <w:numId w:val="24"/>
        </w:numPr>
        <w:spacing w:before="240"/>
        <w:ind w:left="714" w:hanging="357"/>
      </w:pPr>
      <w:r w:rsidRPr="00BB404B">
        <w:t>All c</w:t>
      </w:r>
      <w:r w:rsidR="00D929BD" w:rsidRPr="00BB404B">
        <w:t>hildren</w:t>
      </w:r>
      <w:r w:rsidR="0050774B" w:rsidRPr="00BB404B">
        <w:t>,</w:t>
      </w:r>
      <w:r w:rsidRPr="00BB404B">
        <w:t xml:space="preserve"> except those specified in </w:t>
      </w:r>
      <w:r w:rsidR="00BD0156" w:rsidRPr="00BB404B">
        <w:t>(b)</w:t>
      </w:r>
      <w:r w:rsidRPr="00BB404B">
        <w:t xml:space="preserve"> below</w:t>
      </w:r>
      <w:r w:rsidR="0050774B" w:rsidRPr="00BB404B">
        <w:t>,</w:t>
      </w:r>
      <w:r w:rsidR="00CC3FCC">
        <w:t xml:space="preserve"> should receive three</w:t>
      </w:r>
      <w:r w:rsidR="00D929BD" w:rsidRPr="00BB404B">
        <w:t xml:space="preserve"> doses of 13vPCV at 2</w:t>
      </w:r>
      <w:r w:rsidR="00D929BD" w:rsidRPr="00CC3FCC">
        <w:rPr>
          <w:sz w:val="20"/>
        </w:rPr>
        <w:t>,</w:t>
      </w:r>
      <w:r w:rsidR="00CC3FCC">
        <w:t> </w:t>
      </w:r>
      <w:r w:rsidR="00D929BD" w:rsidRPr="00BB404B">
        <w:t>4 and 12 months</w:t>
      </w:r>
      <w:r w:rsidRPr="00BB404B">
        <w:t xml:space="preserve"> of age</w:t>
      </w:r>
      <w:r w:rsidR="001C054A" w:rsidRPr="00BB404B">
        <w:t xml:space="preserve"> (</w:t>
      </w:r>
      <w:r w:rsidR="00264247">
        <w:t xml:space="preserve">called </w:t>
      </w:r>
      <w:r w:rsidR="004808DF">
        <w:t>‘</w:t>
      </w:r>
      <w:r w:rsidR="001C054A" w:rsidRPr="00BB404B">
        <w:t>2+1</w:t>
      </w:r>
      <w:r w:rsidR="004808DF">
        <w:t>’</w:t>
      </w:r>
      <w:r w:rsidR="001C054A" w:rsidRPr="00BB404B">
        <w:t xml:space="preserve"> schedule)</w:t>
      </w:r>
      <w:r w:rsidR="0050774B" w:rsidRPr="00BB404B">
        <w:t xml:space="preserve"> instead of the current schedule </w:t>
      </w:r>
      <w:r w:rsidR="008874C5" w:rsidRPr="00BB404B">
        <w:t xml:space="preserve">with doses </w:t>
      </w:r>
      <w:r w:rsidR="0050774B" w:rsidRPr="00BB404B">
        <w:t>at 2,</w:t>
      </w:r>
      <w:r w:rsidR="004808DF">
        <w:t xml:space="preserve"> </w:t>
      </w:r>
      <w:r w:rsidR="0050774B" w:rsidRPr="00BB404B">
        <w:t>4</w:t>
      </w:r>
      <w:r w:rsidR="008874C5" w:rsidRPr="00BB404B">
        <w:t xml:space="preserve"> and 6</w:t>
      </w:r>
      <w:r w:rsidR="004808DF">
        <w:t> </w:t>
      </w:r>
      <w:r w:rsidR="0050774B" w:rsidRPr="00BB404B">
        <w:t>mo</w:t>
      </w:r>
      <w:r w:rsidR="008874C5" w:rsidRPr="00BB404B">
        <w:t>n</w:t>
      </w:r>
      <w:r w:rsidR="0050774B" w:rsidRPr="00BB404B">
        <w:t>ths</w:t>
      </w:r>
      <w:r w:rsidR="008874C5" w:rsidRPr="00BB404B">
        <w:t xml:space="preserve"> of age</w:t>
      </w:r>
      <w:r w:rsidR="004E5D25" w:rsidRPr="00BB404B">
        <w:t xml:space="preserve"> (</w:t>
      </w:r>
      <w:r w:rsidR="00264247">
        <w:t>called</w:t>
      </w:r>
      <w:r w:rsidR="004E5D25" w:rsidRPr="00BB404B">
        <w:t xml:space="preserve"> </w:t>
      </w:r>
      <w:r w:rsidR="004808DF">
        <w:t>‘</w:t>
      </w:r>
      <w:r w:rsidR="004E5D25" w:rsidRPr="00BB404B">
        <w:t>3+0</w:t>
      </w:r>
      <w:r w:rsidR="004808DF">
        <w:t>’</w:t>
      </w:r>
      <w:r w:rsidR="004E5D25" w:rsidRPr="00BB404B">
        <w:t xml:space="preserve"> schedule</w:t>
      </w:r>
      <w:r w:rsidR="00F7367F" w:rsidRPr="00BB404B">
        <w:t>).</w:t>
      </w:r>
    </w:p>
    <w:p w14:paraId="60D64BAC" w14:textId="014A3739" w:rsidR="00D929BD" w:rsidRPr="00CD0576" w:rsidRDefault="00EB7E00" w:rsidP="007E7F73">
      <w:pPr>
        <w:pStyle w:val="ListParagraph"/>
        <w:numPr>
          <w:ilvl w:val="0"/>
          <w:numId w:val="24"/>
        </w:numPr>
        <w:rPr>
          <w:sz w:val="22"/>
          <w:szCs w:val="22"/>
        </w:rPr>
      </w:pPr>
      <w:r w:rsidRPr="00D02D1F">
        <w:t xml:space="preserve">The following </w:t>
      </w:r>
      <w:r w:rsidR="0050774B" w:rsidRPr="00D02D1F">
        <w:t xml:space="preserve">population </w:t>
      </w:r>
      <w:r w:rsidRPr="00D02D1F">
        <w:t xml:space="preserve">groups </w:t>
      </w:r>
      <w:r w:rsidR="00D929BD" w:rsidRPr="00D02D1F">
        <w:t xml:space="preserve">at </w:t>
      </w:r>
      <w:r w:rsidRPr="00D02D1F">
        <w:t xml:space="preserve">increased </w:t>
      </w:r>
      <w:r w:rsidR="00D929BD" w:rsidRPr="00D02D1F">
        <w:t xml:space="preserve">risk of pneumococcal infection should </w:t>
      </w:r>
      <w:r w:rsidRPr="00D02D1F">
        <w:t>continue to receive</w:t>
      </w:r>
      <w:r w:rsidR="00CC3FCC">
        <w:t xml:space="preserve"> four</w:t>
      </w:r>
      <w:r w:rsidR="00D929BD" w:rsidRPr="00D02D1F">
        <w:t xml:space="preserve"> doses of 13vPCV </w:t>
      </w:r>
      <w:r w:rsidR="002D5435" w:rsidRPr="00D02D1F">
        <w:t>at 2, 4, 6 and 12 months</w:t>
      </w:r>
      <w:r w:rsidR="009823DD">
        <w:t>^</w:t>
      </w:r>
      <w:r w:rsidRPr="00D02D1F">
        <w:t xml:space="preserve"> of age</w:t>
      </w:r>
      <w:r w:rsidR="004E5D25">
        <w:t xml:space="preserve"> </w:t>
      </w:r>
      <w:r w:rsidR="004E5D25" w:rsidRPr="000E0EE5">
        <w:t>(</w:t>
      </w:r>
      <w:r w:rsidR="00264247">
        <w:t xml:space="preserve">called </w:t>
      </w:r>
      <w:r w:rsidR="004808DF">
        <w:t>‘</w:t>
      </w:r>
      <w:r w:rsidR="004E5D25" w:rsidRPr="000E0EE5">
        <w:t>3+1</w:t>
      </w:r>
      <w:r w:rsidR="004808DF">
        <w:t>’</w:t>
      </w:r>
      <w:r w:rsidR="004E5D25" w:rsidRPr="000E0EE5">
        <w:t xml:space="preserve"> schedule)</w:t>
      </w:r>
      <w:r w:rsidR="009823DD">
        <w:t>:</w:t>
      </w:r>
      <w:r w:rsidR="000E0EE5" w:rsidRPr="00CD0576">
        <w:rPr>
          <w:sz w:val="22"/>
          <w:szCs w:val="22"/>
        </w:rPr>
        <w:t xml:space="preserve">  </w:t>
      </w:r>
    </w:p>
    <w:p w14:paraId="67C33656" w14:textId="68B07BB8" w:rsidR="00D929BD" w:rsidRPr="00D02D1F" w:rsidRDefault="00D929BD" w:rsidP="007E7F73">
      <w:pPr>
        <w:pStyle w:val="ListParagraph"/>
        <w:numPr>
          <w:ilvl w:val="0"/>
          <w:numId w:val="25"/>
        </w:numPr>
      </w:pPr>
      <w:r w:rsidRPr="00D02D1F">
        <w:t>Aboriginal and Torres Strait Islander</w:t>
      </w:r>
      <w:r w:rsidR="002D5435" w:rsidRPr="00D02D1F">
        <w:t xml:space="preserve"> children living </w:t>
      </w:r>
      <w:r w:rsidRPr="00D02D1F">
        <w:t>in</w:t>
      </w:r>
      <w:r w:rsidR="00EB7E00" w:rsidRPr="00D02D1F">
        <w:t xml:space="preserve"> </w:t>
      </w:r>
      <w:r w:rsidRPr="00D02D1F">
        <w:t xml:space="preserve">the </w:t>
      </w:r>
      <w:r w:rsidR="00896090" w:rsidRPr="00D02D1F">
        <w:t>NT</w:t>
      </w:r>
      <w:r w:rsidRPr="00D02D1F">
        <w:t xml:space="preserve">, </w:t>
      </w:r>
      <w:r w:rsidR="00896090" w:rsidRPr="00D02D1F">
        <w:t>QLD</w:t>
      </w:r>
      <w:r w:rsidRPr="00D02D1F">
        <w:t xml:space="preserve">, </w:t>
      </w:r>
      <w:r w:rsidR="00896090" w:rsidRPr="00D02D1F">
        <w:t>SA</w:t>
      </w:r>
      <w:r w:rsidRPr="00D02D1F">
        <w:t xml:space="preserve"> and </w:t>
      </w:r>
      <w:r w:rsidR="00896090" w:rsidRPr="00D02D1F">
        <w:t>WA</w:t>
      </w:r>
    </w:p>
    <w:p w14:paraId="5CBDAC50" w14:textId="2738D5FA" w:rsidR="009823DD" w:rsidRDefault="00825B92" w:rsidP="007E7F73">
      <w:pPr>
        <w:pStyle w:val="ListParagraph"/>
        <w:numPr>
          <w:ilvl w:val="0"/>
          <w:numId w:val="25"/>
        </w:numPr>
      </w:pPr>
      <w:r w:rsidRPr="00D02D1F">
        <w:t xml:space="preserve">Children with underlying </w:t>
      </w:r>
      <w:r w:rsidR="008874C5" w:rsidRPr="00D02D1F">
        <w:t xml:space="preserve">medical </w:t>
      </w:r>
      <w:r w:rsidR="00761099" w:rsidRPr="00D02D1F">
        <w:t>condi</w:t>
      </w:r>
      <w:r w:rsidR="00D929BD" w:rsidRPr="00D02D1F">
        <w:t>tion</w:t>
      </w:r>
      <w:r w:rsidRPr="00D02D1F">
        <w:t>s</w:t>
      </w:r>
      <w:r w:rsidR="008874C5" w:rsidRPr="00D02D1F">
        <w:t xml:space="preserve"> associated with an increased risk of IPD</w:t>
      </w:r>
      <w:r w:rsidR="00FF2B55" w:rsidRPr="00D02D1F">
        <w:t xml:space="preserve"> (</w:t>
      </w:r>
      <w:r w:rsidR="0018750C" w:rsidRPr="0018750C">
        <w:t xml:space="preserve">see </w:t>
      </w:r>
      <w:r w:rsidR="00FF2B55" w:rsidRPr="003A74EA">
        <w:t>Attachment A</w:t>
      </w:r>
      <w:r w:rsidR="00FF2B55" w:rsidRPr="00D02D1F">
        <w:t>)</w:t>
      </w:r>
      <w:r w:rsidR="00D929BD" w:rsidRPr="00D02D1F">
        <w:t>.</w:t>
      </w:r>
      <w:r w:rsidR="009823DD" w:rsidRPr="009823DD">
        <w:t xml:space="preserve"> </w:t>
      </w:r>
    </w:p>
    <w:p w14:paraId="47087FCC" w14:textId="4A75A452" w:rsidR="00761099" w:rsidRDefault="009823DD" w:rsidP="007A7A95">
      <w:pPr>
        <w:pStyle w:val="Bodytext-indent"/>
      </w:pPr>
      <w:r w:rsidRPr="001A1F34">
        <w:t>^ Note the preferred schedule point for the fourth (last) 13vPCV dose is age 12 months rather than 18 months</w:t>
      </w:r>
      <w:r w:rsidR="0018750C">
        <w:t>.</w:t>
      </w:r>
    </w:p>
    <w:p w14:paraId="309257EA" w14:textId="02E0AB53" w:rsidR="00137826" w:rsidRDefault="00313760" w:rsidP="00CF1A9D">
      <w:pPr>
        <w:pStyle w:val="Heading2"/>
      </w:pPr>
      <w:r w:rsidRPr="00CD0576">
        <w:lastRenderedPageBreak/>
        <w:t xml:space="preserve">ATAGI proposes the following recommendations for </w:t>
      </w:r>
      <w:r w:rsidRPr="006C5720">
        <w:rPr>
          <w:u w:val="single"/>
        </w:rPr>
        <w:t>catch</w:t>
      </w:r>
      <w:r w:rsidR="0018750C">
        <w:rPr>
          <w:u w:val="single"/>
        </w:rPr>
        <w:t>-</w:t>
      </w:r>
      <w:r w:rsidRPr="006C5720">
        <w:rPr>
          <w:u w:val="single"/>
        </w:rPr>
        <w:t>up</w:t>
      </w:r>
      <w:r w:rsidRPr="00CD0576">
        <w:t xml:space="preserve"> use of 13vPCV in children </w:t>
      </w:r>
      <w:r w:rsidR="0018750C">
        <w:br/>
      </w:r>
      <w:r w:rsidRPr="00CD0576">
        <w:t>(Table</w:t>
      </w:r>
      <w:r w:rsidR="0018750C">
        <w:t>s</w:t>
      </w:r>
      <w:r w:rsidRPr="00CD0576">
        <w:t xml:space="preserve"> 2</w:t>
      </w:r>
      <w:r w:rsidR="004A6279" w:rsidRPr="001324B0">
        <w:t>a</w:t>
      </w:r>
      <w:r w:rsidR="0018750C">
        <w:t> </w:t>
      </w:r>
      <w:r w:rsidR="004A6279" w:rsidRPr="001324B0">
        <w:t>&amp;</w:t>
      </w:r>
      <w:r w:rsidR="0018750C">
        <w:t> </w:t>
      </w:r>
      <w:r w:rsidR="004A6279" w:rsidRPr="001324B0">
        <w:t>2b</w:t>
      </w:r>
      <w:r w:rsidRPr="001324B0">
        <w:t>)</w:t>
      </w:r>
    </w:p>
    <w:p w14:paraId="533DBD57" w14:textId="55888DF3" w:rsidR="00BA7E4E" w:rsidRDefault="00ED06FA" w:rsidP="007E7F73">
      <w:r>
        <w:t>S</w:t>
      </w:r>
      <w:r w:rsidR="001324B0">
        <w:t>chedules for catch-up doses of 13vPCV for children aged &lt;5</w:t>
      </w:r>
      <w:r w:rsidR="002C7AF4">
        <w:t> </w:t>
      </w:r>
      <w:r w:rsidR="001324B0">
        <w:t>y</w:t>
      </w:r>
      <w:r w:rsidR="0018750C">
        <w:t>ea</w:t>
      </w:r>
      <w:r w:rsidR="001324B0">
        <w:t xml:space="preserve">rs who have not received any </w:t>
      </w:r>
      <w:r w:rsidR="00B6750D">
        <w:t>pneumococcal conjugate vaccine (PCV)</w:t>
      </w:r>
      <w:r w:rsidR="0018750C">
        <w:t xml:space="preserve"> doses </w:t>
      </w:r>
      <w:r w:rsidR="001324B0">
        <w:t xml:space="preserve">or </w:t>
      </w:r>
      <w:r w:rsidR="0018750C">
        <w:t xml:space="preserve">who </w:t>
      </w:r>
      <w:r w:rsidR="001324B0">
        <w:t>have only received incomplete courses of</w:t>
      </w:r>
      <w:r w:rsidR="00112254">
        <w:t xml:space="preserve"> PCVs are covered in </w:t>
      </w:r>
      <w:r w:rsidR="0018750C">
        <w:t>T</w:t>
      </w:r>
      <w:r w:rsidR="00112254">
        <w:t>ables 2a</w:t>
      </w:r>
      <w:r w:rsidR="003524FD">
        <w:t xml:space="preserve"> </w:t>
      </w:r>
      <w:r w:rsidRPr="00ED06FA">
        <w:t>(</w:t>
      </w:r>
      <w:r w:rsidR="0018750C">
        <w:t>for a</w:t>
      </w:r>
      <w:r w:rsidRPr="00ED06FA">
        <w:t>ll children with medical condition(s) increasing IPD risk and Aboriginal and Torres Strait Islander children in NT, QLD, SA or WA)</w:t>
      </w:r>
      <w:r w:rsidR="00112254">
        <w:t xml:space="preserve"> and 2b</w:t>
      </w:r>
      <w:r>
        <w:t xml:space="preserve"> </w:t>
      </w:r>
      <w:r w:rsidRPr="00ED06FA">
        <w:t>(</w:t>
      </w:r>
      <w:r w:rsidR="0018750C">
        <w:t xml:space="preserve">for </w:t>
      </w:r>
      <w:r w:rsidRPr="00ED06FA">
        <w:t>all other children)</w:t>
      </w:r>
      <w:r w:rsidR="00112254">
        <w:t>.</w:t>
      </w:r>
    </w:p>
    <w:p w14:paraId="754BF360" w14:textId="48DC6D4D" w:rsidR="00A14A21" w:rsidRDefault="002677FD" w:rsidP="001A4E5D">
      <w:pPr>
        <w:pStyle w:val="Tableheading"/>
      </w:pPr>
      <w:r w:rsidRPr="007C6867">
        <w:rPr>
          <w:b/>
          <w:i/>
        </w:rPr>
        <w:t xml:space="preserve">Table </w:t>
      </w:r>
      <w:r w:rsidR="004A6279" w:rsidRPr="007C6867">
        <w:rPr>
          <w:b/>
          <w:i/>
        </w:rPr>
        <w:t>2</w:t>
      </w:r>
      <w:r w:rsidR="00930E93">
        <w:rPr>
          <w:b/>
          <w:i/>
        </w:rPr>
        <w:t>a</w:t>
      </w:r>
      <w:r w:rsidR="001A4E5D">
        <w:rPr>
          <w:b/>
          <w:i/>
        </w:rPr>
        <w:t>:</w:t>
      </w:r>
      <w:r w:rsidR="004A6279" w:rsidRPr="007C6867">
        <w:t xml:space="preserve"> Catch-up schedule for 13vPCV for </w:t>
      </w:r>
      <w:r w:rsidR="00CC3FCC">
        <w:t>Aboriginal and Torres Strait Islander</w:t>
      </w:r>
      <w:r w:rsidR="004A6279" w:rsidRPr="007C6867">
        <w:t xml:space="preserve"> children </w:t>
      </w:r>
      <w:r w:rsidR="00E36ACB">
        <w:t xml:space="preserve">living </w:t>
      </w:r>
      <w:r w:rsidR="005B7D7D">
        <w:t>in</w:t>
      </w:r>
      <w:r w:rsidR="004A6279" w:rsidRPr="007C6867">
        <w:t xml:space="preserve"> </w:t>
      </w:r>
      <w:r w:rsidR="005B7D7D">
        <w:t>NT</w:t>
      </w:r>
      <w:r w:rsidR="004A6279" w:rsidRPr="007C6867">
        <w:t xml:space="preserve">, </w:t>
      </w:r>
      <w:r w:rsidR="005B7D7D">
        <w:t>QLD</w:t>
      </w:r>
      <w:r w:rsidR="004A6279" w:rsidRPr="007C6867">
        <w:t xml:space="preserve">, </w:t>
      </w:r>
      <w:r w:rsidR="005B7D7D">
        <w:t>SA</w:t>
      </w:r>
      <w:r w:rsidR="004A6279" w:rsidRPr="007C6867">
        <w:t xml:space="preserve"> or </w:t>
      </w:r>
      <w:r w:rsidR="005B7D7D">
        <w:t>WA</w:t>
      </w:r>
      <w:r w:rsidR="004A6279" w:rsidRPr="007C6867">
        <w:t xml:space="preserve"> </w:t>
      </w:r>
      <w:r w:rsidR="004A6279" w:rsidRPr="005B7D7D">
        <w:rPr>
          <w:u w:val="single"/>
        </w:rPr>
        <w:t>ONLY</w:t>
      </w:r>
      <w:r w:rsidR="004A6279" w:rsidRPr="007C6867">
        <w:t>, and all children with any medical condition(s)</w:t>
      </w:r>
      <w:r w:rsidR="00B6750D">
        <w:rPr>
          <w:vertAlign w:val="superscript"/>
        </w:rPr>
        <w:t>*</w:t>
      </w:r>
      <w:r w:rsidR="004A6279" w:rsidRPr="007C6867">
        <w:t xml:space="preserve"> associated with an increased risk of invasive pneumococcal disease (IPD), aged &lt;5 years </w:t>
      </w:r>
    </w:p>
    <w:tbl>
      <w:tblPr>
        <w:tblW w:w="9720" w:type="dxa"/>
        <w:tblBorders>
          <w:top w:val="nil"/>
          <w:left w:val="nil"/>
          <w:bottom w:val="nil"/>
          <w:right w:val="nil"/>
        </w:tblBorders>
        <w:tblLayout w:type="fixed"/>
        <w:tblLook w:val="0000" w:firstRow="0" w:lastRow="0" w:firstColumn="0" w:lastColumn="0" w:noHBand="0" w:noVBand="0"/>
        <w:tblCaption w:val="Table 2a - Catch-up schedule for 13vPCV for Aboriginal and Torres Strait Islander children living in NT, QLD, SA or WA ONLY, and all children with any medical condition(s)* associated with an increased risk of invasive pneumococcal disease (IPD), aged &lt;5 years "/>
        <w:tblDescription w:val="This table shows the proposed catch-up schedules for children with increased risk of invasive pneumococcal disease, aged less than 5 years, who have not received any doses or only received incomplete courses of pneumococcal conjugate vaccines recommended for their age. The population groups that the catch-up schedules in this table applies to are Aboriginal and Torres Strait Islander children living in the Northern Territory, Queensland, South Australia and Western Australia and children with any underlying medical conditions associated with an increased risk of IPD. The table gives the proposed catch up schedule recommendations according to the number and the timing of any PCV doses already received and the age the child would present to immunisation service provider. The revised recommendations for catch up vaccinations for 13vPCV in this table are based on the same principles as for the routine vaccinations using three primary doses and a booster dose.&#10;"/>
      </w:tblPr>
      <w:tblGrid>
        <w:gridCol w:w="1559"/>
        <w:gridCol w:w="1561"/>
        <w:gridCol w:w="1482"/>
        <w:gridCol w:w="1482"/>
        <w:gridCol w:w="1484"/>
        <w:gridCol w:w="2152"/>
      </w:tblGrid>
      <w:tr w:rsidR="00A14A21" w:rsidRPr="00A14A21" w14:paraId="18E1C11D" w14:textId="77777777" w:rsidTr="00B371F3">
        <w:trPr>
          <w:trHeight w:val="510"/>
          <w:tblHeader/>
        </w:trPr>
        <w:tc>
          <w:tcPr>
            <w:tcW w:w="1560" w:type="dxa"/>
            <w:vMerge w:val="restart"/>
            <w:tcBorders>
              <w:top w:val="single" w:sz="2" w:space="0" w:color="auto"/>
              <w:left w:val="single" w:sz="2" w:space="0" w:color="auto"/>
              <w:bottom w:val="single" w:sz="2" w:space="0" w:color="FFFFFF"/>
              <w:right w:val="single" w:sz="2" w:space="0" w:color="FFFFFF"/>
            </w:tcBorders>
            <w:shd w:val="pct70" w:color="auto" w:fill="FFFFFF" w:themeFill="background1"/>
            <w:vAlign w:val="center"/>
          </w:tcPr>
          <w:p w14:paraId="453366EA" w14:textId="77777777" w:rsidR="00A14A21" w:rsidRPr="00A14A21" w:rsidRDefault="00A14A21" w:rsidP="001A4E5D">
            <w:pPr>
              <w:pStyle w:val="Tablecolumnheading"/>
            </w:pPr>
            <w:r w:rsidRPr="00A14A21">
              <w:t>Number of doses given previously</w:t>
            </w:r>
          </w:p>
        </w:tc>
        <w:tc>
          <w:tcPr>
            <w:tcW w:w="1561" w:type="dxa"/>
            <w:vMerge w:val="restart"/>
            <w:tcBorders>
              <w:top w:val="single" w:sz="2" w:space="0" w:color="auto"/>
              <w:left w:val="single" w:sz="2" w:space="0" w:color="FFFFFF"/>
              <w:bottom w:val="single" w:sz="2" w:space="0" w:color="FFFFFF"/>
              <w:right w:val="single" w:sz="2" w:space="0" w:color="FFFFFF"/>
            </w:tcBorders>
            <w:shd w:val="pct70" w:color="auto" w:fill="FFFFFF" w:themeFill="background1"/>
            <w:vAlign w:val="center"/>
          </w:tcPr>
          <w:p w14:paraId="60000B0E" w14:textId="77777777" w:rsidR="00A14A21" w:rsidRPr="00A14A21" w:rsidRDefault="00A14A21" w:rsidP="001A4E5D">
            <w:pPr>
              <w:pStyle w:val="Tablecolumnheading"/>
            </w:pPr>
            <w:r w:rsidRPr="00A14A21">
              <w:t>Age at presentation</w:t>
            </w:r>
          </w:p>
        </w:tc>
        <w:tc>
          <w:tcPr>
            <w:tcW w:w="4447" w:type="dxa"/>
            <w:gridSpan w:val="3"/>
            <w:tcBorders>
              <w:top w:val="single" w:sz="2" w:space="0" w:color="auto"/>
              <w:left w:val="single" w:sz="2" w:space="0" w:color="FFFFFF"/>
              <w:bottom w:val="single" w:sz="2" w:space="0" w:color="FFFFFF"/>
              <w:right w:val="single" w:sz="2" w:space="0" w:color="FFFFFF"/>
            </w:tcBorders>
            <w:shd w:val="pct70" w:color="auto" w:fill="FFFFFF" w:themeFill="background1"/>
            <w:vAlign w:val="center"/>
          </w:tcPr>
          <w:p w14:paraId="7CB4EF13" w14:textId="4B5A0B0C" w:rsidR="00A14A21" w:rsidRPr="00A14A21" w:rsidRDefault="00A14A21" w:rsidP="00B6750D">
            <w:pPr>
              <w:pStyle w:val="Tablecolumnheading"/>
            </w:pPr>
            <w:r w:rsidRPr="00A14A21">
              <w:t>Age when previous dose of any PCV</w:t>
            </w:r>
            <w:r w:rsidR="00B6750D" w:rsidRPr="00B6750D">
              <w:rPr>
                <w:vertAlign w:val="superscript"/>
              </w:rPr>
              <w:t>†</w:t>
            </w:r>
            <w:r w:rsidRPr="00A14A21">
              <w:t xml:space="preserve"> was given</w:t>
            </w:r>
          </w:p>
        </w:tc>
        <w:tc>
          <w:tcPr>
            <w:tcW w:w="2152" w:type="dxa"/>
            <w:tcBorders>
              <w:top w:val="single" w:sz="2" w:space="0" w:color="auto"/>
              <w:left w:val="single" w:sz="2" w:space="0" w:color="FFFFFF"/>
              <w:bottom w:val="single" w:sz="2" w:space="0" w:color="FFFFFF"/>
              <w:right w:val="single" w:sz="2" w:space="0" w:color="auto"/>
            </w:tcBorders>
            <w:shd w:val="pct70" w:color="auto" w:fill="FFFFFF" w:themeFill="background1"/>
            <w:vAlign w:val="center"/>
          </w:tcPr>
          <w:p w14:paraId="4444A7AF" w14:textId="5866B0A9" w:rsidR="00A14A21" w:rsidRPr="00A14A21" w:rsidRDefault="00A14A21" w:rsidP="006F1999">
            <w:pPr>
              <w:pStyle w:val="Tablecolumnheading"/>
            </w:pPr>
            <w:r w:rsidRPr="00A14A21">
              <w:t>Recommendations</w:t>
            </w:r>
            <w:r w:rsidR="006F1999">
              <w:rPr>
                <w:vertAlign w:val="superscript"/>
              </w:rPr>
              <w:t>‡</w:t>
            </w:r>
          </w:p>
        </w:tc>
      </w:tr>
      <w:tr w:rsidR="00A14A21" w:rsidRPr="00A14A21" w14:paraId="4B6BD355" w14:textId="77777777" w:rsidTr="00FC18E4">
        <w:trPr>
          <w:trHeight w:val="568"/>
          <w:tblHeader/>
        </w:trPr>
        <w:tc>
          <w:tcPr>
            <w:tcW w:w="1560" w:type="dxa"/>
            <w:vMerge/>
            <w:tcBorders>
              <w:top w:val="single" w:sz="2" w:space="0" w:color="FFFFFF"/>
              <w:left w:val="single" w:sz="2" w:space="0" w:color="auto"/>
              <w:bottom w:val="single" w:sz="2" w:space="0" w:color="auto"/>
              <w:right w:val="single" w:sz="2" w:space="0" w:color="FFFFFF"/>
            </w:tcBorders>
            <w:shd w:val="pct70" w:color="auto" w:fill="FFFFFF" w:themeFill="background1"/>
            <w:vAlign w:val="center"/>
          </w:tcPr>
          <w:p w14:paraId="27BA3587" w14:textId="77777777" w:rsidR="00A14A21" w:rsidRPr="00A14A21" w:rsidRDefault="00A14A21" w:rsidP="001A4E5D">
            <w:pPr>
              <w:pStyle w:val="Tablecolumnheading"/>
            </w:pPr>
          </w:p>
        </w:tc>
        <w:tc>
          <w:tcPr>
            <w:tcW w:w="1561" w:type="dxa"/>
            <w:vMerge/>
            <w:tcBorders>
              <w:top w:val="single" w:sz="2" w:space="0" w:color="FFFFFF"/>
              <w:left w:val="single" w:sz="2" w:space="0" w:color="FFFFFF"/>
              <w:bottom w:val="single" w:sz="2" w:space="0" w:color="auto"/>
              <w:right w:val="single" w:sz="2" w:space="0" w:color="FFFFFF"/>
            </w:tcBorders>
            <w:shd w:val="pct70" w:color="auto" w:fill="FFFFFF" w:themeFill="background1"/>
            <w:vAlign w:val="center"/>
          </w:tcPr>
          <w:p w14:paraId="2DA4342A" w14:textId="77777777" w:rsidR="00A14A21" w:rsidRPr="00A14A21" w:rsidRDefault="00A14A21" w:rsidP="001A4E5D">
            <w:pPr>
              <w:pStyle w:val="Tablecolumnheading"/>
            </w:pPr>
          </w:p>
        </w:tc>
        <w:tc>
          <w:tcPr>
            <w:tcW w:w="1481" w:type="dxa"/>
            <w:tcBorders>
              <w:top w:val="single" w:sz="2" w:space="0" w:color="FFFFFF"/>
              <w:left w:val="single" w:sz="2" w:space="0" w:color="FFFFFF"/>
              <w:bottom w:val="single" w:sz="2" w:space="0" w:color="auto"/>
              <w:right w:val="single" w:sz="2" w:space="0" w:color="FFFFFF"/>
            </w:tcBorders>
            <w:shd w:val="pct70" w:color="auto" w:fill="FFFFFF" w:themeFill="background1"/>
            <w:vAlign w:val="center"/>
          </w:tcPr>
          <w:p w14:paraId="0F720AF9" w14:textId="77777777" w:rsidR="00A14A21" w:rsidRPr="00A14A21" w:rsidRDefault="00A14A21" w:rsidP="001A4E5D">
            <w:pPr>
              <w:pStyle w:val="Tablecolumnheading"/>
            </w:pPr>
            <w:r w:rsidRPr="00A14A21">
              <w:t>1st dose</w:t>
            </w:r>
          </w:p>
        </w:tc>
        <w:tc>
          <w:tcPr>
            <w:tcW w:w="1482" w:type="dxa"/>
            <w:tcBorders>
              <w:top w:val="single" w:sz="2" w:space="0" w:color="FFFFFF"/>
              <w:left w:val="single" w:sz="2" w:space="0" w:color="FFFFFF"/>
              <w:bottom w:val="single" w:sz="2" w:space="0" w:color="auto"/>
              <w:right w:val="single" w:sz="2" w:space="0" w:color="FFFFFF"/>
            </w:tcBorders>
            <w:shd w:val="pct70" w:color="auto" w:fill="FFFFFF" w:themeFill="background1"/>
            <w:vAlign w:val="center"/>
          </w:tcPr>
          <w:p w14:paraId="251BB286" w14:textId="77777777" w:rsidR="00A14A21" w:rsidRPr="00A14A21" w:rsidRDefault="00A14A21" w:rsidP="001A4E5D">
            <w:pPr>
              <w:pStyle w:val="Tablecolumnheading"/>
            </w:pPr>
            <w:r w:rsidRPr="00A14A21">
              <w:t>2nd dose</w:t>
            </w:r>
          </w:p>
        </w:tc>
        <w:tc>
          <w:tcPr>
            <w:tcW w:w="1484" w:type="dxa"/>
            <w:tcBorders>
              <w:top w:val="single" w:sz="2" w:space="0" w:color="FFFFFF"/>
              <w:left w:val="single" w:sz="2" w:space="0" w:color="FFFFFF"/>
              <w:bottom w:val="single" w:sz="2" w:space="0" w:color="auto"/>
              <w:right w:val="single" w:sz="2" w:space="0" w:color="FFFFFF"/>
            </w:tcBorders>
            <w:shd w:val="pct70" w:color="auto" w:fill="FFFFFF" w:themeFill="background1"/>
            <w:vAlign w:val="center"/>
          </w:tcPr>
          <w:p w14:paraId="329C7DC5" w14:textId="77777777" w:rsidR="00A14A21" w:rsidRPr="00A14A21" w:rsidRDefault="00A14A21" w:rsidP="001A4E5D">
            <w:pPr>
              <w:pStyle w:val="Tablecolumnheading"/>
            </w:pPr>
            <w:r w:rsidRPr="00A14A21">
              <w:t>3rd dose</w:t>
            </w:r>
          </w:p>
        </w:tc>
        <w:tc>
          <w:tcPr>
            <w:tcW w:w="2152" w:type="dxa"/>
            <w:tcBorders>
              <w:top w:val="single" w:sz="2" w:space="0" w:color="FFFFFF"/>
              <w:left w:val="single" w:sz="2" w:space="0" w:color="FFFFFF"/>
              <w:bottom w:val="single" w:sz="2" w:space="0" w:color="auto"/>
              <w:right w:val="single" w:sz="2" w:space="0" w:color="auto"/>
            </w:tcBorders>
            <w:shd w:val="pct70" w:color="auto" w:fill="FFFFFF" w:themeFill="background1"/>
            <w:vAlign w:val="center"/>
          </w:tcPr>
          <w:p w14:paraId="3891C629" w14:textId="77777777" w:rsidR="00A14A21" w:rsidRPr="00A14A21" w:rsidRDefault="00A14A21" w:rsidP="001A4E5D">
            <w:pPr>
              <w:pStyle w:val="Tablecolumnheading"/>
            </w:pPr>
            <w:r w:rsidRPr="00A14A21">
              <w:t>Number of further dose(s) required</w:t>
            </w:r>
          </w:p>
        </w:tc>
      </w:tr>
      <w:tr w:rsidR="00A14A21" w:rsidRPr="00A14A21" w14:paraId="5A1A23B9" w14:textId="77777777" w:rsidTr="00FC18E4">
        <w:trPr>
          <w:trHeight w:val="241"/>
        </w:trPr>
        <w:tc>
          <w:tcPr>
            <w:tcW w:w="1560" w:type="dxa"/>
            <w:vMerge w:val="restart"/>
            <w:tcBorders>
              <w:top w:val="single" w:sz="2" w:space="0" w:color="auto"/>
              <w:left w:val="single" w:sz="4" w:space="0" w:color="auto"/>
              <w:right w:val="single" w:sz="4" w:space="0" w:color="auto"/>
            </w:tcBorders>
            <w:vAlign w:val="center"/>
          </w:tcPr>
          <w:p w14:paraId="029745D0" w14:textId="77777777" w:rsidR="00A14A21" w:rsidRPr="00A14A21" w:rsidRDefault="00A14A21" w:rsidP="001A4E5D">
            <w:pPr>
              <w:pStyle w:val="Tabletext"/>
            </w:pPr>
            <w:r w:rsidRPr="00A14A21">
              <w:t xml:space="preserve">No previous doses </w:t>
            </w:r>
          </w:p>
        </w:tc>
        <w:tc>
          <w:tcPr>
            <w:tcW w:w="1561" w:type="dxa"/>
            <w:tcBorders>
              <w:top w:val="single" w:sz="2" w:space="0" w:color="auto"/>
              <w:left w:val="single" w:sz="4" w:space="0" w:color="auto"/>
              <w:bottom w:val="single" w:sz="4" w:space="0" w:color="auto"/>
              <w:right w:val="single" w:sz="4" w:space="0" w:color="auto"/>
            </w:tcBorders>
            <w:vAlign w:val="center"/>
          </w:tcPr>
          <w:p w14:paraId="005DFF8D" w14:textId="77777777" w:rsidR="00A14A21" w:rsidRPr="00A14A21" w:rsidRDefault="00A14A21" w:rsidP="001A4E5D">
            <w:pPr>
              <w:pStyle w:val="Tabletext"/>
            </w:pPr>
            <w:r w:rsidRPr="00A14A21">
              <w:t>&lt;12 months</w:t>
            </w:r>
          </w:p>
        </w:tc>
        <w:tc>
          <w:tcPr>
            <w:tcW w:w="1482" w:type="dxa"/>
            <w:tcBorders>
              <w:top w:val="single" w:sz="2" w:space="0" w:color="auto"/>
              <w:left w:val="single" w:sz="4" w:space="0" w:color="auto"/>
              <w:bottom w:val="single" w:sz="4" w:space="0" w:color="auto"/>
              <w:right w:val="single" w:sz="4" w:space="0" w:color="auto"/>
            </w:tcBorders>
            <w:vAlign w:val="center"/>
          </w:tcPr>
          <w:p w14:paraId="3121868A" w14:textId="77777777" w:rsidR="00A14A21" w:rsidRPr="00A14A21" w:rsidRDefault="00A14A21" w:rsidP="001A4E5D">
            <w:pPr>
              <w:pStyle w:val="Tabletext"/>
              <w:jc w:val="center"/>
            </w:pPr>
            <w:r w:rsidRPr="00A14A21">
              <w:t>–</w:t>
            </w:r>
          </w:p>
        </w:tc>
        <w:tc>
          <w:tcPr>
            <w:tcW w:w="1482" w:type="dxa"/>
            <w:tcBorders>
              <w:top w:val="single" w:sz="2" w:space="0" w:color="auto"/>
              <w:left w:val="single" w:sz="4" w:space="0" w:color="auto"/>
              <w:bottom w:val="single" w:sz="4" w:space="0" w:color="auto"/>
              <w:right w:val="single" w:sz="4" w:space="0" w:color="auto"/>
            </w:tcBorders>
            <w:vAlign w:val="center"/>
          </w:tcPr>
          <w:p w14:paraId="6E331D16" w14:textId="77777777" w:rsidR="00A14A21" w:rsidRPr="00A14A21" w:rsidRDefault="00A14A21" w:rsidP="001A4E5D">
            <w:pPr>
              <w:pStyle w:val="Tabletext"/>
              <w:jc w:val="center"/>
            </w:pPr>
            <w:r w:rsidRPr="00A14A21">
              <w:t>–</w:t>
            </w:r>
          </w:p>
        </w:tc>
        <w:tc>
          <w:tcPr>
            <w:tcW w:w="1483" w:type="dxa"/>
            <w:tcBorders>
              <w:top w:val="single" w:sz="2" w:space="0" w:color="auto"/>
              <w:left w:val="single" w:sz="4" w:space="0" w:color="auto"/>
              <w:bottom w:val="single" w:sz="4" w:space="0" w:color="auto"/>
              <w:right w:val="single" w:sz="4" w:space="0" w:color="auto"/>
            </w:tcBorders>
            <w:vAlign w:val="center"/>
          </w:tcPr>
          <w:p w14:paraId="39EFD771" w14:textId="77777777" w:rsidR="00A14A21" w:rsidRPr="00A14A21" w:rsidRDefault="00A14A21" w:rsidP="001A4E5D">
            <w:pPr>
              <w:pStyle w:val="Tabletext"/>
              <w:jc w:val="center"/>
            </w:pPr>
            <w:r w:rsidRPr="00A14A21">
              <w:t>–</w:t>
            </w:r>
          </w:p>
        </w:tc>
        <w:tc>
          <w:tcPr>
            <w:tcW w:w="2152" w:type="dxa"/>
            <w:tcBorders>
              <w:top w:val="single" w:sz="2" w:space="0" w:color="auto"/>
              <w:left w:val="single" w:sz="4" w:space="0" w:color="auto"/>
              <w:bottom w:val="single" w:sz="4" w:space="0" w:color="auto"/>
              <w:right w:val="single" w:sz="4" w:space="0" w:color="auto"/>
            </w:tcBorders>
            <w:vAlign w:val="center"/>
          </w:tcPr>
          <w:p w14:paraId="4128ED08" w14:textId="10942F6D" w:rsidR="00A14A21" w:rsidRPr="00A14A21" w:rsidRDefault="00A14A21" w:rsidP="001A4E5D">
            <w:pPr>
              <w:pStyle w:val="Tabletext"/>
              <w:jc w:val="center"/>
            </w:pPr>
            <w:r w:rsidRPr="00A14A21">
              <w:t>4</w:t>
            </w:r>
            <w:r w:rsidR="006F1999" w:rsidRPr="008724F1">
              <w:rPr>
                <w:vertAlign w:val="superscript"/>
              </w:rPr>
              <w:t>§</w:t>
            </w:r>
          </w:p>
        </w:tc>
      </w:tr>
      <w:tr w:rsidR="00A14A21" w:rsidRPr="00A14A21" w14:paraId="5B9405B0" w14:textId="77777777" w:rsidTr="00FC18E4">
        <w:trPr>
          <w:trHeight w:val="259"/>
        </w:trPr>
        <w:tc>
          <w:tcPr>
            <w:tcW w:w="1560" w:type="dxa"/>
            <w:vMerge/>
            <w:tcBorders>
              <w:left w:val="single" w:sz="4" w:space="0" w:color="auto"/>
              <w:bottom w:val="single" w:sz="4" w:space="0" w:color="auto"/>
              <w:right w:val="single" w:sz="4" w:space="0" w:color="auto"/>
            </w:tcBorders>
            <w:vAlign w:val="center"/>
          </w:tcPr>
          <w:p w14:paraId="37D9458D" w14:textId="77777777" w:rsidR="00A14A21" w:rsidRPr="00A14A21" w:rsidRDefault="00A14A21" w:rsidP="001A4E5D">
            <w:pPr>
              <w:pStyle w:val="Tabletext"/>
            </w:pPr>
          </w:p>
        </w:tc>
        <w:tc>
          <w:tcPr>
            <w:tcW w:w="1561" w:type="dxa"/>
            <w:tcBorders>
              <w:top w:val="single" w:sz="4" w:space="0" w:color="auto"/>
              <w:left w:val="single" w:sz="4" w:space="0" w:color="auto"/>
              <w:bottom w:val="single" w:sz="4" w:space="0" w:color="auto"/>
              <w:right w:val="single" w:sz="4" w:space="0" w:color="auto"/>
            </w:tcBorders>
            <w:vAlign w:val="center"/>
          </w:tcPr>
          <w:p w14:paraId="254E07CB" w14:textId="77777777" w:rsidR="00A14A21" w:rsidRPr="00A14A21" w:rsidRDefault="00A14A21" w:rsidP="001A4E5D">
            <w:pPr>
              <w:pStyle w:val="Tabletext"/>
            </w:pPr>
            <w:r w:rsidRPr="00A14A21">
              <w:t>12–59 months</w:t>
            </w:r>
          </w:p>
        </w:tc>
        <w:tc>
          <w:tcPr>
            <w:tcW w:w="1482" w:type="dxa"/>
            <w:tcBorders>
              <w:top w:val="single" w:sz="4" w:space="0" w:color="auto"/>
              <w:left w:val="single" w:sz="4" w:space="0" w:color="auto"/>
              <w:bottom w:val="single" w:sz="4" w:space="0" w:color="auto"/>
              <w:right w:val="single" w:sz="4" w:space="0" w:color="auto"/>
            </w:tcBorders>
            <w:vAlign w:val="center"/>
          </w:tcPr>
          <w:p w14:paraId="3D8DBADB" w14:textId="77777777" w:rsidR="00A14A21" w:rsidRPr="00A14A21" w:rsidRDefault="00A14A21" w:rsidP="001A4E5D">
            <w:pPr>
              <w:pStyle w:val="Tabletext"/>
              <w:jc w:val="center"/>
            </w:pPr>
            <w:r w:rsidRPr="00A14A21">
              <w:t>–</w:t>
            </w:r>
          </w:p>
        </w:tc>
        <w:tc>
          <w:tcPr>
            <w:tcW w:w="1482" w:type="dxa"/>
            <w:tcBorders>
              <w:top w:val="single" w:sz="4" w:space="0" w:color="auto"/>
              <w:left w:val="single" w:sz="4" w:space="0" w:color="auto"/>
              <w:bottom w:val="single" w:sz="4" w:space="0" w:color="auto"/>
              <w:right w:val="single" w:sz="4" w:space="0" w:color="auto"/>
            </w:tcBorders>
            <w:vAlign w:val="center"/>
          </w:tcPr>
          <w:p w14:paraId="014641AC" w14:textId="77777777" w:rsidR="00A14A21" w:rsidRPr="00A14A21" w:rsidRDefault="00A14A21" w:rsidP="001A4E5D">
            <w:pPr>
              <w:pStyle w:val="Tabletext"/>
              <w:jc w:val="center"/>
            </w:pPr>
            <w:r w:rsidRPr="00A14A21">
              <w:t>–</w:t>
            </w:r>
          </w:p>
        </w:tc>
        <w:tc>
          <w:tcPr>
            <w:tcW w:w="1483" w:type="dxa"/>
            <w:tcBorders>
              <w:top w:val="single" w:sz="4" w:space="0" w:color="auto"/>
              <w:left w:val="single" w:sz="4" w:space="0" w:color="auto"/>
              <w:bottom w:val="single" w:sz="4" w:space="0" w:color="auto"/>
              <w:right w:val="single" w:sz="4" w:space="0" w:color="auto"/>
            </w:tcBorders>
            <w:vAlign w:val="center"/>
          </w:tcPr>
          <w:p w14:paraId="7F521C5A" w14:textId="77777777" w:rsidR="00A14A21" w:rsidRPr="00A14A21" w:rsidRDefault="00A14A21" w:rsidP="001A4E5D">
            <w:pPr>
              <w:pStyle w:val="Tabletext"/>
              <w:jc w:val="center"/>
            </w:pPr>
            <w:r w:rsidRPr="00A14A21">
              <w:t>–</w:t>
            </w:r>
          </w:p>
        </w:tc>
        <w:tc>
          <w:tcPr>
            <w:tcW w:w="2152" w:type="dxa"/>
            <w:tcBorders>
              <w:top w:val="single" w:sz="4" w:space="0" w:color="auto"/>
              <w:left w:val="single" w:sz="4" w:space="0" w:color="auto"/>
              <w:bottom w:val="single" w:sz="4" w:space="0" w:color="auto"/>
              <w:right w:val="single" w:sz="4" w:space="0" w:color="auto"/>
            </w:tcBorders>
            <w:vAlign w:val="center"/>
          </w:tcPr>
          <w:p w14:paraId="0C16A3BB" w14:textId="77777777" w:rsidR="00A14A21" w:rsidRPr="00A14A21" w:rsidRDefault="00A14A21" w:rsidP="001A4E5D">
            <w:pPr>
              <w:pStyle w:val="Tabletext"/>
              <w:jc w:val="center"/>
            </w:pPr>
            <w:r w:rsidRPr="00A14A21">
              <w:t>2</w:t>
            </w:r>
          </w:p>
        </w:tc>
      </w:tr>
      <w:tr w:rsidR="00A14A21" w:rsidRPr="00A14A21" w14:paraId="3D6D8D12" w14:textId="77777777" w:rsidTr="00FC18E4">
        <w:trPr>
          <w:trHeight w:val="259"/>
        </w:trPr>
        <w:tc>
          <w:tcPr>
            <w:tcW w:w="1560" w:type="dxa"/>
            <w:vMerge w:val="restart"/>
            <w:tcBorders>
              <w:top w:val="single" w:sz="4" w:space="0" w:color="auto"/>
              <w:left w:val="single" w:sz="4" w:space="0" w:color="auto"/>
              <w:right w:val="single" w:sz="4" w:space="0" w:color="auto"/>
            </w:tcBorders>
            <w:vAlign w:val="center"/>
          </w:tcPr>
          <w:p w14:paraId="58AB1916" w14:textId="77777777" w:rsidR="00A14A21" w:rsidRPr="00A14A21" w:rsidRDefault="00A14A21" w:rsidP="001A4E5D">
            <w:pPr>
              <w:pStyle w:val="Tabletext"/>
            </w:pPr>
            <w:r w:rsidRPr="00A14A21">
              <w:t>1 previous dose</w:t>
            </w:r>
          </w:p>
        </w:tc>
        <w:tc>
          <w:tcPr>
            <w:tcW w:w="1561" w:type="dxa"/>
            <w:tcBorders>
              <w:top w:val="single" w:sz="4" w:space="0" w:color="auto"/>
              <w:left w:val="single" w:sz="4" w:space="0" w:color="auto"/>
              <w:bottom w:val="single" w:sz="4" w:space="0" w:color="auto"/>
              <w:right w:val="single" w:sz="4" w:space="0" w:color="auto"/>
            </w:tcBorders>
            <w:vAlign w:val="center"/>
          </w:tcPr>
          <w:p w14:paraId="36EE4D44" w14:textId="77777777" w:rsidR="00A14A21" w:rsidRPr="00A14A21" w:rsidRDefault="00A14A21" w:rsidP="001A4E5D">
            <w:pPr>
              <w:pStyle w:val="Tabletext"/>
            </w:pPr>
            <w:r w:rsidRPr="00A14A21">
              <w:t>&lt;12 months</w:t>
            </w:r>
          </w:p>
        </w:tc>
        <w:tc>
          <w:tcPr>
            <w:tcW w:w="1482" w:type="dxa"/>
            <w:tcBorders>
              <w:top w:val="single" w:sz="4" w:space="0" w:color="auto"/>
              <w:left w:val="single" w:sz="4" w:space="0" w:color="auto"/>
              <w:bottom w:val="single" w:sz="4" w:space="0" w:color="auto"/>
              <w:right w:val="single" w:sz="4" w:space="0" w:color="auto"/>
            </w:tcBorders>
            <w:vAlign w:val="center"/>
          </w:tcPr>
          <w:p w14:paraId="6F16EF3C" w14:textId="77777777" w:rsidR="00A14A21" w:rsidRPr="00A14A21" w:rsidRDefault="00A14A21" w:rsidP="001A4E5D">
            <w:pPr>
              <w:pStyle w:val="Tabletext"/>
              <w:jc w:val="center"/>
            </w:pPr>
            <w:r w:rsidRPr="00A14A21">
              <w:t>Any age</w:t>
            </w:r>
          </w:p>
        </w:tc>
        <w:tc>
          <w:tcPr>
            <w:tcW w:w="1482" w:type="dxa"/>
            <w:tcBorders>
              <w:top w:val="single" w:sz="4" w:space="0" w:color="auto"/>
              <w:left w:val="single" w:sz="4" w:space="0" w:color="auto"/>
              <w:bottom w:val="single" w:sz="4" w:space="0" w:color="auto"/>
              <w:right w:val="single" w:sz="4" w:space="0" w:color="auto"/>
            </w:tcBorders>
            <w:vAlign w:val="center"/>
          </w:tcPr>
          <w:p w14:paraId="5DE4C037" w14:textId="77777777" w:rsidR="00A14A21" w:rsidRPr="00A14A21" w:rsidRDefault="00A14A21" w:rsidP="001A4E5D">
            <w:pPr>
              <w:pStyle w:val="Tabletext"/>
              <w:jc w:val="center"/>
            </w:pPr>
            <w:r w:rsidRPr="00A14A21">
              <w:t>–</w:t>
            </w:r>
          </w:p>
        </w:tc>
        <w:tc>
          <w:tcPr>
            <w:tcW w:w="1483" w:type="dxa"/>
            <w:tcBorders>
              <w:top w:val="single" w:sz="4" w:space="0" w:color="auto"/>
              <w:left w:val="single" w:sz="4" w:space="0" w:color="auto"/>
              <w:bottom w:val="single" w:sz="4" w:space="0" w:color="auto"/>
              <w:right w:val="single" w:sz="4" w:space="0" w:color="auto"/>
            </w:tcBorders>
            <w:vAlign w:val="center"/>
          </w:tcPr>
          <w:p w14:paraId="2BAEDBB8" w14:textId="77777777" w:rsidR="00A14A21" w:rsidRPr="00A14A21" w:rsidRDefault="00A14A21" w:rsidP="001A4E5D">
            <w:pPr>
              <w:pStyle w:val="Tabletext"/>
              <w:jc w:val="center"/>
            </w:pPr>
            <w:r w:rsidRPr="00A14A21">
              <w:t>–</w:t>
            </w:r>
          </w:p>
        </w:tc>
        <w:tc>
          <w:tcPr>
            <w:tcW w:w="2152" w:type="dxa"/>
            <w:tcBorders>
              <w:top w:val="single" w:sz="4" w:space="0" w:color="auto"/>
              <w:left w:val="single" w:sz="4" w:space="0" w:color="auto"/>
              <w:bottom w:val="single" w:sz="4" w:space="0" w:color="auto"/>
              <w:right w:val="single" w:sz="4" w:space="0" w:color="auto"/>
            </w:tcBorders>
            <w:vAlign w:val="center"/>
          </w:tcPr>
          <w:p w14:paraId="6E2FDE3C" w14:textId="1FEC1CE6" w:rsidR="00A14A21" w:rsidRPr="00A14A21" w:rsidRDefault="00A14A21" w:rsidP="001A4E5D">
            <w:pPr>
              <w:pStyle w:val="Tabletext"/>
              <w:jc w:val="center"/>
            </w:pPr>
            <w:r w:rsidRPr="00A14A21">
              <w:t>3</w:t>
            </w:r>
            <w:r w:rsidR="006F1999" w:rsidRPr="008724F1">
              <w:rPr>
                <w:vertAlign w:val="superscript"/>
              </w:rPr>
              <w:t>§</w:t>
            </w:r>
          </w:p>
        </w:tc>
      </w:tr>
      <w:tr w:rsidR="00A14A21" w:rsidRPr="00A14A21" w14:paraId="7BE58EF5" w14:textId="77777777" w:rsidTr="00FC18E4">
        <w:trPr>
          <w:trHeight w:val="259"/>
        </w:trPr>
        <w:tc>
          <w:tcPr>
            <w:tcW w:w="1560" w:type="dxa"/>
            <w:vMerge/>
            <w:tcBorders>
              <w:left w:val="single" w:sz="4" w:space="0" w:color="auto"/>
              <w:right w:val="single" w:sz="4" w:space="0" w:color="auto"/>
            </w:tcBorders>
            <w:vAlign w:val="center"/>
          </w:tcPr>
          <w:p w14:paraId="2EC9CD52" w14:textId="77777777" w:rsidR="00A14A21" w:rsidRPr="00A14A21" w:rsidRDefault="00A14A21" w:rsidP="001A4E5D">
            <w:pPr>
              <w:pStyle w:val="Tabletext"/>
            </w:pPr>
          </w:p>
        </w:tc>
        <w:tc>
          <w:tcPr>
            <w:tcW w:w="1561" w:type="dxa"/>
            <w:vMerge w:val="restart"/>
            <w:tcBorders>
              <w:top w:val="single" w:sz="4" w:space="0" w:color="auto"/>
              <w:left w:val="single" w:sz="4" w:space="0" w:color="auto"/>
              <w:bottom w:val="single" w:sz="4" w:space="0" w:color="auto"/>
              <w:right w:val="single" w:sz="4" w:space="0" w:color="auto"/>
            </w:tcBorders>
            <w:vAlign w:val="center"/>
          </w:tcPr>
          <w:p w14:paraId="0ED69E34" w14:textId="77777777" w:rsidR="00A14A21" w:rsidRPr="00A14A21" w:rsidRDefault="00A14A21" w:rsidP="001A4E5D">
            <w:pPr>
              <w:pStyle w:val="Tabletext"/>
            </w:pPr>
            <w:r w:rsidRPr="00A14A21">
              <w:t>12–59 months</w:t>
            </w:r>
          </w:p>
        </w:tc>
        <w:tc>
          <w:tcPr>
            <w:tcW w:w="1482" w:type="dxa"/>
            <w:tcBorders>
              <w:top w:val="single" w:sz="4" w:space="0" w:color="auto"/>
              <w:left w:val="single" w:sz="4" w:space="0" w:color="auto"/>
              <w:bottom w:val="single" w:sz="4" w:space="0" w:color="auto"/>
              <w:right w:val="single" w:sz="4" w:space="0" w:color="auto"/>
            </w:tcBorders>
            <w:vAlign w:val="center"/>
          </w:tcPr>
          <w:p w14:paraId="5A7FFB71" w14:textId="77777777" w:rsidR="00A14A21" w:rsidRPr="00A14A21" w:rsidRDefault="00A14A21" w:rsidP="001A4E5D">
            <w:pPr>
              <w:pStyle w:val="Tabletext"/>
              <w:jc w:val="center"/>
            </w:pPr>
            <w:r w:rsidRPr="00A14A21">
              <w:t>&lt;12 months</w:t>
            </w:r>
          </w:p>
        </w:tc>
        <w:tc>
          <w:tcPr>
            <w:tcW w:w="1482" w:type="dxa"/>
            <w:tcBorders>
              <w:top w:val="single" w:sz="4" w:space="0" w:color="auto"/>
              <w:left w:val="single" w:sz="4" w:space="0" w:color="auto"/>
              <w:bottom w:val="single" w:sz="4" w:space="0" w:color="auto"/>
              <w:right w:val="single" w:sz="4" w:space="0" w:color="auto"/>
            </w:tcBorders>
            <w:vAlign w:val="center"/>
          </w:tcPr>
          <w:p w14:paraId="7ADE13FC" w14:textId="77777777" w:rsidR="00A14A21" w:rsidRPr="00A14A21" w:rsidRDefault="00A14A21" w:rsidP="001A4E5D">
            <w:pPr>
              <w:pStyle w:val="Tabletext"/>
              <w:jc w:val="center"/>
            </w:pPr>
            <w:r w:rsidRPr="00A14A21">
              <w:t>–</w:t>
            </w:r>
          </w:p>
        </w:tc>
        <w:tc>
          <w:tcPr>
            <w:tcW w:w="1483" w:type="dxa"/>
            <w:tcBorders>
              <w:top w:val="single" w:sz="4" w:space="0" w:color="auto"/>
              <w:left w:val="single" w:sz="4" w:space="0" w:color="auto"/>
              <w:bottom w:val="single" w:sz="4" w:space="0" w:color="auto"/>
              <w:right w:val="single" w:sz="4" w:space="0" w:color="auto"/>
            </w:tcBorders>
            <w:vAlign w:val="center"/>
          </w:tcPr>
          <w:p w14:paraId="34B1A701" w14:textId="77777777" w:rsidR="00A14A21" w:rsidRPr="00A14A21" w:rsidRDefault="00A14A21" w:rsidP="001A4E5D">
            <w:pPr>
              <w:pStyle w:val="Tabletext"/>
              <w:jc w:val="center"/>
            </w:pPr>
            <w:r w:rsidRPr="00A14A21">
              <w:t>–</w:t>
            </w:r>
          </w:p>
        </w:tc>
        <w:tc>
          <w:tcPr>
            <w:tcW w:w="2152" w:type="dxa"/>
            <w:tcBorders>
              <w:top w:val="single" w:sz="4" w:space="0" w:color="auto"/>
              <w:left w:val="single" w:sz="4" w:space="0" w:color="auto"/>
              <w:bottom w:val="single" w:sz="4" w:space="0" w:color="auto"/>
              <w:right w:val="single" w:sz="4" w:space="0" w:color="auto"/>
            </w:tcBorders>
            <w:vAlign w:val="center"/>
          </w:tcPr>
          <w:p w14:paraId="1E609FF7" w14:textId="401D7527" w:rsidR="00A14A21" w:rsidRPr="00A14A21" w:rsidRDefault="00A14A21" w:rsidP="001A4E5D">
            <w:pPr>
              <w:pStyle w:val="Tabletext"/>
              <w:jc w:val="center"/>
            </w:pPr>
            <w:r w:rsidRPr="00A14A21">
              <w:t>2</w:t>
            </w:r>
            <w:r w:rsidR="006F1999" w:rsidRPr="008724F1">
              <w:rPr>
                <w:vertAlign w:val="superscript"/>
              </w:rPr>
              <w:t>§</w:t>
            </w:r>
          </w:p>
        </w:tc>
      </w:tr>
      <w:tr w:rsidR="00A14A21" w:rsidRPr="00A14A21" w14:paraId="6C55ED6F" w14:textId="77777777" w:rsidTr="00FC18E4">
        <w:trPr>
          <w:trHeight w:val="259"/>
        </w:trPr>
        <w:tc>
          <w:tcPr>
            <w:tcW w:w="1560" w:type="dxa"/>
            <w:vMerge/>
            <w:tcBorders>
              <w:left w:val="single" w:sz="4" w:space="0" w:color="auto"/>
              <w:bottom w:val="single" w:sz="4" w:space="0" w:color="auto"/>
              <w:right w:val="single" w:sz="4" w:space="0" w:color="auto"/>
            </w:tcBorders>
            <w:vAlign w:val="center"/>
          </w:tcPr>
          <w:p w14:paraId="30AA511B" w14:textId="77777777" w:rsidR="00A14A21" w:rsidRPr="00A14A21" w:rsidRDefault="00A14A21" w:rsidP="001A4E5D">
            <w:pPr>
              <w:pStyle w:val="Tabletext"/>
            </w:pPr>
          </w:p>
        </w:tc>
        <w:tc>
          <w:tcPr>
            <w:tcW w:w="1561" w:type="dxa"/>
            <w:vMerge/>
            <w:tcBorders>
              <w:top w:val="single" w:sz="4" w:space="0" w:color="auto"/>
              <w:left w:val="single" w:sz="4" w:space="0" w:color="auto"/>
              <w:bottom w:val="single" w:sz="4" w:space="0" w:color="auto"/>
              <w:right w:val="single" w:sz="4" w:space="0" w:color="auto"/>
            </w:tcBorders>
            <w:vAlign w:val="center"/>
          </w:tcPr>
          <w:p w14:paraId="10F63547" w14:textId="77777777" w:rsidR="00A14A21" w:rsidRPr="00A14A21" w:rsidRDefault="00A14A21" w:rsidP="001A4E5D">
            <w:pPr>
              <w:pStyle w:val="Tabletext"/>
            </w:pPr>
          </w:p>
        </w:tc>
        <w:tc>
          <w:tcPr>
            <w:tcW w:w="1482" w:type="dxa"/>
            <w:tcBorders>
              <w:top w:val="single" w:sz="4" w:space="0" w:color="auto"/>
              <w:left w:val="single" w:sz="4" w:space="0" w:color="auto"/>
              <w:bottom w:val="single" w:sz="4" w:space="0" w:color="auto"/>
              <w:right w:val="single" w:sz="4" w:space="0" w:color="auto"/>
            </w:tcBorders>
            <w:vAlign w:val="center"/>
          </w:tcPr>
          <w:p w14:paraId="5066AEAC" w14:textId="77777777" w:rsidR="00A14A21" w:rsidRPr="00A14A21" w:rsidRDefault="00A14A21" w:rsidP="001A4E5D">
            <w:pPr>
              <w:pStyle w:val="Tabletext"/>
              <w:jc w:val="center"/>
            </w:pPr>
            <w:r w:rsidRPr="00A14A21">
              <w:t>≥12 months</w:t>
            </w:r>
          </w:p>
        </w:tc>
        <w:tc>
          <w:tcPr>
            <w:tcW w:w="1482" w:type="dxa"/>
            <w:tcBorders>
              <w:top w:val="single" w:sz="4" w:space="0" w:color="auto"/>
              <w:left w:val="single" w:sz="4" w:space="0" w:color="auto"/>
              <w:bottom w:val="single" w:sz="4" w:space="0" w:color="auto"/>
              <w:right w:val="single" w:sz="4" w:space="0" w:color="auto"/>
            </w:tcBorders>
            <w:vAlign w:val="center"/>
          </w:tcPr>
          <w:p w14:paraId="0E47DA13" w14:textId="77777777" w:rsidR="00A14A21" w:rsidRPr="00A14A21" w:rsidRDefault="00A14A21" w:rsidP="001A4E5D">
            <w:pPr>
              <w:pStyle w:val="Tabletext"/>
              <w:jc w:val="center"/>
            </w:pPr>
            <w:r w:rsidRPr="00A14A21">
              <w:t>–</w:t>
            </w:r>
          </w:p>
        </w:tc>
        <w:tc>
          <w:tcPr>
            <w:tcW w:w="1483" w:type="dxa"/>
            <w:tcBorders>
              <w:top w:val="single" w:sz="4" w:space="0" w:color="auto"/>
              <w:left w:val="single" w:sz="4" w:space="0" w:color="auto"/>
              <w:bottom w:val="single" w:sz="4" w:space="0" w:color="auto"/>
              <w:right w:val="single" w:sz="4" w:space="0" w:color="auto"/>
            </w:tcBorders>
            <w:vAlign w:val="center"/>
          </w:tcPr>
          <w:p w14:paraId="7585B95B" w14:textId="77777777" w:rsidR="00A14A21" w:rsidRPr="00A14A21" w:rsidRDefault="00A14A21" w:rsidP="001A4E5D">
            <w:pPr>
              <w:pStyle w:val="Tabletext"/>
              <w:jc w:val="center"/>
            </w:pPr>
            <w:r w:rsidRPr="00A14A21">
              <w:t>–</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2624C994" w14:textId="77777777" w:rsidR="00A14A21" w:rsidRPr="00A14A21" w:rsidRDefault="00A14A21" w:rsidP="001A4E5D">
            <w:pPr>
              <w:pStyle w:val="Tabletext"/>
              <w:jc w:val="center"/>
            </w:pPr>
            <w:r w:rsidRPr="00A14A21">
              <w:t>1</w:t>
            </w:r>
          </w:p>
        </w:tc>
      </w:tr>
      <w:tr w:rsidR="00A14A21" w:rsidRPr="00A14A21" w14:paraId="60307500" w14:textId="77777777" w:rsidTr="00FC18E4">
        <w:trPr>
          <w:trHeight w:val="259"/>
        </w:trPr>
        <w:tc>
          <w:tcPr>
            <w:tcW w:w="1560" w:type="dxa"/>
            <w:vMerge w:val="restart"/>
            <w:tcBorders>
              <w:top w:val="single" w:sz="4" w:space="0" w:color="auto"/>
              <w:left w:val="single" w:sz="4" w:space="0" w:color="auto"/>
              <w:right w:val="single" w:sz="4" w:space="0" w:color="auto"/>
            </w:tcBorders>
            <w:vAlign w:val="center"/>
          </w:tcPr>
          <w:p w14:paraId="37829DC8" w14:textId="77777777" w:rsidR="00A14A21" w:rsidRPr="00A14A21" w:rsidRDefault="00A14A21" w:rsidP="001A4E5D">
            <w:pPr>
              <w:pStyle w:val="Tabletext"/>
            </w:pPr>
            <w:r w:rsidRPr="00A14A21">
              <w:t>2 previous doses</w:t>
            </w:r>
          </w:p>
        </w:tc>
        <w:tc>
          <w:tcPr>
            <w:tcW w:w="1561" w:type="dxa"/>
            <w:tcBorders>
              <w:top w:val="single" w:sz="4" w:space="0" w:color="auto"/>
              <w:left w:val="single" w:sz="4" w:space="0" w:color="auto"/>
              <w:bottom w:val="single" w:sz="4" w:space="0" w:color="auto"/>
              <w:right w:val="single" w:sz="4" w:space="0" w:color="auto"/>
            </w:tcBorders>
            <w:vAlign w:val="center"/>
          </w:tcPr>
          <w:p w14:paraId="28EBCF0F" w14:textId="77777777" w:rsidR="00A14A21" w:rsidRPr="00A14A21" w:rsidRDefault="00A14A21" w:rsidP="001A4E5D">
            <w:pPr>
              <w:pStyle w:val="Tabletext"/>
            </w:pPr>
            <w:r w:rsidRPr="00A14A21">
              <w:t>&lt;12 months</w:t>
            </w:r>
          </w:p>
        </w:tc>
        <w:tc>
          <w:tcPr>
            <w:tcW w:w="1482" w:type="dxa"/>
            <w:tcBorders>
              <w:top w:val="single" w:sz="4" w:space="0" w:color="auto"/>
              <w:left w:val="single" w:sz="4" w:space="0" w:color="auto"/>
              <w:bottom w:val="single" w:sz="4" w:space="0" w:color="auto"/>
              <w:right w:val="single" w:sz="4" w:space="0" w:color="auto"/>
            </w:tcBorders>
            <w:vAlign w:val="center"/>
          </w:tcPr>
          <w:p w14:paraId="79733E46" w14:textId="77777777" w:rsidR="00A14A21" w:rsidRPr="00A14A21" w:rsidRDefault="00A14A21" w:rsidP="001A4E5D">
            <w:pPr>
              <w:pStyle w:val="Tabletext"/>
              <w:jc w:val="center"/>
            </w:pPr>
            <w:r w:rsidRPr="00A14A21">
              <w:t>Any age</w:t>
            </w:r>
          </w:p>
        </w:tc>
        <w:tc>
          <w:tcPr>
            <w:tcW w:w="1482" w:type="dxa"/>
            <w:tcBorders>
              <w:top w:val="single" w:sz="4" w:space="0" w:color="auto"/>
              <w:left w:val="single" w:sz="4" w:space="0" w:color="auto"/>
              <w:bottom w:val="single" w:sz="4" w:space="0" w:color="auto"/>
              <w:right w:val="single" w:sz="4" w:space="0" w:color="auto"/>
            </w:tcBorders>
            <w:vAlign w:val="center"/>
          </w:tcPr>
          <w:p w14:paraId="5528FCBD" w14:textId="77777777" w:rsidR="00A14A21" w:rsidRPr="00A14A21" w:rsidRDefault="00A14A21" w:rsidP="001A4E5D">
            <w:pPr>
              <w:pStyle w:val="Tabletext"/>
              <w:jc w:val="center"/>
            </w:pPr>
            <w:r w:rsidRPr="00A14A21">
              <w:t>Any age</w:t>
            </w:r>
          </w:p>
        </w:tc>
        <w:tc>
          <w:tcPr>
            <w:tcW w:w="1483" w:type="dxa"/>
            <w:tcBorders>
              <w:top w:val="single" w:sz="4" w:space="0" w:color="auto"/>
              <w:left w:val="single" w:sz="4" w:space="0" w:color="auto"/>
              <w:bottom w:val="single" w:sz="4" w:space="0" w:color="auto"/>
              <w:right w:val="single" w:sz="4" w:space="0" w:color="auto"/>
            </w:tcBorders>
            <w:vAlign w:val="center"/>
          </w:tcPr>
          <w:p w14:paraId="2074BB80" w14:textId="77777777" w:rsidR="00A14A21" w:rsidRPr="00A14A21" w:rsidRDefault="00A14A21" w:rsidP="001A4E5D">
            <w:pPr>
              <w:pStyle w:val="Tabletext"/>
              <w:jc w:val="center"/>
            </w:pPr>
            <w:r w:rsidRPr="00A14A21">
              <w:t>–</w:t>
            </w:r>
          </w:p>
        </w:tc>
        <w:tc>
          <w:tcPr>
            <w:tcW w:w="2152" w:type="dxa"/>
            <w:tcBorders>
              <w:top w:val="single" w:sz="4" w:space="0" w:color="auto"/>
              <w:left w:val="single" w:sz="4" w:space="0" w:color="auto"/>
              <w:bottom w:val="single" w:sz="4" w:space="0" w:color="auto"/>
              <w:right w:val="single" w:sz="4" w:space="0" w:color="auto"/>
            </w:tcBorders>
            <w:vAlign w:val="center"/>
          </w:tcPr>
          <w:p w14:paraId="3949D300" w14:textId="45242B97" w:rsidR="00A14A21" w:rsidRPr="00A14A21" w:rsidRDefault="00A14A21" w:rsidP="001A4E5D">
            <w:pPr>
              <w:pStyle w:val="Tabletext"/>
              <w:jc w:val="center"/>
            </w:pPr>
            <w:r w:rsidRPr="00A14A21">
              <w:t>2</w:t>
            </w:r>
            <w:r w:rsidR="006F1999" w:rsidRPr="008724F1">
              <w:rPr>
                <w:vertAlign w:val="superscript"/>
              </w:rPr>
              <w:t>§</w:t>
            </w:r>
          </w:p>
        </w:tc>
      </w:tr>
      <w:tr w:rsidR="00A14A21" w:rsidRPr="00A14A21" w14:paraId="3C805E32" w14:textId="77777777" w:rsidTr="00FC18E4">
        <w:trPr>
          <w:trHeight w:val="259"/>
        </w:trPr>
        <w:tc>
          <w:tcPr>
            <w:tcW w:w="1560" w:type="dxa"/>
            <w:vMerge/>
            <w:tcBorders>
              <w:left w:val="single" w:sz="4" w:space="0" w:color="auto"/>
              <w:right w:val="single" w:sz="4" w:space="0" w:color="auto"/>
            </w:tcBorders>
            <w:vAlign w:val="center"/>
          </w:tcPr>
          <w:p w14:paraId="3E055E36" w14:textId="77777777" w:rsidR="00A14A21" w:rsidRPr="00A14A21" w:rsidRDefault="00A14A21" w:rsidP="001A4E5D">
            <w:pPr>
              <w:pStyle w:val="Tabletext"/>
            </w:pPr>
          </w:p>
        </w:tc>
        <w:tc>
          <w:tcPr>
            <w:tcW w:w="1561" w:type="dxa"/>
            <w:vMerge w:val="restart"/>
            <w:tcBorders>
              <w:top w:val="single" w:sz="4" w:space="0" w:color="auto"/>
              <w:left w:val="single" w:sz="4" w:space="0" w:color="auto"/>
              <w:right w:val="single" w:sz="4" w:space="0" w:color="auto"/>
            </w:tcBorders>
            <w:vAlign w:val="center"/>
          </w:tcPr>
          <w:p w14:paraId="6EFC15F5" w14:textId="77777777" w:rsidR="00A14A21" w:rsidRPr="00A14A21" w:rsidRDefault="00A14A21" w:rsidP="001A4E5D">
            <w:pPr>
              <w:pStyle w:val="Tabletext"/>
            </w:pPr>
            <w:r w:rsidRPr="00A14A21">
              <w:t>12–59 months</w:t>
            </w:r>
          </w:p>
        </w:tc>
        <w:tc>
          <w:tcPr>
            <w:tcW w:w="1482" w:type="dxa"/>
            <w:vMerge w:val="restart"/>
            <w:tcBorders>
              <w:top w:val="single" w:sz="4" w:space="0" w:color="auto"/>
              <w:left w:val="single" w:sz="4" w:space="0" w:color="auto"/>
              <w:bottom w:val="single" w:sz="4" w:space="0" w:color="auto"/>
              <w:right w:val="single" w:sz="4" w:space="0" w:color="auto"/>
            </w:tcBorders>
            <w:vAlign w:val="center"/>
          </w:tcPr>
          <w:p w14:paraId="57E337C3" w14:textId="77777777" w:rsidR="00A14A21" w:rsidRPr="00A14A21" w:rsidRDefault="00A14A21" w:rsidP="001A4E5D">
            <w:pPr>
              <w:pStyle w:val="Tabletext"/>
              <w:jc w:val="center"/>
            </w:pPr>
            <w:r w:rsidRPr="00A14A21">
              <w:t>&lt;12 months</w:t>
            </w:r>
          </w:p>
        </w:tc>
        <w:tc>
          <w:tcPr>
            <w:tcW w:w="1482" w:type="dxa"/>
            <w:tcBorders>
              <w:top w:val="single" w:sz="4" w:space="0" w:color="auto"/>
              <w:left w:val="single" w:sz="4" w:space="0" w:color="auto"/>
              <w:bottom w:val="single" w:sz="4" w:space="0" w:color="auto"/>
              <w:right w:val="single" w:sz="4" w:space="0" w:color="auto"/>
            </w:tcBorders>
            <w:vAlign w:val="center"/>
          </w:tcPr>
          <w:p w14:paraId="42DF12ED" w14:textId="77777777" w:rsidR="00A14A21" w:rsidRPr="00A14A21" w:rsidRDefault="00A14A21" w:rsidP="001A4E5D">
            <w:pPr>
              <w:pStyle w:val="Tabletext"/>
              <w:jc w:val="center"/>
            </w:pPr>
            <w:r w:rsidRPr="00A14A21">
              <w:t>&lt;12 months</w:t>
            </w:r>
          </w:p>
        </w:tc>
        <w:tc>
          <w:tcPr>
            <w:tcW w:w="1483" w:type="dxa"/>
            <w:tcBorders>
              <w:top w:val="single" w:sz="4" w:space="0" w:color="auto"/>
              <w:left w:val="single" w:sz="4" w:space="0" w:color="auto"/>
              <w:bottom w:val="single" w:sz="4" w:space="0" w:color="auto"/>
              <w:right w:val="single" w:sz="4" w:space="0" w:color="auto"/>
            </w:tcBorders>
            <w:vAlign w:val="center"/>
          </w:tcPr>
          <w:p w14:paraId="02E5D4D6" w14:textId="77777777" w:rsidR="00A14A21" w:rsidRPr="00A14A21" w:rsidRDefault="00A14A21" w:rsidP="001A4E5D">
            <w:pPr>
              <w:pStyle w:val="Tabletext"/>
              <w:jc w:val="center"/>
            </w:pPr>
            <w:r w:rsidRPr="00A14A21">
              <w:t>–</w:t>
            </w:r>
          </w:p>
        </w:tc>
        <w:tc>
          <w:tcPr>
            <w:tcW w:w="2152" w:type="dxa"/>
            <w:tcBorders>
              <w:top w:val="single" w:sz="4" w:space="0" w:color="auto"/>
              <w:left w:val="single" w:sz="4" w:space="0" w:color="auto"/>
              <w:bottom w:val="single" w:sz="4" w:space="0" w:color="auto"/>
              <w:right w:val="single" w:sz="4" w:space="0" w:color="auto"/>
            </w:tcBorders>
            <w:vAlign w:val="center"/>
          </w:tcPr>
          <w:p w14:paraId="4622B4D6" w14:textId="17A91234" w:rsidR="00A14A21" w:rsidRPr="00A14A21" w:rsidRDefault="00A14A21" w:rsidP="001A4E5D">
            <w:pPr>
              <w:pStyle w:val="Tabletext"/>
              <w:jc w:val="center"/>
            </w:pPr>
            <w:r w:rsidRPr="00A14A21">
              <w:t>2</w:t>
            </w:r>
            <w:r w:rsidR="006F1999" w:rsidRPr="008724F1">
              <w:rPr>
                <w:vertAlign w:val="superscript"/>
              </w:rPr>
              <w:t>§</w:t>
            </w:r>
          </w:p>
        </w:tc>
      </w:tr>
      <w:tr w:rsidR="00A14A21" w:rsidRPr="00A14A21" w14:paraId="5758D70D" w14:textId="77777777" w:rsidTr="00FC18E4">
        <w:trPr>
          <w:trHeight w:val="260"/>
        </w:trPr>
        <w:tc>
          <w:tcPr>
            <w:tcW w:w="1560" w:type="dxa"/>
            <w:vMerge/>
            <w:tcBorders>
              <w:left w:val="single" w:sz="4" w:space="0" w:color="auto"/>
              <w:right w:val="single" w:sz="4" w:space="0" w:color="auto"/>
            </w:tcBorders>
            <w:vAlign w:val="center"/>
          </w:tcPr>
          <w:p w14:paraId="23AA7696" w14:textId="77777777" w:rsidR="00A14A21" w:rsidRPr="00A14A21" w:rsidRDefault="00A14A21" w:rsidP="001A4E5D">
            <w:pPr>
              <w:pStyle w:val="Tabletext"/>
            </w:pPr>
          </w:p>
        </w:tc>
        <w:tc>
          <w:tcPr>
            <w:tcW w:w="1561" w:type="dxa"/>
            <w:vMerge/>
            <w:tcBorders>
              <w:left w:val="single" w:sz="4" w:space="0" w:color="auto"/>
              <w:right w:val="single" w:sz="4" w:space="0" w:color="auto"/>
            </w:tcBorders>
            <w:vAlign w:val="center"/>
          </w:tcPr>
          <w:p w14:paraId="5D942AD6" w14:textId="77777777" w:rsidR="00A14A21" w:rsidRPr="00A14A21" w:rsidRDefault="00A14A21" w:rsidP="001A4E5D">
            <w:pPr>
              <w:pStyle w:val="Tabletext"/>
            </w:pPr>
          </w:p>
        </w:tc>
        <w:tc>
          <w:tcPr>
            <w:tcW w:w="1482" w:type="dxa"/>
            <w:vMerge/>
            <w:tcBorders>
              <w:top w:val="single" w:sz="4" w:space="0" w:color="auto"/>
              <w:left w:val="single" w:sz="4" w:space="0" w:color="auto"/>
              <w:bottom w:val="single" w:sz="4" w:space="0" w:color="auto"/>
              <w:right w:val="single" w:sz="4" w:space="0" w:color="auto"/>
            </w:tcBorders>
            <w:vAlign w:val="center"/>
          </w:tcPr>
          <w:p w14:paraId="183C457C" w14:textId="77777777" w:rsidR="00A14A21" w:rsidRPr="00A14A21" w:rsidRDefault="00A14A21" w:rsidP="001A4E5D">
            <w:pPr>
              <w:pStyle w:val="Tabletext"/>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5B42758B" w14:textId="77777777" w:rsidR="00A14A21" w:rsidRPr="00A14A21" w:rsidRDefault="00A14A21" w:rsidP="001A4E5D">
            <w:pPr>
              <w:pStyle w:val="Tabletext"/>
              <w:jc w:val="center"/>
            </w:pPr>
            <w:r w:rsidRPr="00A14A21">
              <w:t>≥12 months</w:t>
            </w:r>
          </w:p>
        </w:tc>
        <w:tc>
          <w:tcPr>
            <w:tcW w:w="1483" w:type="dxa"/>
            <w:tcBorders>
              <w:top w:val="single" w:sz="4" w:space="0" w:color="auto"/>
              <w:left w:val="single" w:sz="4" w:space="0" w:color="auto"/>
              <w:bottom w:val="single" w:sz="4" w:space="0" w:color="auto"/>
              <w:right w:val="single" w:sz="4" w:space="0" w:color="auto"/>
            </w:tcBorders>
            <w:vAlign w:val="center"/>
          </w:tcPr>
          <w:p w14:paraId="1FA44AFC" w14:textId="77777777" w:rsidR="00A14A21" w:rsidRPr="00A14A21" w:rsidRDefault="00A14A21" w:rsidP="001A4E5D">
            <w:pPr>
              <w:pStyle w:val="Tabletext"/>
              <w:jc w:val="center"/>
            </w:pPr>
            <w:r w:rsidRPr="00A14A21">
              <w:t>–</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7CDD7830" w14:textId="77777777" w:rsidR="00A14A21" w:rsidRPr="00A14A21" w:rsidRDefault="00A14A21" w:rsidP="001A4E5D">
            <w:pPr>
              <w:pStyle w:val="Tabletext"/>
              <w:jc w:val="center"/>
            </w:pPr>
            <w:r w:rsidRPr="00A14A21">
              <w:t>1</w:t>
            </w:r>
          </w:p>
        </w:tc>
      </w:tr>
      <w:tr w:rsidR="00A14A21" w:rsidRPr="00A14A21" w14:paraId="7C683D17" w14:textId="77777777" w:rsidTr="00FC18E4">
        <w:trPr>
          <w:trHeight w:val="259"/>
        </w:trPr>
        <w:tc>
          <w:tcPr>
            <w:tcW w:w="1560" w:type="dxa"/>
            <w:vMerge/>
            <w:tcBorders>
              <w:left w:val="single" w:sz="4" w:space="0" w:color="auto"/>
              <w:bottom w:val="single" w:sz="4" w:space="0" w:color="auto"/>
              <w:right w:val="single" w:sz="4" w:space="0" w:color="auto"/>
            </w:tcBorders>
            <w:vAlign w:val="center"/>
          </w:tcPr>
          <w:p w14:paraId="063EF31B" w14:textId="77777777" w:rsidR="00A14A21" w:rsidRPr="00A14A21" w:rsidRDefault="00A14A21" w:rsidP="001A4E5D">
            <w:pPr>
              <w:pStyle w:val="Tabletext"/>
            </w:pPr>
          </w:p>
        </w:tc>
        <w:tc>
          <w:tcPr>
            <w:tcW w:w="1561" w:type="dxa"/>
            <w:vMerge/>
            <w:tcBorders>
              <w:left w:val="single" w:sz="4" w:space="0" w:color="auto"/>
              <w:bottom w:val="single" w:sz="4" w:space="0" w:color="auto"/>
              <w:right w:val="single" w:sz="4" w:space="0" w:color="auto"/>
            </w:tcBorders>
            <w:vAlign w:val="center"/>
          </w:tcPr>
          <w:p w14:paraId="3800FD12" w14:textId="77777777" w:rsidR="00A14A21" w:rsidRPr="00A14A21" w:rsidRDefault="00A14A21" w:rsidP="001A4E5D">
            <w:pPr>
              <w:pStyle w:val="Tabletext"/>
            </w:pPr>
          </w:p>
        </w:tc>
        <w:tc>
          <w:tcPr>
            <w:tcW w:w="1482" w:type="dxa"/>
            <w:tcBorders>
              <w:top w:val="single" w:sz="4" w:space="0" w:color="auto"/>
              <w:left w:val="single" w:sz="4" w:space="0" w:color="auto"/>
              <w:bottom w:val="single" w:sz="4" w:space="0" w:color="auto"/>
              <w:right w:val="single" w:sz="4" w:space="0" w:color="auto"/>
            </w:tcBorders>
            <w:vAlign w:val="center"/>
          </w:tcPr>
          <w:p w14:paraId="18F9601A" w14:textId="77777777" w:rsidR="00A14A21" w:rsidRPr="00A14A21" w:rsidRDefault="00A14A21" w:rsidP="001A4E5D">
            <w:pPr>
              <w:pStyle w:val="Tabletext"/>
              <w:jc w:val="center"/>
            </w:pPr>
            <w:r w:rsidRPr="00A14A21">
              <w:t>≥12 months</w:t>
            </w:r>
          </w:p>
        </w:tc>
        <w:tc>
          <w:tcPr>
            <w:tcW w:w="1482" w:type="dxa"/>
            <w:tcBorders>
              <w:top w:val="single" w:sz="4" w:space="0" w:color="auto"/>
              <w:left w:val="single" w:sz="4" w:space="0" w:color="auto"/>
              <w:bottom w:val="single" w:sz="4" w:space="0" w:color="auto"/>
              <w:right w:val="single" w:sz="4" w:space="0" w:color="auto"/>
            </w:tcBorders>
            <w:vAlign w:val="center"/>
          </w:tcPr>
          <w:p w14:paraId="31E880A4" w14:textId="77777777" w:rsidR="00A14A21" w:rsidRPr="00A14A21" w:rsidRDefault="00A14A21" w:rsidP="001A4E5D">
            <w:pPr>
              <w:pStyle w:val="Tabletext"/>
              <w:jc w:val="center"/>
            </w:pPr>
            <w:r w:rsidRPr="00A14A21">
              <w:t>≥12 months</w:t>
            </w:r>
          </w:p>
        </w:tc>
        <w:tc>
          <w:tcPr>
            <w:tcW w:w="1483" w:type="dxa"/>
            <w:tcBorders>
              <w:top w:val="single" w:sz="4" w:space="0" w:color="auto"/>
              <w:left w:val="single" w:sz="4" w:space="0" w:color="auto"/>
              <w:bottom w:val="single" w:sz="4" w:space="0" w:color="auto"/>
              <w:right w:val="single" w:sz="4" w:space="0" w:color="auto"/>
            </w:tcBorders>
            <w:vAlign w:val="center"/>
          </w:tcPr>
          <w:p w14:paraId="3F9BDA16" w14:textId="77777777" w:rsidR="00A14A21" w:rsidRPr="00A14A21" w:rsidRDefault="00A14A21" w:rsidP="001A4E5D">
            <w:pPr>
              <w:pStyle w:val="Tabletext"/>
              <w:jc w:val="center"/>
            </w:pPr>
            <w:r w:rsidRPr="00A14A21">
              <w:t>–</w:t>
            </w:r>
          </w:p>
        </w:tc>
        <w:tc>
          <w:tcPr>
            <w:tcW w:w="2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0A54E8" w14:textId="4CE60285" w:rsidR="00A14A21" w:rsidRPr="00A14A21" w:rsidRDefault="00256A52" w:rsidP="001A4E5D">
            <w:pPr>
              <w:pStyle w:val="Tabletext"/>
              <w:jc w:val="center"/>
            </w:pPr>
            <w:r>
              <w:t>None</w:t>
            </w:r>
          </w:p>
        </w:tc>
      </w:tr>
      <w:tr w:rsidR="00A14A21" w:rsidRPr="00A14A21" w14:paraId="458DB744" w14:textId="77777777" w:rsidTr="00FC18E4">
        <w:trPr>
          <w:trHeight w:val="268"/>
        </w:trPr>
        <w:tc>
          <w:tcPr>
            <w:tcW w:w="1560" w:type="dxa"/>
            <w:vMerge w:val="restart"/>
            <w:tcBorders>
              <w:top w:val="single" w:sz="4" w:space="0" w:color="auto"/>
              <w:left w:val="single" w:sz="4" w:space="0" w:color="auto"/>
              <w:right w:val="single" w:sz="4" w:space="0" w:color="auto"/>
            </w:tcBorders>
            <w:vAlign w:val="center"/>
          </w:tcPr>
          <w:p w14:paraId="45FCA260" w14:textId="77777777" w:rsidR="00A14A21" w:rsidRPr="00A14A21" w:rsidRDefault="00A14A21" w:rsidP="001A4E5D">
            <w:pPr>
              <w:pStyle w:val="Tabletext"/>
            </w:pPr>
            <w:r w:rsidRPr="00A14A21">
              <w:t>3 previous doses</w:t>
            </w:r>
          </w:p>
        </w:tc>
        <w:tc>
          <w:tcPr>
            <w:tcW w:w="1561" w:type="dxa"/>
            <w:tcBorders>
              <w:top w:val="single" w:sz="4" w:space="0" w:color="auto"/>
              <w:left w:val="single" w:sz="4" w:space="0" w:color="auto"/>
              <w:bottom w:val="single" w:sz="4" w:space="0" w:color="auto"/>
              <w:right w:val="single" w:sz="4" w:space="0" w:color="auto"/>
            </w:tcBorders>
            <w:vAlign w:val="center"/>
          </w:tcPr>
          <w:p w14:paraId="07EE22DB" w14:textId="77777777" w:rsidR="00A14A21" w:rsidRPr="00A14A21" w:rsidRDefault="00A14A21" w:rsidP="001A4E5D">
            <w:pPr>
              <w:pStyle w:val="Tabletext"/>
            </w:pPr>
            <w:r w:rsidRPr="00A14A21">
              <w:t>&lt;12 months</w:t>
            </w:r>
          </w:p>
        </w:tc>
        <w:tc>
          <w:tcPr>
            <w:tcW w:w="1482" w:type="dxa"/>
            <w:tcBorders>
              <w:top w:val="single" w:sz="4" w:space="0" w:color="auto"/>
              <w:left w:val="single" w:sz="4" w:space="0" w:color="auto"/>
              <w:bottom w:val="single" w:sz="4" w:space="0" w:color="auto"/>
              <w:right w:val="single" w:sz="4" w:space="0" w:color="auto"/>
            </w:tcBorders>
            <w:vAlign w:val="center"/>
          </w:tcPr>
          <w:p w14:paraId="55BBE733" w14:textId="77777777" w:rsidR="00A14A21" w:rsidRPr="00A14A21" w:rsidRDefault="00A14A21" w:rsidP="001A4E5D">
            <w:pPr>
              <w:pStyle w:val="Tabletext"/>
              <w:jc w:val="center"/>
            </w:pPr>
            <w:r w:rsidRPr="00A14A21">
              <w:t>Any age</w:t>
            </w:r>
          </w:p>
        </w:tc>
        <w:tc>
          <w:tcPr>
            <w:tcW w:w="1482" w:type="dxa"/>
            <w:tcBorders>
              <w:top w:val="single" w:sz="4" w:space="0" w:color="auto"/>
              <w:left w:val="single" w:sz="4" w:space="0" w:color="auto"/>
              <w:bottom w:val="single" w:sz="4" w:space="0" w:color="auto"/>
              <w:right w:val="single" w:sz="4" w:space="0" w:color="auto"/>
            </w:tcBorders>
            <w:vAlign w:val="center"/>
          </w:tcPr>
          <w:p w14:paraId="24A17FD9" w14:textId="77777777" w:rsidR="00A14A21" w:rsidRPr="00A14A21" w:rsidRDefault="00A14A21" w:rsidP="001A4E5D">
            <w:pPr>
              <w:pStyle w:val="Tabletext"/>
              <w:jc w:val="center"/>
            </w:pPr>
            <w:r w:rsidRPr="00A14A21">
              <w:t>Any age</w:t>
            </w:r>
          </w:p>
        </w:tc>
        <w:tc>
          <w:tcPr>
            <w:tcW w:w="1483" w:type="dxa"/>
            <w:tcBorders>
              <w:top w:val="single" w:sz="4" w:space="0" w:color="auto"/>
              <w:left w:val="single" w:sz="4" w:space="0" w:color="auto"/>
              <w:bottom w:val="single" w:sz="4" w:space="0" w:color="auto"/>
              <w:right w:val="single" w:sz="4" w:space="0" w:color="auto"/>
            </w:tcBorders>
            <w:vAlign w:val="center"/>
          </w:tcPr>
          <w:p w14:paraId="62B26605" w14:textId="77777777" w:rsidR="00A14A21" w:rsidRPr="00A14A21" w:rsidRDefault="00A14A21" w:rsidP="001A4E5D">
            <w:pPr>
              <w:pStyle w:val="Tabletext"/>
              <w:jc w:val="center"/>
            </w:pPr>
            <w:r w:rsidRPr="00A14A21">
              <w:t>Any age</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7100C4E0" w14:textId="4C2C2045" w:rsidR="00A14A21" w:rsidRPr="00A14A21" w:rsidRDefault="00A14A21" w:rsidP="001A4E5D">
            <w:pPr>
              <w:pStyle w:val="Tabletext"/>
              <w:jc w:val="center"/>
            </w:pPr>
            <w:r w:rsidRPr="00A14A21">
              <w:t>1</w:t>
            </w:r>
            <w:r w:rsidR="006F1999" w:rsidRPr="008724F1">
              <w:rPr>
                <w:vertAlign w:val="superscript"/>
              </w:rPr>
              <w:t>§</w:t>
            </w:r>
          </w:p>
        </w:tc>
      </w:tr>
      <w:tr w:rsidR="00A14A21" w:rsidRPr="00A14A21" w14:paraId="4BD80A3C" w14:textId="77777777" w:rsidTr="00FC18E4">
        <w:trPr>
          <w:trHeight w:val="259"/>
        </w:trPr>
        <w:tc>
          <w:tcPr>
            <w:tcW w:w="1560" w:type="dxa"/>
            <w:vMerge/>
            <w:tcBorders>
              <w:left w:val="single" w:sz="4" w:space="0" w:color="auto"/>
              <w:right w:val="single" w:sz="4" w:space="0" w:color="auto"/>
            </w:tcBorders>
          </w:tcPr>
          <w:p w14:paraId="68BC8923" w14:textId="77777777" w:rsidR="00A14A21" w:rsidRPr="00A14A21" w:rsidRDefault="00A14A21" w:rsidP="001A4E5D">
            <w:pPr>
              <w:pStyle w:val="Tabletext"/>
            </w:pPr>
          </w:p>
        </w:tc>
        <w:tc>
          <w:tcPr>
            <w:tcW w:w="1561" w:type="dxa"/>
            <w:vMerge w:val="restart"/>
            <w:tcBorders>
              <w:top w:val="single" w:sz="4" w:space="0" w:color="auto"/>
              <w:left w:val="single" w:sz="4" w:space="0" w:color="auto"/>
              <w:right w:val="single" w:sz="4" w:space="0" w:color="auto"/>
            </w:tcBorders>
            <w:vAlign w:val="center"/>
          </w:tcPr>
          <w:p w14:paraId="23E5F0F6" w14:textId="77777777" w:rsidR="00A14A21" w:rsidRPr="00A14A21" w:rsidRDefault="00A14A21" w:rsidP="001A4E5D">
            <w:pPr>
              <w:pStyle w:val="Tabletext"/>
            </w:pPr>
            <w:r w:rsidRPr="00A14A21">
              <w:t>12–59 months</w:t>
            </w:r>
          </w:p>
        </w:tc>
        <w:tc>
          <w:tcPr>
            <w:tcW w:w="1482" w:type="dxa"/>
            <w:vMerge w:val="restart"/>
            <w:tcBorders>
              <w:top w:val="single" w:sz="4" w:space="0" w:color="auto"/>
              <w:left w:val="single" w:sz="4" w:space="0" w:color="auto"/>
              <w:bottom w:val="single" w:sz="4" w:space="0" w:color="auto"/>
              <w:right w:val="single" w:sz="4" w:space="0" w:color="auto"/>
            </w:tcBorders>
            <w:vAlign w:val="center"/>
          </w:tcPr>
          <w:p w14:paraId="4759E0C3" w14:textId="77777777" w:rsidR="00A14A21" w:rsidRPr="00A14A21" w:rsidRDefault="00A14A21" w:rsidP="001A4E5D">
            <w:pPr>
              <w:pStyle w:val="Tabletext"/>
              <w:jc w:val="center"/>
            </w:pPr>
            <w:r w:rsidRPr="00A14A21">
              <w:t>&lt;12 months</w:t>
            </w:r>
          </w:p>
        </w:tc>
        <w:tc>
          <w:tcPr>
            <w:tcW w:w="1482" w:type="dxa"/>
            <w:tcBorders>
              <w:top w:val="single" w:sz="4" w:space="0" w:color="auto"/>
              <w:left w:val="single" w:sz="4" w:space="0" w:color="auto"/>
              <w:bottom w:val="single" w:sz="4" w:space="0" w:color="auto"/>
              <w:right w:val="single" w:sz="4" w:space="0" w:color="auto"/>
            </w:tcBorders>
            <w:vAlign w:val="center"/>
          </w:tcPr>
          <w:p w14:paraId="5E10790C" w14:textId="77777777" w:rsidR="00A14A21" w:rsidRPr="00A14A21" w:rsidRDefault="00A14A21" w:rsidP="001A4E5D">
            <w:pPr>
              <w:pStyle w:val="Tabletext"/>
              <w:jc w:val="center"/>
            </w:pPr>
            <w:r w:rsidRPr="00A14A21">
              <w:t>&lt;12 months</w:t>
            </w:r>
          </w:p>
        </w:tc>
        <w:tc>
          <w:tcPr>
            <w:tcW w:w="1483" w:type="dxa"/>
            <w:tcBorders>
              <w:top w:val="single" w:sz="4" w:space="0" w:color="auto"/>
              <w:left w:val="single" w:sz="4" w:space="0" w:color="auto"/>
              <w:bottom w:val="single" w:sz="4" w:space="0" w:color="auto"/>
              <w:right w:val="single" w:sz="4" w:space="0" w:color="auto"/>
            </w:tcBorders>
            <w:vAlign w:val="center"/>
          </w:tcPr>
          <w:p w14:paraId="3900A3E4" w14:textId="77777777" w:rsidR="00A14A21" w:rsidRPr="00A14A21" w:rsidRDefault="00A14A21" w:rsidP="001A4E5D">
            <w:pPr>
              <w:pStyle w:val="Tabletext"/>
              <w:jc w:val="center"/>
            </w:pPr>
            <w:r w:rsidRPr="00A14A21">
              <w:t>Any age</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689C3632" w14:textId="77777777" w:rsidR="00A14A21" w:rsidRPr="00A14A21" w:rsidRDefault="00A14A21" w:rsidP="001A4E5D">
            <w:pPr>
              <w:pStyle w:val="Tabletext"/>
              <w:jc w:val="center"/>
            </w:pPr>
            <w:r w:rsidRPr="00A14A21">
              <w:t>1</w:t>
            </w:r>
          </w:p>
        </w:tc>
      </w:tr>
      <w:tr w:rsidR="00A14A21" w:rsidRPr="00A14A21" w14:paraId="0B9A0BCE" w14:textId="77777777" w:rsidTr="00FC18E4">
        <w:trPr>
          <w:trHeight w:val="278"/>
        </w:trPr>
        <w:tc>
          <w:tcPr>
            <w:tcW w:w="1560" w:type="dxa"/>
            <w:vMerge/>
            <w:tcBorders>
              <w:left w:val="single" w:sz="4" w:space="0" w:color="auto"/>
              <w:bottom w:val="single" w:sz="4" w:space="0" w:color="auto"/>
              <w:right w:val="single" w:sz="4" w:space="0" w:color="auto"/>
            </w:tcBorders>
          </w:tcPr>
          <w:p w14:paraId="3A0D731E" w14:textId="77777777" w:rsidR="00A14A21" w:rsidRPr="00A14A21" w:rsidRDefault="00A14A21" w:rsidP="001A4E5D">
            <w:pPr>
              <w:pStyle w:val="Tabletext"/>
            </w:pPr>
          </w:p>
        </w:tc>
        <w:tc>
          <w:tcPr>
            <w:tcW w:w="1561" w:type="dxa"/>
            <w:vMerge/>
            <w:tcBorders>
              <w:left w:val="single" w:sz="4" w:space="0" w:color="auto"/>
              <w:bottom w:val="single" w:sz="4" w:space="0" w:color="auto"/>
              <w:right w:val="single" w:sz="4" w:space="0" w:color="auto"/>
            </w:tcBorders>
            <w:vAlign w:val="center"/>
          </w:tcPr>
          <w:p w14:paraId="31061F24" w14:textId="77777777" w:rsidR="00A14A21" w:rsidRPr="00A14A21" w:rsidRDefault="00A14A21" w:rsidP="001A4E5D">
            <w:pPr>
              <w:pStyle w:val="Tabletext"/>
            </w:pPr>
          </w:p>
        </w:tc>
        <w:tc>
          <w:tcPr>
            <w:tcW w:w="1482" w:type="dxa"/>
            <w:vMerge/>
            <w:tcBorders>
              <w:top w:val="single" w:sz="4" w:space="0" w:color="auto"/>
              <w:left w:val="single" w:sz="4" w:space="0" w:color="auto"/>
              <w:bottom w:val="single" w:sz="4" w:space="0" w:color="auto"/>
              <w:right w:val="single" w:sz="4" w:space="0" w:color="auto"/>
            </w:tcBorders>
            <w:vAlign w:val="center"/>
          </w:tcPr>
          <w:p w14:paraId="52E5685E" w14:textId="77777777" w:rsidR="00A14A21" w:rsidRPr="00A14A21" w:rsidRDefault="00A14A21" w:rsidP="001A4E5D">
            <w:pPr>
              <w:pStyle w:val="Tabletext"/>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45E1B225" w14:textId="77777777" w:rsidR="00A14A21" w:rsidRPr="00A14A21" w:rsidRDefault="00A14A21" w:rsidP="001A4E5D">
            <w:pPr>
              <w:pStyle w:val="Tabletext"/>
              <w:jc w:val="center"/>
            </w:pPr>
            <w:r w:rsidRPr="00A14A21">
              <w:t>≥12 months</w:t>
            </w:r>
          </w:p>
        </w:tc>
        <w:tc>
          <w:tcPr>
            <w:tcW w:w="1483" w:type="dxa"/>
            <w:tcBorders>
              <w:top w:val="single" w:sz="4" w:space="0" w:color="auto"/>
              <w:left w:val="single" w:sz="4" w:space="0" w:color="auto"/>
              <w:bottom w:val="single" w:sz="4" w:space="0" w:color="auto"/>
              <w:right w:val="single" w:sz="4" w:space="0" w:color="auto"/>
            </w:tcBorders>
            <w:vAlign w:val="center"/>
          </w:tcPr>
          <w:p w14:paraId="7E7C00AA" w14:textId="77777777" w:rsidR="00A14A21" w:rsidRPr="00A14A21" w:rsidRDefault="00A14A21" w:rsidP="001A4E5D">
            <w:pPr>
              <w:pStyle w:val="Tabletext"/>
              <w:jc w:val="center"/>
            </w:pPr>
            <w:r w:rsidRPr="00A14A21">
              <w:t>≥12 months</w:t>
            </w:r>
          </w:p>
        </w:tc>
        <w:tc>
          <w:tcPr>
            <w:tcW w:w="2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32880B" w14:textId="2EFB85E7" w:rsidR="00A14A21" w:rsidRPr="00A14A21" w:rsidRDefault="00256A52" w:rsidP="001A4E5D">
            <w:pPr>
              <w:pStyle w:val="Tabletext"/>
              <w:jc w:val="center"/>
            </w:pPr>
            <w:r>
              <w:t>None</w:t>
            </w:r>
          </w:p>
        </w:tc>
      </w:tr>
    </w:tbl>
    <w:p w14:paraId="08A28484" w14:textId="2E853231" w:rsidR="00250E38" w:rsidRPr="00DE4A0B" w:rsidRDefault="00B6750D" w:rsidP="001A4E5D">
      <w:pPr>
        <w:pStyle w:val="Tablefootnote"/>
      </w:pPr>
      <w:r>
        <w:t>*</w:t>
      </w:r>
      <w:r w:rsidR="001A4E5D">
        <w:tab/>
      </w:r>
      <w:r w:rsidR="008724F1" w:rsidRPr="00DE4A0B">
        <w:t xml:space="preserve">Recommendations for vaccination of </w:t>
      </w:r>
      <w:proofErr w:type="spellStart"/>
      <w:r w:rsidR="008724F1" w:rsidRPr="00DE4A0B">
        <w:t>haematopoietic</w:t>
      </w:r>
      <w:proofErr w:type="spellEnd"/>
      <w:r w:rsidR="008724F1" w:rsidRPr="00DE4A0B">
        <w:t xml:space="preserve"> stem cell transplant (HSCT) recipients differ</w:t>
      </w:r>
      <w:r w:rsidR="00114AAA" w:rsidRPr="00DE4A0B">
        <w:t>:</w:t>
      </w:r>
      <w:r w:rsidR="008724F1" w:rsidRPr="00DE4A0B">
        <w:t xml:space="preserve"> a separate table for revaccination following HSCT in children and adults w</w:t>
      </w:r>
      <w:r w:rsidR="00ED06FA" w:rsidRPr="00DE4A0B">
        <w:t xml:space="preserve">ill </w:t>
      </w:r>
      <w:r w:rsidR="008724F1" w:rsidRPr="00DE4A0B">
        <w:t xml:space="preserve">be included in </w:t>
      </w:r>
      <w:r w:rsidR="00ED06FA" w:rsidRPr="00DE4A0B">
        <w:t xml:space="preserve">upcoming updates to </w:t>
      </w:r>
      <w:r w:rsidRPr="003A74EA">
        <w:rPr>
          <w:i/>
        </w:rPr>
        <w:t>T</w:t>
      </w:r>
      <w:r w:rsidR="00ED06FA" w:rsidRPr="003A74EA">
        <w:rPr>
          <w:i/>
        </w:rPr>
        <w:t>he</w:t>
      </w:r>
      <w:r w:rsidR="008724F1" w:rsidRPr="003A74EA">
        <w:rPr>
          <w:i/>
        </w:rPr>
        <w:t xml:space="preserve"> Australian Immunisation Handbook</w:t>
      </w:r>
      <w:r w:rsidR="008724F1" w:rsidRPr="00DE4A0B">
        <w:t>.</w:t>
      </w:r>
    </w:p>
    <w:p w14:paraId="528A44EE" w14:textId="7CB8E08E" w:rsidR="00FC18E4" w:rsidRPr="00DE4A0B" w:rsidRDefault="00B6750D" w:rsidP="00FC18E4">
      <w:pPr>
        <w:pStyle w:val="Tablefootnote"/>
      </w:pPr>
      <w:r w:rsidRPr="00DE4A0B">
        <w:t>†</w:t>
      </w:r>
      <w:r w:rsidR="001A4E5D">
        <w:tab/>
      </w:r>
      <w:r w:rsidR="008724F1" w:rsidRPr="00DE4A0B">
        <w:t xml:space="preserve">Prior PCV doses may have been given as 7vPCV (e.g. from overseas), 10vPCV or 13vPCV. </w:t>
      </w:r>
      <w:r w:rsidR="00FC18E4">
        <w:t xml:space="preserve">Use </w:t>
      </w:r>
      <w:r w:rsidR="008724F1" w:rsidRPr="00DE4A0B">
        <w:t>13vPCV as the vaccine formulation for catch-up doses</w:t>
      </w:r>
      <w:r w:rsidR="00FC18E4">
        <w:t>,</w:t>
      </w:r>
      <w:r w:rsidR="008724F1" w:rsidRPr="00DE4A0B">
        <w:t xml:space="preserve"> regardless of </w:t>
      </w:r>
      <w:r w:rsidR="00FC18E4">
        <w:t>which</w:t>
      </w:r>
      <w:r w:rsidR="008724F1" w:rsidRPr="00DE4A0B">
        <w:t xml:space="preserve"> formulation</w:t>
      </w:r>
      <w:r w:rsidR="00FC18E4">
        <w:t xml:space="preserve"> of PCV</w:t>
      </w:r>
      <w:r w:rsidR="008724F1" w:rsidRPr="00DE4A0B">
        <w:t xml:space="preserve"> the child received previously.</w:t>
      </w:r>
    </w:p>
    <w:p w14:paraId="3C7BAE9E" w14:textId="15329ED8" w:rsidR="009B4924" w:rsidRPr="00DE4A0B" w:rsidRDefault="006F1999" w:rsidP="009B4924">
      <w:pPr>
        <w:pStyle w:val="Tablefootnote"/>
      </w:pPr>
      <w:r>
        <w:t>‡</w:t>
      </w:r>
      <w:r w:rsidR="001A4E5D">
        <w:tab/>
      </w:r>
      <w:r w:rsidR="008724F1" w:rsidRPr="00DE4A0B">
        <w:t>Where possible, align doses with the standard schedule points at 2, 4 and 6 months of age for infants. The minimum interval between dose(s) is 1 month if aged &lt;12 months, and 2 months if aged ≥12 months.</w:t>
      </w:r>
    </w:p>
    <w:p w14:paraId="423716FD" w14:textId="5204789E" w:rsidR="008724F1" w:rsidRPr="00DE4A0B" w:rsidRDefault="006F1999" w:rsidP="001A4E5D">
      <w:pPr>
        <w:pStyle w:val="Tablefootnote"/>
      </w:pPr>
      <w:r w:rsidRPr="00DE4A0B">
        <w:t>§</w:t>
      </w:r>
      <w:r w:rsidR="001A4E5D">
        <w:rPr>
          <w:vertAlign w:val="superscript"/>
        </w:rPr>
        <w:tab/>
      </w:r>
      <w:r w:rsidR="008724F1" w:rsidRPr="00DE4A0B">
        <w:t xml:space="preserve">The last dose should be given after the child reaches 12 months of age (as </w:t>
      </w:r>
      <w:r w:rsidR="00373DCF" w:rsidRPr="00DE4A0B">
        <w:t>a</w:t>
      </w:r>
      <w:r w:rsidR="008724F1" w:rsidRPr="00DE4A0B">
        <w:t xml:space="preserve"> booster dose)</w:t>
      </w:r>
      <w:r w:rsidR="003524FD" w:rsidRPr="00DE4A0B">
        <w:t xml:space="preserve"> </w:t>
      </w:r>
      <w:r w:rsidR="008724F1" w:rsidRPr="00DE4A0B">
        <w:t>with a minimum interval of 2 months</w:t>
      </w:r>
      <w:r w:rsidR="008724F1" w:rsidRPr="00DE4A0B" w:rsidDel="00AB1E1B">
        <w:t xml:space="preserve"> </w:t>
      </w:r>
      <w:r w:rsidR="008724F1" w:rsidRPr="00DE4A0B">
        <w:t xml:space="preserve">after </w:t>
      </w:r>
      <w:r w:rsidR="00B6750D">
        <w:t xml:space="preserve">the </w:t>
      </w:r>
      <w:r w:rsidR="00ED06FA" w:rsidRPr="00DE4A0B">
        <w:t>previous</w:t>
      </w:r>
      <w:r w:rsidR="008724F1" w:rsidRPr="00DE4A0B">
        <w:t xml:space="preserve"> </w:t>
      </w:r>
      <w:r w:rsidR="00ED06FA" w:rsidRPr="00DE4A0B">
        <w:t>dose</w:t>
      </w:r>
      <w:r w:rsidR="00696BC8" w:rsidRPr="00DE4A0B">
        <w:t xml:space="preserve"> of PCV</w:t>
      </w:r>
      <w:r w:rsidR="00B6750D">
        <w:t>.</w:t>
      </w:r>
      <w:r w:rsidR="00ED06FA" w:rsidRPr="00DE4A0B">
        <w:t xml:space="preserve"> </w:t>
      </w:r>
    </w:p>
    <w:p w14:paraId="24854C79" w14:textId="77777777" w:rsidR="00B371F3" w:rsidRDefault="00B371F3" w:rsidP="00DE622B">
      <w:pPr>
        <w:rPr>
          <w:rFonts w:cs="Arial"/>
          <w:sz w:val="22"/>
          <w:szCs w:val="26"/>
        </w:rPr>
      </w:pPr>
      <w:r>
        <w:br w:type="page"/>
      </w:r>
    </w:p>
    <w:p w14:paraId="1BDB7DDE" w14:textId="53DEC690" w:rsidR="00930E93" w:rsidRDefault="00930E93" w:rsidP="001A4E5D">
      <w:pPr>
        <w:pStyle w:val="Tableheading"/>
        <w:keepNext/>
      </w:pPr>
      <w:r w:rsidRPr="007C6867">
        <w:rPr>
          <w:b/>
          <w:i/>
        </w:rPr>
        <w:lastRenderedPageBreak/>
        <w:t>Table 2</w:t>
      </w:r>
      <w:r>
        <w:rPr>
          <w:b/>
          <w:i/>
        </w:rPr>
        <w:t>b</w:t>
      </w:r>
      <w:r w:rsidR="001A4E5D">
        <w:rPr>
          <w:b/>
          <w:i/>
        </w:rPr>
        <w:t>:</w:t>
      </w:r>
      <w:r w:rsidRPr="007C6867">
        <w:t xml:space="preserve"> Catch-up schedule for 13vPCV for </w:t>
      </w:r>
      <w:r>
        <w:t xml:space="preserve">all other </w:t>
      </w:r>
      <w:r w:rsidRPr="007C6867">
        <w:t>children</w:t>
      </w:r>
      <w:r>
        <w:t xml:space="preserve"> </w:t>
      </w:r>
      <w:r w:rsidRPr="007C6867">
        <w:t>aged &lt;5 years</w:t>
      </w:r>
      <w:r>
        <w:t xml:space="preserve"> (</w:t>
      </w:r>
      <w:r w:rsidR="00ED06FA">
        <w:t xml:space="preserve">not </w:t>
      </w:r>
      <w:r w:rsidR="009F1C0A">
        <w:t>covered</w:t>
      </w:r>
      <w:r>
        <w:t xml:space="preserve"> in Table 2a)</w:t>
      </w:r>
    </w:p>
    <w:tbl>
      <w:tblPr>
        <w:tblpPr w:leftFromText="180" w:rightFromText="180" w:vertAnchor="text" w:horzAnchor="margin" w:tblpY="14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2b Catch-up schedule for 13vPCV for all other children aged &lt;5 years (not covered in Table 2a)"/>
        <w:tblDescription w:val="This table shows the proposed catch-up schedules for all children not covered in table 2a, aged less than 5 years, who have not received any doses or only received incomplete courses of pneumococcal conjugate vaccines recommended for their age. The table gives the proposed catch up schedule recommendations according to the number of previous doses and the timing of any PCV doses already received and the age the child would present to immunisation service provider. The revised recommendations for catch up vaccinations for 13vPCV in this table are based on the same principles as for the revised schedule proposed for routine vaccinations for this group of children which is two primary doses with a booster dose at 12 months of age."/>
      </w:tblPr>
      <w:tblGrid>
        <w:gridCol w:w="1559"/>
        <w:gridCol w:w="1559"/>
        <w:gridCol w:w="1512"/>
        <w:gridCol w:w="1512"/>
        <w:gridCol w:w="1512"/>
        <w:gridCol w:w="2126"/>
      </w:tblGrid>
      <w:tr w:rsidR="00930E93" w:rsidRPr="00A14A21" w14:paraId="270CC3D9" w14:textId="77777777" w:rsidTr="00FC18E4">
        <w:trPr>
          <w:trHeight w:val="510"/>
        </w:trPr>
        <w:tc>
          <w:tcPr>
            <w:tcW w:w="1559" w:type="dxa"/>
            <w:vMerge w:val="restart"/>
            <w:shd w:val="pct70" w:color="auto" w:fill="auto"/>
            <w:tcMar>
              <w:top w:w="57" w:type="dxa"/>
              <w:bottom w:w="57" w:type="dxa"/>
            </w:tcMar>
            <w:vAlign w:val="center"/>
          </w:tcPr>
          <w:p w14:paraId="4E7871FC" w14:textId="77777777" w:rsidR="00930E93" w:rsidRPr="00A14A21" w:rsidRDefault="00930E93" w:rsidP="00B371F3">
            <w:pPr>
              <w:pStyle w:val="Tablecolumnheading"/>
              <w:keepNext/>
            </w:pPr>
            <w:r w:rsidRPr="00A14A21">
              <w:t>Number of doses given previously</w:t>
            </w:r>
          </w:p>
        </w:tc>
        <w:tc>
          <w:tcPr>
            <w:tcW w:w="1559" w:type="dxa"/>
            <w:vMerge w:val="restart"/>
            <w:shd w:val="pct70" w:color="auto" w:fill="auto"/>
            <w:tcMar>
              <w:top w:w="57" w:type="dxa"/>
              <w:bottom w:w="57" w:type="dxa"/>
            </w:tcMar>
            <w:vAlign w:val="center"/>
          </w:tcPr>
          <w:p w14:paraId="7DB99D32" w14:textId="77777777" w:rsidR="00930E93" w:rsidRPr="00A14A21" w:rsidRDefault="00930E93" w:rsidP="00B371F3">
            <w:pPr>
              <w:pStyle w:val="Tablecolumnheading"/>
              <w:keepNext/>
            </w:pPr>
            <w:r w:rsidRPr="00A14A21">
              <w:t>Age at presentation</w:t>
            </w:r>
          </w:p>
        </w:tc>
        <w:tc>
          <w:tcPr>
            <w:tcW w:w="4536" w:type="dxa"/>
            <w:gridSpan w:val="3"/>
            <w:shd w:val="pct70" w:color="auto" w:fill="auto"/>
            <w:tcMar>
              <w:top w:w="57" w:type="dxa"/>
              <w:bottom w:w="57" w:type="dxa"/>
            </w:tcMar>
            <w:vAlign w:val="center"/>
          </w:tcPr>
          <w:p w14:paraId="54D08066" w14:textId="77777777" w:rsidR="00930E93" w:rsidRPr="00A14A21" w:rsidRDefault="00930E93" w:rsidP="00B371F3">
            <w:pPr>
              <w:pStyle w:val="Tablecolumnheading"/>
              <w:keepNext/>
            </w:pPr>
            <w:r w:rsidRPr="00A14A21">
              <w:t>Age when previous dose of any PCV* was given</w:t>
            </w:r>
          </w:p>
        </w:tc>
        <w:tc>
          <w:tcPr>
            <w:tcW w:w="2126" w:type="dxa"/>
            <w:shd w:val="pct70" w:color="auto" w:fill="auto"/>
            <w:tcMar>
              <w:top w:w="57" w:type="dxa"/>
              <w:bottom w:w="57" w:type="dxa"/>
            </w:tcMar>
            <w:vAlign w:val="center"/>
          </w:tcPr>
          <w:p w14:paraId="5553EC6F" w14:textId="247477CD" w:rsidR="00930E93" w:rsidRPr="00CE51B1" w:rsidRDefault="00930E93" w:rsidP="006F1999">
            <w:pPr>
              <w:pStyle w:val="Tablecolumnheading"/>
              <w:keepNext/>
            </w:pPr>
            <w:r w:rsidRPr="00A14A21">
              <w:t>Recommendation</w:t>
            </w:r>
            <w:r w:rsidR="006F1999">
              <w:rPr>
                <w:vertAlign w:val="superscript"/>
              </w:rPr>
              <w:t>†</w:t>
            </w:r>
          </w:p>
        </w:tc>
      </w:tr>
      <w:tr w:rsidR="00930E93" w:rsidRPr="00A14A21" w14:paraId="2700F55D" w14:textId="77777777" w:rsidTr="00FC18E4">
        <w:trPr>
          <w:trHeight w:val="448"/>
        </w:trPr>
        <w:tc>
          <w:tcPr>
            <w:tcW w:w="1559" w:type="dxa"/>
            <w:vMerge/>
            <w:shd w:val="pct70" w:color="auto" w:fill="auto"/>
            <w:tcMar>
              <w:top w:w="57" w:type="dxa"/>
              <w:bottom w:w="57" w:type="dxa"/>
            </w:tcMar>
          </w:tcPr>
          <w:p w14:paraId="2FC22D95" w14:textId="77777777" w:rsidR="00930E93" w:rsidRPr="00A14A21" w:rsidRDefault="00930E93" w:rsidP="00B371F3">
            <w:pPr>
              <w:pStyle w:val="Tablecolumnheading"/>
              <w:keepNext/>
            </w:pPr>
          </w:p>
        </w:tc>
        <w:tc>
          <w:tcPr>
            <w:tcW w:w="1559" w:type="dxa"/>
            <w:vMerge/>
            <w:shd w:val="pct70" w:color="auto" w:fill="auto"/>
            <w:tcMar>
              <w:top w:w="57" w:type="dxa"/>
              <w:bottom w:w="57" w:type="dxa"/>
            </w:tcMar>
          </w:tcPr>
          <w:p w14:paraId="475B6720" w14:textId="77777777" w:rsidR="00930E93" w:rsidRPr="00A14A21" w:rsidRDefault="00930E93" w:rsidP="00B371F3">
            <w:pPr>
              <w:pStyle w:val="Tablecolumnheading"/>
              <w:keepNext/>
            </w:pPr>
          </w:p>
        </w:tc>
        <w:tc>
          <w:tcPr>
            <w:tcW w:w="1512" w:type="dxa"/>
            <w:shd w:val="pct70" w:color="auto" w:fill="auto"/>
            <w:tcMar>
              <w:top w:w="57" w:type="dxa"/>
              <w:bottom w:w="57" w:type="dxa"/>
            </w:tcMar>
            <w:vAlign w:val="center"/>
          </w:tcPr>
          <w:p w14:paraId="189000BB" w14:textId="77777777" w:rsidR="00930E93" w:rsidRPr="00A14A21" w:rsidRDefault="00930E93" w:rsidP="00B371F3">
            <w:pPr>
              <w:pStyle w:val="Tablecolumnheading"/>
              <w:keepNext/>
            </w:pPr>
            <w:r w:rsidRPr="00A14A21">
              <w:t>1st dose</w:t>
            </w:r>
          </w:p>
        </w:tc>
        <w:tc>
          <w:tcPr>
            <w:tcW w:w="1512" w:type="dxa"/>
            <w:shd w:val="pct70" w:color="auto" w:fill="auto"/>
            <w:tcMar>
              <w:top w:w="57" w:type="dxa"/>
              <w:bottom w:w="57" w:type="dxa"/>
            </w:tcMar>
            <w:vAlign w:val="center"/>
          </w:tcPr>
          <w:p w14:paraId="6778D20F" w14:textId="77777777" w:rsidR="00930E93" w:rsidRPr="00A14A21" w:rsidRDefault="00930E93" w:rsidP="00B371F3">
            <w:pPr>
              <w:pStyle w:val="Tablecolumnheading"/>
              <w:keepNext/>
            </w:pPr>
            <w:r w:rsidRPr="00A14A21">
              <w:t>2nd dose</w:t>
            </w:r>
          </w:p>
        </w:tc>
        <w:tc>
          <w:tcPr>
            <w:tcW w:w="1512" w:type="dxa"/>
            <w:shd w:val="pct70" w:color="auto" w:fill="auto"/>
            <w:tcMar>
              <w:top w:w="57" w:type="dxa"/>
              <w:bottom w:w="57" w:type="dxa"/>
            </w:tcMar>
            <w:vAlign w:val="center"/>
          </w:tcPr>
          <w:p w14:paraId="211F7845" w14:textId="77777777" w:rsidR="00930E93" w:rsidRPr="00A14A21" w:rsidRDefault="00930E93" w:rsidP="00B371F3">
            <w:pPr>
              <w:pStyle w:val="Tablecolumnheading"/>
              <w:keepNext/>
            </w:pPr>
            <w:r w:rsidRPr="00A14A21">
              <w:t>3rd dose</w:t>
            </w:r>
          </w:p>
        </w:tc>
        <w:tc>
          <w:tcPr>
            <w:tcW w:w="2126" w:type="dxa"/>
            <w:shd w:val="pct70" w:color="auto" w:fill="auto"/>
            <w:tcMar>
              <w:top w:w="57" w:type="dxa"/>
              <w:bottom w:w="57" w:type="dxa"/>
            </w:tcMar>
          </w:tcPr>
          <w:p w14:paraId="4F55BB58" w14:textId="77777777" w:rsidR="00930E93" w:rsidRPr="00A14A21" w:rsidRDefault="00930E93" w:rsidP="00B371F3">
            <w:pPr>
              <w:pStyle w:val="Tablecolumnheading"/>
              <w:keepNext/>
            </w:pPr>
            <w:r w:rsidRPr="00A14A21">
              <w:t>Number of further dose(s) required</w:t>
            </w:r>
          </w:p>
        </w:tc>
      </w:tr>
      <w:tr w:rsidR="00930E93" w:rsidRPr="00A14A21" w14:paraId="721C3C4A" w14:textId="77777777" w:rsidTr="00FC18E4">
        <w:trPr>
          <w:trHeight w:val="262"/>
        </w:trPr>
        <w:tc>
          <w:tcPr>
            <w:tcW w:w="1559" w:type="dxa"/>
            <w:vMerge w:val="restart"/>
            <w:vAlign w:val="center"/>
          </w:tcPr>
          <w:p w14:paraId="6AD1B4D1" w14:textId="77777777" w:rsidR="00930E93" w:rsidRPr="00A14A21" w:rsidRDefault="00930E93" w:rsidP="00B371F3">
            <w:pPr>
              <w:pStyle w:val="Tabletext"/>
              <w:keepNext/>
            </w:pPr>
            <w:r w:rsidRPr="00A14A21">
              <w:t>No previous doses</w:t>
            </w:r>
          </w:p>
        </w:tc>
        <w:tc>
          <w:tcPr>
            <w:tcW w:w="1559" w:type="dxa"/>
            <w:vAlign w:val="center"/>
          </w:tcPr>
          <w:p w14:paraId="0A12B36F" w14:textId="77777777" w:rsidR="00930E93" w:rsidRPr="00A14A21" w:rsidRDefault="00930E93" w:rsidP="00B371F3">
            <w:pPr>
              <w:pStyle w:val="Tabletext"/>
              <w:keepNext/>
            </w:pPr>
            <w:r w:rsidRPr="00A14A21">
              <w:t>&lt;12 months</w:t>
            </w:r>
          </w:p>
        </w:tc>
        <w:tc>
          <w:tcPr>
            <w:tcW w:w="1512" w:type="dxa"/>
            <w:vAlign w:val="center"/>
          </w:tcPr>
          <w:p w14:paraId="0A7A6665" w14:textId="77777777" w:rsidR="00930E93" w:rsidRPr="00A14A21" w:rsidRDefault="00930E93" w:rsidP="00B371F3">
            <w:pPr>
              <w:pStyle w:val="Tabletext"/>
              <w:keepNext/>
              <w:jc w:val="center"/>
            </w:pPr>
            <w:r w:rsidRPr="00A14A21">
              <w:t>–</w:t>
            </w:r>
          </w:p>
        </w:tc>
        <w:tc>
          <w:tcPr>
            <w:tcW w:w="1512" w:type="dxa"/>
            <w:vAlign w:val="center"/>
          </w:tcPr>
          <w:p w14:paraId="14B6E598" w14:textId="77777777" w:rsidR="00930E93" w:rsidRPr="00A14A21" w:rsidRDefault="00930E93" w:rsidP="00B371F3">
            <w:pPr>
              <w:pStyle w:val="Tabletext"/>
              <w:keepNext/>
              <w:jc w:val="center"/>
            </w:pPr>
            <w:r w:rsidRPr="00A14A21">
              <w:t>–</w:t>
            </w:r>
          </w:p>
        </w:tc>
        <w:tc>
          <w:tcPr>
            <w:tcW w:w="1512" w:type="dxa"/>
            <w:vAlign w:val="center"/>
          </w:tcPr>
          <w:p w14:paraId="4792B4D6" w14:textId="77777777" w:rsidR="00930E93" w:rsidRPr="00A14A21" w:rsidRDefault="00930E93" w:rsidP="00B371F3">
            <w:pPr>
              <w:pStyle w:val="Tabletext"/>
              <w:keepNext/>
              <w:jc w:val="center"/>
            </w:pPr>
            <w:r w:rsidRPr="00A14A21">
              <w:t>–</w:t>
            </w:r>
          </w:p>
        </w:tc>
        <w:tc>
          <w:tcPr>
            <w:tcW w:w="2126" w:type="dxa"/>
            <w:vAlign w:val="center"/>
          </w:tcPr>
          <w:p w14:paraId="62304D8E" w14:textId="2324C61F" w:rsidR="00930E93" w:rsidRPr="00A14A21" w:rsidRDefault="00930E93" w:rsidP="006F1999">
            <w:pPr>
              <w:pStyle w:val="Tabletext"/>
              <w:keepNext/>
              <w:jc w:val="center"/>
            </w:pPr>
            <w:r w:rsidRPr="00A14A21">
              <w:t>3</w:t>
            </w:r>
            <w:r w:rsidR="006F1999" w:rsidRPr="00C805A3">
              <w:rPr>
                <w:vertAlign w:val="superscript"/>
              </w:rPr>
              <w:t>‡</w:t>
            </w:r>
          </w:p>
        </w:tc>
      </w:tr>
      <w:tr w:rsidR="00930E93" w:rsidRPr="00A14A21" w14:paraId="15934C98" w14:textId="77777777" w:rsidTr="00FC18E4">
        <w:trPr>
          <w:trHeight w:val="260"/>
        </w:trPr>
        <w:tc>
          <w:tcPr>
            <w:tcW w:w="1559" w:type="dxa"/>
            <w:vMerge/>
            <w:vAlign w:val="center"/>
          </w:tcPr>
          <w:p w14:paraId="4041DED1" w14:textId="77777777" w:rsidR="00930E93" w:rsidRPr="00A14A21" w:rsidRDefault="00930E93" w:rsidP="00B371F3">
            <w:pPr>
              <w:pStyle w:val="Tabletext"/>
              <w:keepNext/>
            </w:pPr>
          </w:p>
        </w:tc>
        <w:tc>
          <w:tcPr>
            <w:tcW w:w="1559" w:type="dxa"/>
            <w:vAlign w:val="center"/>
          </w:tcPr>
          <w:p w14:paraId="3A0DBC09" w14:textId="77777777" w:rsidR="00930E93" w:rsidRPr="00A14A21" w:rsidRDefault="00930E93" w:rsidP="00B371F3">
            <w:pPr>
              <w:pStyle w:val="Tabletext"/>
              <w:keepNext/>
            </w:pPr>
            <w:r w:rsidRPr="00A14A21">
              <w:t>12–59 months</w:t>
            </w:r>
          </w:p>
        </w:tc>
        <w:tc>
          <w:tcPr>
            <w:tcW w:w="1512" w:type="dxa"/>
            <w:vAlign w:val="center"/>
          </w:tcPr>
          <w:p w14:paraId="3BF38361" w14:textId="77777777" w:rsidR="00930E93" w:rsidRPr="00A14A21" w:rsidRDefault="00930E93" w:rsidP="00B371F3">
            <w:pPr>
              <w:pStyle w:val="Tabletext"/>
              <w:keepNext/>
              <w:jc w:val="center"/>
            </w:pPr>
            <w:r w:rsidRPr="00A14A21">
              <w:t>–</w:t>
            </w:r>
          </w:p>
        </w:tc>
        <w:tc>
          <w:tcPr>
            <w:tcW w:w="1512" w:type="dxa"/>
            <w:vAlign w:val="center"/>
          </w:tcPr>
          <w:p w14:paraId="0803FF7A" w14:textId="77777777" w:rsidR="00930E93" w:rsidRPr="00A14A21" w:rsidRDefault="00930E93" w:rsidP="00B371F3">
            <w:pPr>
              <w:pStyle w:val="Tabletext"/>
              <w:keepNext/>
              <w:jc w:val="center"/>
            </w:pPr>
            <w:r w:rsidRPr="00A14A21">
              <w:t>–</w:t>
            </w:r>
          </w:p>
        </w:tc>
        <w:tc>
          <w:tcPr>
            <w:tcW w:w="1512" w:type="dxa"/>
            <w:vAlign w:val="center"/>
          </w:tcPr>
          <w:p w14:paraId="1C6C99A1" w14:textId="77777777" w:rsidR="00930E93" w:rsidRPr="00A14A21" w:rsidRDefault="00930E93" w:rsidP="00B371F3">
            <w:pPr>
              <w:pStyle w:val="Tabletext"/>
              <w:keepNext/>
              <w:jc w:val="center"/>
            </w:pPr>
            <w:r w:rsidRPr="00A14A21">
              <w:t>–</w:t>
            </w:r>
          </w:p>
        </w:tc>
        <w:tc>
          <w:tcPr>
            <w:tcW w:w="2126" w:type="dxa"/>
            <w:vAlign w:val="center"/>
          </w:tcPr>
          <w:p w14:paraId="0D4E72B5" w14:textId="77777777" w:rsidR="00930E93" w:rsidRPr="00A14A21" w:rsidRDefault="00930E93" w:rsidP="00B371F3">
            <w:pPr>
              <w:pStyle w:val="Tabletext"/>
              <w:keepNext/>
              <w:jc w:val="center"/>
            </w:pPr>
            <w:r w:rsidRPr="00A14A21">
              <w:t>1</w:t>
            </w:r>
          </w:p>
        </w:tc>
      </w:tr>
      <w:tr w:rsidR="00930E93" w:rsidRPr="00A14A21" w14:paraId="3AF6E17C" w14:textId="77777777" w:rsidTr="00FC18E4">
        <w:trPr>
          <w:trHeight w:val="260"/>
        </w:trPr>
        <w:tc>
          <w:tcPr>
            <w:tcW w:w="1559" w:type="dxa"/>
            <w:vMerge w:val="restart"/>
            <w:vAlign w:val="center"/>
          </w:tcPr>
          <w:p w14:paraId="4EEE1798" w14:textId="77777777" w:rsidR="00930E93" w:rsidRPr="00A14A21" w:rsidRDefault="00930E93" w:rsidP="00B371F3">
            <w:pPr>
              <w:pStyle w:val="Tabletext"/>
              <w:keepNext/>
            </w:pPr>
            <w:r w:rsidRPr="00A14A21">
              <w:t>1 previous dose</w:t>
            </w:r>
          </w:p>
        </w:tc>
        <w:tc>
          <w:tcPr>
            <w:tcW w:w="1559" w:type="dxa"/>
            <w:vAlign w:val="center"/>
          </w:tcPr>
          <w:p w14:paraId="1F0BFAC9" w14:textId="77777777" w:rsidR="00930E93" w:rsidRPr="00A14A21" w:rsidRDefault="00930E93" w:rsidP="00B371F3">
            <w:pPr>
              <w:pStyle w:val="Tabletext"/>
              <w:keepNext/>
            </w:pPr>
            <w:r w:rsidRPr="00A14A21">
              <w:t>&lt;12 months</w:t>
            </w:r>
          </w:p>
        </w:tc>
        <w:tc>
          <w:tcPr>
            <w:tcW w:w="1512" w:type="dxa"/>
            <w:vAlign w:val="center"/>
          </w:tcPr>
          <w:p w14:paraId="29A0BF52" w14:textId="77777777" w:rsidR="00930E93" w:rsidRPr="00A14A21" w:rsidRDefault="00930E93" w:rsidP="00B371F3">
            <w:pPr>
              <w:pStyle w:val="Tabletext"/>
              <w:keepNext/>
              <w:jc w:val="center"/>
            </w:pPr>
            <w:r w:rsidRPr="00A14A21">
              <w:t>&lt;12 months</w:t>
            </w:r>
          </w:p>
        </w:tc>
        <w:tc>
          <w:tcPr>
            <w:tcW w:w="1512" w:type="dxa"/>
            <w:vAlign w:val="center"/>
          </w:tcPr>
          <w:p w14:paraId="16D87F83" w14:textId="77777777" w:rsidR="00930E93" w:rsidRPr="00A14A21" w:rsidRDefault="00930E93" w:rsidP="00B371F3">
            <w:pPr>
              <w:pStyle w:val="Tabletext"/>
              <w:keepNext/>
              <w:jc w:val="center"/>
            </w:pPr>
            <w:r w:rsidRPr="00A14A21">
              <w:t>–</w:t>
            </w:r>
          </w:p>
        </w:tc>
        <w:tc>
          <w:tcPr>
            <w:tcW w:w="1512" w:type="dxa"/>
            <w:vAlign w:val="center"/>
          </w:tcPr>
          <w:p w14:paraId="0AA08C73" w14:textId="77777777" w:rsidR="00930E93" w:rsidRPr="00A14A21" w:rsidRDefault="00930E93" w:rsidP="00B371F3">
            <w:pPr>
              <w:pStyle w:val="Tabletext"/>
              <w:keepNext/>
              <w:jc w:val="center"/>
            </w:pPr>
            <w:r w:rsidRPr="00A14A21">
              <w:t>–</w:t>
            </w:r>
          </w:p>
        </w:tc>
        <w:tc>
          <w:tcPr>
            <w:tcW w:w="2126" w:type="dxa"/>
            <w:vAlign w:val="center"/>
          </w:tcPr>
          <w:p w14:paraId="4C38D2AC" w14:textId="54D15426" w:rsidR="00930E93" w:rsidRPr="00A14A21" w:rsidRDefault="00930E93" w:rsidP="006F1999">
            <w:pPr>
              <w:pStyle w:val="Tabletext"/>
              <w:keepNext/>
              <w:jc w:val="center"/>
            </w:pPr>
            <w:r w:rsidRPr="00A14A21">
              <w:t>2</w:t>
            </w:r>
            <w:r w:rsidR="006F1999" w:rsidRPr="001E3A96">
              <w:rPr>
                <w:vertAlign w:val="superscript"/>
              </w:rPr>
              <w:t>‡</w:t>
            </w:r>
          </w:p>
        </w:tc>
      </w:tr>
      <w:tr w:rsidR="00930E93" w:rsidRPr="00A14A21" w14:paraId="3DC74E4A" w14:textId="77777777" w:rsidTr="00FC18E4">
        <w:trPr>
          <w:trHeight w:val="262"/>
        </w:trPr>
        <w:tc>
          <w:tcPr>
            <w:tcW w:w="1559" w:type="dxa"/>
            <w:vMerge/>
            <w:vAlign w:val="center"/>
          </w:tcPr>
          <w:p w14:paraId="2C351316" w14:textId="77777777" w:rsidR="00930E93" w:rsidRPr="00A14A21" w:rsidRDefault="00930E93" w:rsidP="00B371F3">
            <w:pPr>
              <w:pStyle w:val="Tabletext"/>
              <w:keepNext/>
            </w:pPr>
          </w:p>
        </w:tc>
        <w:tc>
          <w:tcPr>
            <w:tcW w:w="1559" w:type="dxa"/>
            <w:vMerge w:val="restart"/>
            <w:vAlign w:val="center"/>
          </w:tcPr>
          <w:p w14:paraId="0B29FFF2" w14:textId="77777777" w:rsidR="00930E93" w:rsidRPr="00A14A21" w:rsidRDefault="00930E93" w:rsidP="00B371F3">
            <w:pPr>
              <w:pStyle w:val="Tabletext"/>
              <w:keepNext/>
            </w:pPr>
            <w:r w:rsidRPr="00A14A21">
              <w:t>12–59 months</w:t>
            </w:r>
          </w:p>
        </w:tc>
        <w:tc>
          <w:tcPr>
            <w:tcW w:w="1512" w:type="dxa"/>
            <w:vAlign w:val="center"/>
          </w:tcPr>
          <w:p w14:paraId="654CAF4B" w14:textId="77777777" w:rsidR="00930E93" w:rsidRPr="00A14A21" w:rsidRDefault="00930E93" w:rsidP="00B371F3">
            <w:pPr>
              <w:pStyle w:val="Tabletext"/>
              <w:keepNext/>
              <w:jc w:val="center"/>
            </w:pPr>
            <w:r w:rsidRPr="00A14A21">
              <w:t>&lt;12 months</w:t>
            </w:r>
          </w:p>
        </w:tc>
        <w:tc>
          <w:tcPr>
            <w:tcW w:w="1512" w:type="dxa"/>
            <w:vAlign w:val="center"/>
          </w:tcPr>
          <w:p w14:paraId="49EDBBEB" w14:textId="77777777" w:rsidR="00930E93" w:rsidRPr="00A14A21" w:rsidRDefault="00930E93" w:rsidP="00B371F3">
            <w:pPr>
              <w:pStyle w:val="Tabletext"/>
              <w:keepNext/>
              <w:jc w:val="center"/>
            </w:pPr>
            <w:r w:rsidRPr="00A14A21">
              <w:t>–</w:t>
            </w:r>
          </w:p>
        </w:tc>
        <w:tc>
          <w:tcPr>
            <w:tcW w:w="1512" w:type="dxa"/>
            <w:vAlign w:val="center"/>
          </w:tcPr>
          <w:p w14:paraId="404F00E3" w14:textId="77777777" w:rsidR="00930E93" w:rsidRPr="00A14A21" w:rsidRDefault="00930E93" w:rsidP="00B371F3">
            <w:pPr>
              <w:pStyle w:val="Tabletext"/>
              <w:keepNext/>
              <w:jc w:val="center"/>
            </w:pPr>
            <w:r w:rsidRPr="00A14A21">
              <w:t>–</w:t>
            </w:r>
          </w:p>
        </w:tc>
        <w:tc>
          <w:tcPr>
            <w:tcW w:w="2126" w:type="dxa"/>
            <w:tcBorders>
              <w:bottom w:val="single" w:sz="4" w:space="0" w:color="auto"/>
            </w:tcBorders>
            <w:vAlign w:val="center"/>
          </w:tcPr>
          <w:p w14:paraId="31E1C820" w14:textId="77777777" w:rsidR="00930E93" w:rsidRPr="00A14A21" w:rsidRDefault="00930E93" w:rsidP="00B371F3">
            <w:pPr>
              <w:pStyle w:val="Tabletext"/>
              <w:keepNext/>
              <w:jc w:val="center"/>
            </w:pPr>
            <w:r w:rsidRPr="00A14A21">
              <w:t>1</w:t>
            </w:r>
          </w:p>
        </w:tc>
      </w:tr>
      <w:tr w:rsidR="00930E93" w:rsidRPr="00A14A21" w14:paraId="705DAF52" w14:textId="77777777" w:rsidTr="00FC18E4">
        <w:trPr>
          <w:trHeight w:val="268"/>
        </w:trPr>
        <w:tc>
          <w:tcPr>
            <w:tcW w:w="1559" w:type="dxa"/>
            <w:vMerge/>
            <w:vAlign w:val="center"/>
          </w:tcPr>
          <w:p w14:paraId="22133E7B" w14:textId="77777777" w:rsidR="00930E93" w:rsidRPr="00A14A21" w:rsidRDefault="00930E93" w:rsidP="00B371F3">
            <w:pPr>
              <w:pStyle w:val="Tabletext"/>
              <w:keepNext/>
            </w:pPr>
          </w:p>
        </w:tc>
        <w:tc>
          <w:tcPr>
            <w:tcW w:w="1559" w:type="dxa"/>
            <w:vMerge/>
            <w:vAlign w:val="center"/>
          </w:tcPr>
          <w:p w14:paraId="5750C71B" w14:textId="77777777" w:rsidR="00930E93" w:rsidRPr="00A14A21" w:rsidRDefault="00930E93" w:rsidP="00B371F3">
            <w:pPr>
              <w:pStyle w:val="Tabletext"/>
              <w:keepNext/>
            </w:pPr>
          </w:p>
        </w:tc>
        <w:tc>
          <w:tcPr>
            <w:tcW w:w="1512" w:type="dxa"/>
            <w:vAlign w:val="center"/>
          </w:tcPr>
          <w:p w14:paraId="50F32927" w14:textId="77777777" w:rsidR="00930E93" w:rsidRPr="00A14A21" w:rsidRDefault="00930E93" w:rsidP="00B371F3">
            <w:pPr>
              <w:pStyle w:val="Tabletext"/>
              <w:keepNext/>
              <w:jc w:val="center"/>
            </w:pPr>
            <w:r w:rsidRPr="00A14A21">
              <w:t>≥12 months</w:t>
            </w:r>
          </w:p>
        </w:tc>
        <w:tc>
          <w:tcPr>
            <w:tcW w:w="1512" w:type="dxa"/>
            <w:vAlign w:val="center"/>
          </w:tcPr>
          <w:p w14:paraId="1B7EAEE9" w14:textId="77777777" w:rsidR="00930E93" w:rsidRPr="00A14A21" w:rsidRDefault="00930E93" w:rsidP="00B371F3">
            <w:pPr>
              <w:pStyle w:val="Tabletext"/>
              <w:keepNext/>
              <w:jc w:val="center"/>
            </w:pPr>
            <w:r w:rsidRPr="00A14A21">
              <w:t>–</w:t>
            </w:r>
          </w:p>
        </w:tc>
        <w:tc>
          <w:tcPr>
            <w:tcW w:w="1512" w:type="dxa"/>
            <w:vAlign w:val="center"/>
          </w:tcPr>
          <w:p w14:paraId="6608F024" w14:textId="77777777" w:rsidR="00930E93" w:rsidRPr="00A14A21" w:rsidRDefault="00930E93" w:rsidP="00B371F3">
            <w:pPr>
              <w:pStyle w:val="Tabletext"/>
              <w:keepNext/>
              <w:jc w:val="center"/>
            </w:pPr>
            <w:r w:rsidRPr="00A14A21">
              <w:t>–</w:t>
            </w:r>
          </w:p>
        </w:tc>
        <w:tc>
          <w:tcPr>
            <w:tcW w:w="2126" w:type="dxa"/>
            <w:shd w:val="clear" w:color="auto" w:fill="BFBFBF" w:themeFill="background1" w:themeFillShade="BF"/>
            <w:vAlign w:val="center"/>
          </w:tcPr>
          <w:p w14:paraId="7FF18A90" w14:textId="77777777" w:rsidR="00930E93" w:rsidRPr="00A14A21" w:rsidRDefault="00930E93" w:rsidP="00B371F3">
            <w:pPr>
              <w:pStyle w:val="Tabletext"/>
              <w:keepNext/>
              <w:jc w:val="center"/>
            </w:pPr>
            <w:r w:rsidRPr="00A14A21">
              <w:t>None</w:t>
            </w:r>
          </w:p>
        </w:tc>
      </w:tr>
      <w:tr w:rsidR="00930E93" w:rsidRPr="00A14A21" w14:paraId="008D0CAE" w14:textId="77777777" w:rsidTr="00FC18E4">
        <w:trPr>
          <w:trHeight w:val="262"/>
        </w:trPr>
        <w:tc>
          <w:tcPr>
            <w:tcW w:w="1559" w:type="dxa"/>
            <w:vMerge w:val="restart"/>
            <w:vAlign w:val="center"/>
          </w:tcPr>
          <w:p w14:paraId="551BC41D" w14:textId="77777777" w:rsidR="00930E93" w:rsidRPr="00A14A21" w:rsidRDefault="00930E93" w:rsidP="00B371F3">
            <w:pPr>
              <w:pStyle w:val="Tabletext"/>
              <w:keepNext/>
            </w:pPr>
            <w:r w:rsidRPr="00A14A21">
              <w:t>2 previous doses</w:t>
            </w:r>
          </w:p>
        </w:tc>
        <w:tc>
          <w:tcPr>
            <w:tcW w:w="1559" w:type="dxa"/>
            <w:vAlign w:val="center"/>
          </w:tcPr>
          <w:p w14:paraId="253F78F5" w14:textId="77777777" w:rsidR="00930E93" w:rsidRPr="00A14A21" w:rsidRDefault="00930E93" w:rsidP="00B371F3">
            <w:pPr>
              <w:pStyle w:val="Tabletext"/>
              <w:keepNext/>
            </w:pPr>
            <w:r w:rsidRPr="00A14A21">
              <w:t>&lt;12 months</w:t>
            </w:r>
          </w:p>
        </w:tc>
        <w:tc>
          <w:tcPr>
            <w:tcW w:w="1512" w:type="dxa"/>
            <w:vAlign w:val="center"/>
          </w:tcPr>
          <w:p w14:paraId="0F10227A" w14:textId="77777777" w:rsidR="00930E93" w:rsidRPr="00A14A21" w:rsidRDefault="00930E93" w:rsidP="00B371F3">
            <w:pPr>
              <w:pStyle w:val="Tabletext"/>
              <w:keepNext/>
              <w:jc w:val="center"/>
            </w:pPr>
            <w:r w:rsidRPr="00A14A21">
              <w:t>&lt;12 months</w:t>
            </w:r>
          </w:p>
        </w:tc>
        <w:tc>
          <w:tcPr>
            <w:tcW w:w="1512" w:type="dxa"/>
            <w:vAlign w:val="center"/>
          </w:tcPr>
          <w:p w14:paraId="79076321" w14:textId="77777777" w:rsidR="00930E93" w:rsidRPr="00A14A21" w:rsidRDefault="00930E93" w:rsidP="00B371F3">
            <w:pPr>
              <w:pStyle w:val="Tabletext"/>
              <w:keepNext/>
              <w:jc w:val="center"/>
            </w:pPr>
            <w:r w:rsidRPr="00A14A21">
              <w:t>&lt;12 months</w:t>
            </w:r>
          </w:p>
        </w:tc>
        <w:tc>
          <w:tcPr>
            <w:tcW w:w="1512" w:type="dxa"/>
            <w:vAlign w:val="center"/>
          </w:tcPr>
          <w:p w14:paraId="2B72EDC3" w14:textId="77777777" w:rsidR="00930E93" w:rsidRPr="00A14A21" w:rsidRDefault="00930E93" w:rsidP="00B371F3">
            <w:pPr>
              <w:pStyle w:val="Tabletext"/>
              <w:keepNext/>
              <w:jc w:val="center"/>
            </w:pPr>
            <w:r w:rsidRPr="00A14A21">
              <w:t>–</w:t>
            </w:r>
          </w:p>
        </w:tc>
        <w:tc>
          <w:tcPr>
            <w:tcW w:w="2126" w:type="dxa"/>
            <w:vAlign w:val="center"/>
          </w:tcPr>
          <w:p w14:paraId="73182695" w14:textId="7D961B2E" w:rsidR="00930E93" w:rsidRPr="00A14A21" w:rsidRDefault="00930E93" w:rsidP="006F1999">
            <w:pPr>
              <w:pStyle w:val="Tabletext"/>
              <w:keepNext/>
              <w:jc w:val="center"/>
            </w:pPr>
            <w:r w:rsidRPr="00A14A21">
              <w:t>1</w:t>
            </w:r>
            <w:r w:rsidR="006F1999" w:rsidRPr="001E3A96">
              <w:rPr>
                <w:vertAlign w:val="superscript"/>
              </w:rPr>
              <w:t>‡</w:t>
            </w:r>
          </w:p>
        </w:tc>
      </w:tr>
      <w:tr w:rsidR="00930E93" w:rsidRPr="00A14A21" w14:paraId="740ABA0E" w14:textId="77777777" w:rsidTr="00FC18E4">
        <w:trPr>
          <w:trHeight w:val="260"/>
        </w:trPr>
        <w:tc>
          <w:tcPr>
            <w:tcW w:w="1559" w:type="dxa"/>
            <w:vMerge/>
            <w:vAlign w:val="center"/>
          </w:tcPr>
          <w:p w14:paraId="3E2C2DED" w14:textId="77777777" w:rsidR="00930E93" w:rsidRPr="00A14A21" w:rsidRDefault="00930E93" w:rsidP="00B371F3">
            <w:pPr>
              <w:pStyle w:val="Tabletext"/>
              <w:keepNext/>
            </w:pPr>
          </w:p>
        </w:tc>
        <w:tc>
          <w:tcPr>
            <w:tcW w:w="1559" w:type="dxa"/>
            <w:vMerge w:val="restart"/>
            <w:vAlign w:val="center"/>
          </w:tcPr>
          <w:p w14:paraId="3FEAB836" w14:textId="77777777" w:rsidR="00930E93" w:rsidRPr="00A14A21" w:rsidRDefault="00930E93" w:rsidP="00B371F3">
            <w:pPr>
              <w:pStyle w:val="Tabletext"/>
              <w:keepNext/>
            </w:pPr>
            <w:r w:rsidRPr="00A14A21">
              <w:t>12–59 months</w:t>
            </w:r>
          </w:p>
        </w:tc>
        <w:tc>
          <w:tcPr>
            <w:tcW w:w="1512" w:type="dxa"/>
            <w:vMerge w:val="restart"/>
            <w:vAlign w:val="center"/>
          </w:tcPr>
          <w:p w14:paraId="2AA9D020" w14:textId="77777777" w:rsidR="00930E93" w:rsidRPr="00A14A21" w:rsidRDefault="00930E93" w:rsidP="00B371F3">
            <w:pPr>
              <w:pStyle w:val="Tabletext"/>
              <w:keepNext/>
              <w:jc w:val="center"/>
            </w:pPr>
            <w:r w:rsidRPr="00A14A21">
              <w:t>&lt;12 months</w:t>
            </w:r>
          </w:p>
        </w:tc>
        <w:tc>
          <w:tcPr>
            <w:tcW w:w="1512" w:type="dxa"/>
            <w:vAlign w:val="center"/>
          </w:tcPr>
          <w:p w14:paraId="4FA233AA" w14:textId="77777777" w:rsidR="00930E93" w:rsidRPr="00A14A21" w:rsidRDefault="00930E93" w:rsidP="00B371F3">
            <w:pPr>
              <w:pStyle w:val="Tabletext"/>
              <w:keepNext/>
              <w:jc w:val="center"/>
            </w:pPr>
            <w:r w:rsidRPr="00A14A21">
              <w:t>&lt;12 months</w:t>
            </w:r>
          </w:p>
        </w:tc>
        <w:tc>
          <w:tcPr>
            <w:tcW w:w="1512" w:type="dxa"/>
            <w:vAlign w:val="center"/>
          </w:tcPr>
          <w:p w14:paraId="1CA4EB02" w14:textId="77777777" w:rsidR="00930E93" w:rsidRPr="00A14A21" w:rsidRDefault="00930E93" w:rsidP="00B371F3">
            <w:pPr>
              <w:pStyle w:val="Tabletext"/>
              <w:keepNext/>
              <w:jc w:val="center"/>
            </w:pPr>
            <w:r w:rsidRPr="00A14A21">
              <w:t>–</w:t>
            </w:r>
          </w:p>
        </w:tc>
        <w:tc>
          <w:tcPr>
            <w:tcW w:w="2126" w:type="dxa"/>
            <w:tcBorders>
              <w:bottom w:val="single" w:sz="4" w:space="0" w:color="auto"/>
            </w:tcBorders>
            <w:vAlign w:val="center"/>
          </w:tcPr>
          <w:p w14:paraId="7DD874EE" w14:textId="77777777" w:rsidR="00930E93" w:rsidRPr="00A14A21" w:rsidRDefault="00930E93" w:rsidP="00B371F3">
            <w:pPr>
              <w:pStyle w:val="Tabletext"/>
              <w:keepNext/>
              <w:jc w:val="center"/>
            </w:pPr>
            <w:r w:rsidRPr="00A14A21">
              <w:t>1</w:t>
            </w:r>
          </w:p>
        </w:tc>
      </w:tr>
      <w:tr w:rsidR="00930E93" w:rsidRPr="00A14A21" w14:paraId="6A291867" w14:textId="77777777" w:rsidTr="00FC18E4">
        <w:trPr>
          <w:trHeight w:val="270"/>
        </w:trPr>
        <w:tc>
          <w:tcPr>
            <w:tcW w:w="1559" w:type="dxa"/>
            <w:vMerge/>
            <w:vAlign w:val="center"/>
          </w:tcPr>
          <w:p w14:paraId="5A90A4FE" w14:textId="77777777" w:rsidR="00930E93" w:rsidRPr="00A14A21" w:rsidRDefault="00930E93" w:rsidP="00B371F3">
            <w:pPr>
              <w:pStyle w:val="Tabletext"/>
              <w:keepNext/>
            </w:pPr>
          </w:p>
        </w:tc>
        <w:tc>
          <w:tcPr>
            <w:tcW w:w="1559" w:type="dxa"/>
            <w:vMerge/>
            <w:vAlign w:val="center"/>
          </w:tcPr>
          <w:p w14:paraId="7A16927D" w14:textId="77777777" w:rsidR="00930E93" w:rsidRPr="00A14A21" w:rsidRDefault="00930E93" w:rsidP="00B371F3">
            <w:pPr>
              <w:pStyle w:val="Tabletext"/>
              <w:keepNext/>
            </w:pPr>
          </w:p>
        </w:tc>
        <w:tc>
          <w:tcPr>
            <w:tcW w:w="1512" w:type="dxa"/>
            <w:vMerge/>
            <w:vAlign w:val="center"/>
          </w:tcPr>
          <w:p w14:paraId="4EFECD08" w14:textId="77777777" w:rsidR="00930E93" w:rsidRPr="00A14A21" w:rsidRDefault="00930E93" w:rsidP="00B371F3">
            <w:pPr>
              <w:pStyle w:val="Tabletext"/>
              <w:keepNext/>
              <w:jc w:val="center"/>
            </w:pPr>
          </w:p>
        </w:tc>
        <w:tc>
          <w:tcPr>
            <w:tcW w:w="1512" w:type="dxa"/>
            <w:vAlign w:val="center"/>
          </w:tcPr>
          <w:p w14:paraId="200C7CE8" w14:textId="77777777" w:rsidR="00930E93" w:rsidRPr="00A14A21" w:rsidRDefault="00930E93" w:rsidP="00B371F3">
            <w:pPr>
              <w:pStyle w:val="Tabletext"/>
              <w:keepNext/>
              <w:jc w:val="center"/>
            </w:pPr>
            <w:r w:rsidRPr="00A14A21">
              <w:t>≥12 months</w:t>
            </w:r>
          </w:p>
        </w:tc>
        <w:tc>
          <w:tcPr>
            <w:tcW w:w="1512" w:type="dxa"/>
            <w:vAlign w:val="center"/>
          </w:tcPr>
          <w:p w14:paraId="1A209152" w14:textId="77777777" w:rsidR="00930E93" w:rsidRPr="00A14A21" w:rsidRDefault="00930E93" w:rsidP="00B371F3">
            <w:pPr>
              <w:pStyle w:val="Tabletext"/>
              <w:keepNext/>
              <w:jc w:val="center"/>
            </w:pPr>
            <w:r w:rsidRPr="00A14A21">
              <w:t>–</w:t>
            </w:r>
          </w:p>
        </w:tc>
        <w:tc>
          <w:tcPr>
            <w:tcW w:w="2126" w:type="dxa"/>
            <w:tcBorders>
              <w:bottom w:val="single" w:sz="4" w:space="0" w:color="auto"/>
            </w:tcBorders>
            <w:shd w:val="clear" w:color="auto" w:fill="BFBFBF" w:themeFill="background1" w:themeFillShade="BF"/>
            <w:vAlign w:val="center"/>
          </w:tcPr>
          <w:p w14:paraId="6E73C3BD" w14:textId="77777777" w:rsidR="00930E93" w:rsidRPr="00A14A21" w:rsidRDefault="00930E93" w:rsidP="00B371F3">
            <w:pPr>
              <w:pStyle w:val="Tabletext"/>
              <w:keepNext/>
              <w:jc w:val="center"/>
            </w:pPr>
            <w:r w:rsidRPr="00A14A21">
              <w:t>None</w:t>
            </w:r>
          </w:p>
        </w:tc>
      </w:tr>
      <w:tr w:rsidR="00930E93" w:rsidRPr="00A14A21" w14:paraId="45776C74" w14:textId="77777777" w:rsidTr="00FC18E4">
        <w:trPr>
          <w:trHeight w:val="260"/>
        </w:trPr>
        <w:tc>
          <w:tcPr>
            <w:tcW w:w="1559" w:type="dxa"/>
            <w:vMerge w:val="restart"/>
            <w:vAlign w:val="center"/>
          </w:tcPr>
          <w:p w14:paraId="459A1317" w14:textId="77777777" w:rsidR="00930E93" w:rsidRPr="00A14A21" w:rsidRDefault="00930E93" w:rsidP="00B371F3">
            <w:pPr>
              <w:pStyle w:val="Tabletext"/>
              <w:keepNext/>
            </w:pPr>
            <w:r w:rsidRPr="00A14A21">
              <w:t>3 previous doses</w:t>
            </w:r>
          </w:p>
        </w:tc>
        <w:tc>
          <w:tcPr>
            <w:tcW w:w="1559" w:type="dxa"/>
            <w:vAlign w:val="center"/>
          </w:tcPr>
          <w:p w14:paraId="42DB33DE" w14:textId="77777777" w:rsidR="00930E93" w:rsidRPr="00A14A21" w:rsidRDefault="00930E93" w:rsidP="00B371F3">
            <w:pPr>
              <w:pStyle w:val="Tabletext"/>
              <w:keepNext/>
            </w:pPr>
            <w:r w:rsidRPr="00A14A21">
              <w:t>&lt;12 months</w:t>
            </w:r>
          </w:p>
        </w:tc>
        <w:tc>
          <w:tcPr>
            <w:tcW w:w="1512" w:type="dxa"/>
            <w:vAlign w:val="center"/>
          </w:tcPr>
          <w:p w14:paraId="6E61B5AB" w14:textId="77777777" w:rsidR="00930E93" w:rsidRPr="00A14A21" w:rsidRDefault="00930E93" w:rsidP="00B371F3">
            <w:pPr>
              <w:pStyle w:val="Tabletext"/>
              <w:keepNext/>
              <w:jc w:val="center"/>
            </w:pPr>
            <w:r w:rsidRPr="00A14A21">
              <w:t>&lt;12 months</w:t>
            </w:r>
          </w:p>
        </w:tc>
        <w:tc>
          <w:tcPr>
            <w:tcW w:w="1512" w:type="dxa"/>
            <w:vAlign w:val="center"/>
          </w:tcPr>
          <w:p w14:paraId="35836226" w14:textId="77777777" w:rsidR="00930E93" w:rsidRPr="00A14A21" w:rsidRDefault="00930E93" w:rsidP="00B371F3">
            <w:pPr>
              <w:pStyle w:val="Tabletext"/>
              <w:keepNext/>
              <w:jc w:val="center"/>
            </w:pPr>
            <w:r w:rsidRPr="00A14A21">
              <w:t>&lt;12 months</w:t>
            </w:r>
          </w:p>
        </w:tc>
        <w:tc>
          <w:tcPr>
            <w:tcW w:w="1512" w:type="dxa"/>
            <w:vAlign w:val="center"/>
          </w:tcPr>
          <w:p w14:paraId="0C591D68" w14:textId="77777777" w:rsidR="00930E93" w:rsidRPr="00A14A21" w:rsidRDefault="00930E93" w:rsidP="00B371F3">
            <w:pPr>
              <w:pStyle w:val="Tabletext"/>
              <w:keepNext/>
              <w:jc w:val="center"/>
            </w:pPr>
            <w:r w:rsidRPr="00A14A21">
              <w:t>&lt;12 months</w:t>
            </w:r>
          </w:p>
        </w:tc>
        <w:tc>
          <w:tcPr>
            <w:tcW w:w="2126" w:type="dxa"/>
            <w:shd w:val="clear" w:color="auto" w:fill="FFFFFF" w:themeFill="background1"/>
            <w:vAlign w:val="center"/>
          </w:tcPr>
          <w:p w14:paraId="51C9CAD7" w14:textId="029DAAB3" w:rsidR="00930E93" w:rsidRPr="00A14A21" w:rsidRDefault="00930E93" w:rsidP="006F1999">
            <w:pPr>
              <w:pStyle w:val="Tabletext"/>
              <w:keepNext/>
              <w:jc w:val="center"/>
            </w:pPr>
            <w:r w:rsidRPr="00A14A21">
              <w:t>1</w:t>
            </w:r>
            <w:r w:rsidR="006F1999" w:rsidRPr="001E3A96">
              <w:rPr>
                <w:vertAlign w:val="superscript"/>
              </w:rPr>
              <w:t>‡</w:t>
            </w:r>
          </w:p>
        </w:tc>
      </w:tr>
      <w:tr w:rsidR="00930E93" w:rsidRPr="00A14A21" w14:paraId="5264D1F2" w14:textId="77777777" w:rsidTr="00FC18E4">
        <w:trPr>
          <w:trHeight w:val="260"/>
        </w:trPr>
        <w:tc>
          <w:tcPr>
            <w:tcW w:w="1559" w:type="dxa"/>
            <w:vMerge/>
            <w:vAlign w:val="center"/>
          </w:tcPr>
          <w:p w14:paraId="11886986" w14:textId="77777777" w:rsidR="00930E93" w:rsidRPr="00A14A21" w:rsidRDefault="00930E93" w:rsidP="00B371F3">
            <w:pPr>
              <w:pStyle w:val="Tabletext"/>
              <w:keepNext/>
            </w:pPr>
          </w:p>
        </w:tc>
        <w:tc>
          <w:tcPr>
            <w:tcW w:w="1559" w:type="dxa"/>
            <w:vAlign w:val="center"/>
          </w:tcPr>
          <w:p w14:paraId="3944E2D1" w14:textId="75AA5995" w:rsidR="00930E93" w:rsidRPr="00A14A21" w:rsidRDefault="00930E93" w:rsidP="00FC18E4">
            <w:pPr>
              <w:pStyle w:val="Tabletext"/>
              <w:keepNext/>
            </w:pPr>
            <w:r w:rsidRPr="00A14A21">
              <w:t>12</w:t>
            </w:r>
            <w:r w:rsidR="00FC18E4">
              <w:t>–</w:t>
            </w:r>
            <w:r w:rsidRPr="00A14A21">
              <w:t>59 months</w:t>
            </w:r>
          </w:p>
        </w:tc>
        <w:tc>
          <w:tcPr>
            <w:tcW w:w="1512" w:type="dxa"/>
            <w:vAlign w:val="center"/>
          </w:tcPr>
          <w:p w14:paraId="22BE3B0D" w14:textId="77777777" w:rsidR="00930E93" w:rsidRPr="00A14A21" w:rsidRDefault="00930E93" w:rsidP="00B371F3">
            <w:pPr>
              <w:pStyle w:val="Tabletext"/>
              <w:keepNext/>
              <w:jc w:val="center"/>
            </w:pPr>
            <w:r w:rsidRPr="00A14A21">
              <w:t>Any age</w:t>
            </w:r>
          </w:p>
        </w:tc>
        <w:tc>
          <w:tcPr>
            <w:tcW w:w="1512" w:type="dxa"/>
            <w:vAlign w:val="center"/>
          </w:tcPr>
          <w:p w14:paraId="76EC345E" w14:textId="77777777" w:rsidR="00930E93" w:rsidRPr="00A14A21" w:rsidRDefault="00930E93" w:rsidP="00B371F3">
            <w:pPr>
              <w:pStyle w:val="Tabletext"/>
              <w:keepNext/>
              <w:jc w:val="center"/>
            </w:pPr>
            <w:r w:rsidRPr="00A14A21">
              <w:t>Any age</w:t>
            </w:r>
          </w:p>
        </w:tc>
        <w:tc>
          <w:tcPr>
            <w:tcW w:w="1512" w:type="dxa"/>
            <w:vAlign w:val="center"/>
          </w:tcPr>
          <w:p w14:paraId="5EA1E166" w14:textId="77777777" w:rsidR="00930E93" w:rsidRPr="00A14A21" w:rsidRDefault="00930E93" w:rsidP="00B371F3">
            <w:pPr>
              <w:pStyle w:val="Tabletext"/>
              <w:keepNext/>
              <w:jc w:val="center"/>
            </w:pPr>
            <w:r w:rsidRPr="00A14A21">
              <w:t>≥12 months</w:t>
            </w:r>
          </w:p>
        </w:tc>
        <w:tc>
          <w:tcPr>
            <w:tcW w:w="2126" w:type="dxa"/>
            <w:shd w:val="clear" w:color="auto" w:fill="BFBFBF" w:themeFill="background1" w:themeFillShade="BF"/>
            <w:vAlign w:val="center"/>
          </w:tcPr>
          <w:p w14:paraId="0350EB70" w14:textId="77777777" w:rsidR="00930E93" w:rsidRPr="00A14A21" w:rsidRDefault="00930E93" w:rsidP="00B371F3">
            <w:pPr>
              <w:pStyle w:val="Tabletext"/>
              <w:keepNext/>
              <w:jc w:val="center"/>
            </w:pPr>
            <w:r w:rsidRPr="00A14A21">
              <w:t>None</w:t>
            </w:r>
          </w:p>
        </w:tc>
      </w:tr>
    </w:tbl>
    <w:p w14:paraId="04DC3634" w14:textId="44041D29" w:rsidR="00FC18E4" w:rsidRPr="00DE4A0B" w:rsidRDefault="00930E93" w:rsidP="00FC18E4">
      <w:pPr>
        <w:pStyle w:val="Tablefootnote"/>
      </w:pPr>
      <w:r w:rsidRPr="00DE4A0B">
        <w:t>*</w:t>
      </w:r>
      <w:r w:rsidR="00B371F3">
        <w:tab/>
      </w:r>
      <w:r w:rsidRPr="00DE4A0B">
        <w:t>Prior PCV doses may have been given as 7vPCV (e.g. from overseas), 10vPCV or 13vPCV. Use 13vPCV as the vaccine formulation for catch-up doses, regardless of which formulation of PCV the child received previously.</w:t>
      </w:r>
    </w:p>
    <w:p w14:paraId="64743BDF" w14:textId="348E3F30" w:rsidR="009B4924" w:rsidRPr="00DE4A0B" w:rsidRDefault="006F1999" w:rsidP="009B4924">
      <w:pPr>
        <w:pStyle w:val="Tablefootnote"/>
      </w:pPr>
      <w:r>
        <w:t>†</w:t>
      </w:r>
      <w:r w:rsidR="00B371F3">
        <w:tab/>
      </w:r>
      <w:r w:rsidR="00930E93" w:rsidRPr="00DE4A0B">
        <w:t>Where possible,</w:t>
      </w:r>
      <w:r w:rsidR="00256A52" w:rsidRPr="00DE4A0B">
        <w:t xml:space="preserve"> </w:t>
      </w:r>
      <w:r w:rsidR="00930E93" w:rsidRPr="00DE4A0B">
        <w:t>align doses with the standard schedule points at 2</w:t>
      </w:r>
      <w:r w:rsidR="009B4924">
        <w:t> </w:t>
      </w:r>
      <w:r w:rsidR="00930E93" w:rsidRPr="00DE4A0B">
        <w:t xml:space="preserve">months and 4 months of age for infants aged &lt;5 months. </w:t>
      </w:r>
      <w:r w:rsidR="009B4924">
        <w:t>The m</w:t>
      </w:r>
      <w:r w:rsidR="00930E93" w:rsidRPr="00DE4A0B">
        <w:t xml:space="preserve">inimum interval between dose(s) </w:t>
      </w:r>
      <w:r w:rsidR="009B4924">
        <w:t xml:space="preserve">is </w:t>
      </w:r>
      <w:r w:rsidR="00930E93" w:rsidRPr="00DE4A0B">
        <w:t>1 month if age</w:t>
      </w:r>
      <w:r w:rsidR="009B4924">
        <w:t>d</w:t>
      </w:r>
      <w:r w:rsidR="00930E93" w:rsidRPr="00DE4A0B">
        <w:t xml:space="preserve"> &lt;12 months, and 2</w:t>
      </w:r>
      <w:r w:rsidR="009B4924">
        <w:t> </w:t>
      </w:r>
      <w:r w:rsidR="00930E93" w:rsidRPr="00DE4A0B">
        <w:t>months if age</w:t>
      </w:r>
      <w:r w:rsidR="009B4924">
        <w:t>d</w:t>
      </w:r>
      <w:r w:rsidR="00930E93" w:rsidRPr="00DE4A0B">
        <w:t xml:space="preserve"> ≥12</w:t>
      </w:r>
      <w:r w:rsidR="009B4924">
        <w:t> </w:t>
      </w:r>
      <w:r w:rsidR="00930E93" w:rsidRPr="00DE4A0B">
        <w:t>months.</w:t>
      </w:r>
    </w:p>
    <w:p w14:paraId="28AA8FB9" w14:textId="7AD45582" w:rsidR="00FC18E4" w:rsidRDefault="006F1999" w:rsidP="00E945D6">
      <w:pPr>
        <w:pStyle w:val="Tablefootnote"/>
      </w:pPr>
      <w:r>
        <w:t>‡</w:t>
      </w:r>
      <w:r w:rsidR="00B371F3">
        <w:tab/>
      </w:r>
      <w:r w:rsidR="00E945D6">
        <w:t>The l</w:t>
      </w:r>
      <w:r w:rsidR="00930E93" w:rsidRPr="00DE4A0B">
        <w:t>ast dose should be given after the child reaches 12 months of age</w:t>
      </w:r>
      <w:r w:rsidR="00C805A3">
        <w:t xml:space="preserve"> </w:t>
      </w:r>
      <w:r w:rsidR="00C805A3" w:rsidRPr="00DE4A0B">
        <w:t xml:space="preserve">(as a booster dose) </w:t>
      </w:r>
      <w:r w:rsidR="00930E93" w:rsidRPr="00DE4A0B">
        <w:t xml:space="preserve">with a minimum interval of 2 months after </w:t>
      </w:r>
      <w:r w:rsidR="00E945D6">
        <w:t xml:space="preserve">the </w:t>
      </w:r>
      <w:r w:rsidR="00696BC8" w:rsidRPr="00DE4A0B">
        <w:t>previous</w:t>
      </w:r>
      <w:r w:rsidR="00930E93" w:rsidRPr="00DE4A0B">
        <w:t xml:space="preserve"> dose of 13vPCV.</w:t>
      </w:r>
    </w:p>
    <w:p w14:paraId="32587138" w14:textId="77777777" w:rsidR="00FC18E4" w:rsidRPr="00DE4A0B" w:rsidRDefault="00FC18E4" w:rsidP="00B371F3">
      <w:pPr>
        <w:pStyle w:val="Tablefootnote"/>
      </w:pPr>
    </w:p>
    <w:p w14:paraId="6A90A9E4" w14:textId="51007E59" w:rsidR="008C4EF9" w:rsidRDefault="008C4EF9" w:rsidP="00CF1A9D">
      <w:pPr>
        <w:pStyle w:val="Heading2"/>
      </w:pPr>
      <w:r>
        <w:t>Research evidence</w:t>
      </w:r>
    </w:p>
    <w:p w14:paraId="6B784B1B" w14:textId="57101657" w:rsidR="00313760" w:rsidRPr="00CF1A9D" w:rsidRDefault="00313760" w:rsidP="00CF1A9D">
      <w:pPr>
        <w:pStyle w:val="Heading3"/>
      </w:pPr>
      <w:r w:rsidRPr="00CF1A9D">
        <w:t xml:space="preserve">Recommendation 1: </w:t>
      </w:r>
      <w:r w:rsidR="00303FB9" w:rsidRPr="00CF1A9D">
        <w:t xml:space="preserve">13vPCV </w:t>
      </w:r>
      <w:r w:rsidRPr="00CF1A9D">
        <w:t xml:space="preserve">infant schedule </w:t>
      </w:r>
    </w:p>
    <w:p w14:paraId="34E272A0" w14:textId="233648DB" w:rsidR="009F1C0A" w:rsidRPr="00D02D1F" w:rsidRDefault="009F1C0A" w:rsidP="007E7F73">
      <w:r>
        <w:t xml:space="preserve">ATAGI has been monitoring </w:t>
      </w:r>
      <w:r w:rsidR="001E4B5D">
        <w:t xml:space="preserve">the number </w:t>
      </w:r>
      <w:r>
        <w:t>of notified IPD cases</w:t>
      </w:r>
      <w:r w:rsidR="00256A52">
        <w:t xml:space="preserve"> due to serotypes in 13vPCV</w:t>
      </w:r>
      <w:r>
        <w:t xml:space="preserve"> occurring in </w:t>
      </w:r>
      <w:r w:rsidR="003B0315">
        <w:t>three-</w:t>
      </w:r>
      <w:r>
        <w:t>dose recipients since the introduction of 13vPCV in mid-2011. By December 2015</w:t>
      </w:r>
      <w:r w:rsidRPr="00D02D1F">
        <w:t xml:space="preserve">, </w:t>
      </w:r>
      <w:r>
        <w:t xml:space="preserve">it had become clear that </w:t>
      </w:r>
      <w:r w:rsidRPr="00D02D1F">
        <w:t>the number of breakthrough cases</w:t>
      </w:r>
      <w:r>
        <w:t xml:space="preserve"> </w:t>
      </w:r>
      <w:r w:rsidR="003B0315">
        <w:t xml:space="preserve">in children receiving the </w:t>
      </w:r>
      <w:r w:rsidR="003B0315" w:rsidRPr="00D02D1F">
        <w:t>3</w:t>
      </w:r>
      <w:r w:rsidR="003B0315">
        <w:t>+0 schedule</w:t>
      </w:r>
      <w:r w:rsidR="003B0315" w:rsidRPr="00D02D1F">
        <w:t xml:space="preserve"> </w:t>
      </w:r>
      <w:r>
        <w:t xml:space="preserve">had </w:t>
      </w:r>
      <w:r w:rsidRPr="00D02D1F">
        <w:t>steadily increased each year</w:t>
      </w:r>
      <w:r w:rsidRPr="00B82838">
        <w:t xml:space="preserve"> </w:t>
      </w:r>
      <w:r>
        <w:t xml:space="preserve">over </w:t>
      </w:r>
      <w:r w:rsidRPr="00D02D1F">
        <w:t xml:space="preserve">the first </w:t>
      </w:r>
      <w:r w:rsidR="003B0315">
        <w:t>4</w:t>
      </w:r>
      <w:r w:rsidR="003B0315" w:rsidRPr="00D02D1F">
        <w:t xml:space="preserve"> </w:t>
      </w:r>
      <w:r w:rsidRPr="00D02D1F">
        <w:t xml:space="preserve">years of 13vPCV use on the </w:t>
      </w:r>
      <w:r w:rsidR="00256A52" w:rsidRPr="00256A52">
        <w:t xml:space="preserve">National Immunisation Program </w:t>
      </w:r>
      <w:r w:rsidR="00256A52">
        <w:t>(</w:t>
      </w:r>
      <w:r w:rsidRPr="00D02D1F">
        <w:t>NIP</w:t>
      </w:r>
      <w:r w:rsidR="00256A52">
        <w:t>)</w:t>
      </w:r>
      <w:r w:rsidRPr="00D02D1F">
        <w:t>. In 2015</w:t>
      </w:r>
      <w:r>
        <w:t xml:space="preserve"> alone,</w:t>
      </w:r>
      <w:r w:rsidRPr="00D02D1F">
        <w:t xml:space="preserve"> there were 4</w:t>
      </w:r>
      <w:r>
        <w:t>1</w:t>
      </w:r>
      <w:r w:rsidRPr="00D02D1F">
        <w:t xml:space="preserve"> cases of 13vPCV breakthrough disease</w:t>
      </w:r>
      <w:r>
        <w:t xml:space="preserve">, </w:t>
      </w:r>
      <w:r w:rsidR="003B0315">
        <w:t xml:space="preserve">5 </w:t>
      </w:r>
      <w:r w:rsidRPr="00D02D1F">
        <w:t xml:space="preserve">more than the previous year. </w:t>
      </w:r>
      <w:r>
        <w:t>B</w:t>
      </w:r>
      <w:r w:rsidRPr="00D02D1F">
        <w:t>reakthrough cases were predominantly due to serotypes 19A (5</w:t>
      </w:r>
      <w:r>
        <w:t>7</w:t>
      </w:r>
      <w:r w:rsidRPr="00D02D1F">
        <w:t>%) and 3 (2</w:t>
      </w:r>
      <w:r>
        <w:t>7</w:t>
      </w:r>
      <w:r w:rsidRPr="00D02D1F">
        <w:t>%)</w:t>
      </w:r>
      <w:r w:rsidR="001E4B5D">
        <w:t>. T</w:t>
      </w:r>
      <w:r w:rsidRPr="00D02D1F">
        <w:t>he majority (</w:t>
      </w:r>
      <w:r>
        <w:t xml:space="preserve">94%) </w:t>
      </w:r>
      <w:r w:rsidR="001E4B5D">
        <w:t xml:space="preserve">of cases </w:t>
      </w:r>
      <w:r w:rsidR="001E4B5D" w:rsidRPr="00D02D1F">
        <w:t>occurr</w:t>
      </w:r>
      <w:r w:rsidR="001E4B5D">
        <w:t>ed</w:t>
      </w:r>
      <w:r w:rsidR="001E4B5D" w:rsidRPr="00D02D1F">
        <w:t xml:space="preserve"> </w:t>
      </w:r>
      <w:r w:rsidRPr="00D02D1F">
        <w:t xml:space="preserve">in children </w:t>
      </w:r>
      <w:r w:rsidRPr="006F7D16">
        <w:t xml:space="preserve">aged 12 months or older </w:t>
      </w:r>
      <w:r>
        <w:t>(Table 3)</w:t>
      </w:r>
      <w:r w:rsidRPr="00D02D1F">
        <w:t xml:space="preserve">. </w:t>
      </w:r>
    </w:p>
    <w:p w14:paraId="704C3FD2" w14:textId="302700E5" w:rsidR="00D87D75" w:rsidRPr="00CC3FCC" w:rsidRDefault="00D87D75" w:rsidP="003F7665">
      <w:pPr>
        <w:pStyle w:val="Tableheading"/>
      </w:pPr>
      <w:r w:rsidRPr="00C805A3">
        <w:rPr>
          <w:b/>
          <w:i/>
          <w:iCs/>
        </w:rPr>
        <w:t>Table 3</w:t>
      </w:r>
      <w:r w:rsidR="00B371F3" w:rsidRPr="00C805A3">
        <w:rPr>
          <w:b/>
          <w:i/>
          <w:iCs/>
        </w:rPr>
        <w:t>:</w:t>
      </w:r>
      <w:r w:rsidRPr="00CC3FCC">
        <w:rPr>
          <w:iCs/>
        </w:rPr>
        <w:t xml:space="preserve"> </w:t>
      </w:r>
      <w:r w:rsidRPr="00CC3FCC">
        <w:t xml:space="preserve">Age groups and serotypes of 13vPCV </w:t>
      </w:r>
      <w:r>
        <w:t xml:space="preserve">(3+0 </w:t>
      </w:r>
      <w:r w:rsidRPr="00CC3FCC">
        <w:t>dose</w:t>
      </w:r>
      <w:r>
        <w:t>)</w:t>
      </w:r>
      <w:r w:rsidRPr="00CC3FCC">
        <w:t xml:space="preserve"> vaccine failures up to</w:t>
      </w:r>
      <w:r>
        <w:t xml:space="preserve"> </w:t>
      </w:r>
      <w:r w:rsidRPr="00CC3FCC">
        <w:t xml:space="preserve">31 December 2015 </w:t>
      </w:r>
    </w:p>
    <w:tbl>
      <w:tblPr>
        <w:tblStyle w:val="TableGrid"/>
        <w:tblW w:w="8804" w:type="dxa"/>
        <w:tblLook w:val="04A0" w:firstRow="1" w:lastRow="0" w:firstColumn="1" w:lastColumn="0" w:noHBand="0" w:noVBand="1"/>
        <w:tblCaption w:val="Table 3 - Age groups and serotypes of 13vPCV (3+0 dose) vaccine failures up to 31 December 2015"/>
        <w:tblDescription w:val="This table shows the number of vaccine failures for 13vPCV in Australian children in national IPD notifications up to 31 December 2015. The cases of vaccine failure are shown by the age group at when disease was diagnosed and the pneumococcal serotype that caused IPD. The large majority, out of the total number of vaccine failures of 108, were in children aged 12 months or older which was 94%. In terms of the serotypes responsible 19A was the commonest, with 58% with serotype 3 next with 26%. &#10;"/>
      </w:tblPr>
      <w:tblGrid>
        <w:gridCol w:w="1107"/>
        <w:gridCol w:w="1282"/>
        <w:gridCol w:w="1303"/>
        <w:gridCol w:w="1223"/>
        <w:gridCol w:w="1214"/>
        <w:gridCol w:w="1214"/>
        <w:gridCol w:w="1461"/>
      </w:tblGrid>
      <w:tr w:rsidR="00D87D75" w:rsidRPr="00313760" w14:paraId="3BE37EF1" w14:textId="77777777" w:rsidTr="009350E8">
        <w:trPr>
          <w:trHeight w:val="215"/>
          <w:tblHeader/>
        </w:trPr>
        <w:tc>
          <w:tcPr>
            <w:tcW w:w="1107" w:type="dxa"/>
            <w:vMerge w:val="restart"/>
            <w:tcBorders>
              <w:top w:val="single" w:sz="12" w:space="0" w:color="auto"/>
              <w:left w:val="nil"/>
              <w:right w:val="single" w:sz="4" w:space="0" w:color="auto"/>
            </w:tcBorders>
            <w:shd w:val="pct70" w:color="auto" w:fill="FFFFFF" w:themeFill="background1"/>
            <w:vAlign w:val="center"/>
          </w:tcPr>
          <w:p w14:paraId="3839532D" w14:textId="77777777" w:rsidR="00D87D75" w:rsidRPr="00313760" w:rsidRDefault="00D87D75" w:rsidP="003F7665">
            <w:pPr>
              <w:pStyle w:val="Tablecolumnheading"/>
            </w:pPr>
            <w:r w:rsidRPr="00313760">
              <w:t>Serotype</w:t>
            </w:r>
          </w:p>
        </w:tc>
        <w:tc>
          <w:tcPr>
            <w:tcW w:w="7697" w:type="dxa"/>
            <w:gridSpan w:val="6"/>
            <w:tcBorders>
              <w:top w:val="single" w:sz="12" w:space="0" w:color="auto"/>
              <w:left w:val="single" w:sz="4" w:space="0" w:color="auto"/>
              <w:right w:val="nil"/>
            </w:tcBorders>
            <w:shd w:val="pct70" w:color="auto" w:fill="FFFFFF" w:themeFill="background1"/>
            <w:vAlign w:val="center"/>
          </w:tcPr>
          <w:p w14:paraId="0A38B0CE" w14:textId="77777777" w:rsidR="00D87D75" w:rsidRPr="00313760" w:rsidRDefault="00D87D75" w:rsidP="003F7665">
            <w:pPr>
              <w:pStyle w:val="Tablecolumnheading"/>
            </w:pPr>
            <w:r w:rsidRPr="00313760">
              <w:t>Age group (months)</w:t>
            </w:r>
          </w:p>
        </w:tc>
      </w:tr>
      <w:tr w:rsidR="00D87D75" w:rsidRPr="00313760" w14:paraId="438ED3D6" w14:textId="77777777" w:rsidTr="0066400C">
        <w:trPr>
          <w:trHeight w:val="302"/>
        </w:trPr>
        <w:tc>
          <w:tcPr>
            <w:tcW w:w="1107" w:type="dxa"/>
            <w:vMerge/>
            <w:tcBorders>
              <w:left w:val="nil"/>
              <w:bottom w:val="single" w:sz="12" w:space="0" w:color="auto"/>
              <w:right w:val="single" w:sz="4" w:space="0" w:color="auto"/>
            </w:tcBorders>
            <w:shd w:val="pct70" w:color="auto" w:fill="FFFFFF" w:themeFill="background1"/>
          </w:tcPr>
          <w:p w14:paraId="2189AE8E" w14:textId="77777777" w:rsidR="00D87D75" w:rsidRPr="00313760" w:rsidRDefault="00D87D75" w:rsidP="003F7665">
            <w:pPr>
              <w:pStyle w:val="Tablecolumnheading"/>
              <w:rPr>
                <w:sz w:val="18"/>
                <w:szCs w:val="18"/>
              </w:rPr>
            </w:pPr>
          </w:p>
        </w:tc>
        <w:tc>
          <w:tcPr>
            <w:tcW w:w="1282" w:type="dxa"/>
            <w:tcBorders>
              <w:left w:val="single" w:sz="4" w:space="0" w:color="auto"/>
              <w:bottom w:val="single" w:sz="12" w:space="0" w:color="auto"/>
              <w:right w:val="nil"/>
            </w:tcBorders>
            <w:shd w:val="pct70" w:color="auto" w:fill="FFFFFF" w:themeFill="background1"/>
            <w:vAlign w:val="center"/>
          </w:tcPr>
          <w:p w14:paraId="39FA509B" w14:textId="77777777" w:rsidR="00D87D75" w:rsidRPr="003B0315" w:rsidRDefault="00D87D75" w:rsidP="003B0315">
            <w:pPr>
              <w:pStyle w:val="Tablecolumnheading"/>
            </w:pPr>
            <w:r w:rsidRPr="003B0315">
              <w:t>&lt;12</w:t>
            </w:r>
          </w:p>
        </w:tc>
        <w:tc>
          <w:tcPr>
            <w:tcW w:w="1303" w:type="dxa"/>
            <w:tcBorders>
              <w:left w:val="nil"/>
              <w:bottom w:val="single" w:sz="12" w:space="0" w:color="auto"/>
              <w:right w:val="nil"/>
            </w:tcBorders>
            <w:shd w:val="pct70" w:color="auto" w:fill="FFFFFF" w:themeFill="background1"/>
            <w:vAlign w:val="center"/>
          </w:tcPr>
          <w:p w14:paraId="52F32E0A" w14:textId="77777777" w:rsidR="00D87D75" w:rsidRPr="003B0315" w:rsidRDefault="00D87D75" w:rsidP="003B0315">
            <w:pPr>
              <w:pStyle w:val="Tablecolumnheading"/>
            </w:pPr>
            <w:r w:rsidRPr="003B0315">
              <w:t>12–&lt;24</w:t>
            </w:r>
          </w:p>
        </w:tc>
        <w:tc>
          <w:tcPr>
            <w:tcW w:w="1223" w:type="dxa"/>
            <w:tcBorders>
              <w:left w:val="nil"/>
              <w:bottom w:val="single" w:sz="12" w:space="0" w:color="auto"/>
              <w:right w:val="nil"/>
            </w:tcBorders>
            <w:shd w:val="pct70" w:color="auto" w:fill="FFFFFF" w:themeFill="background1"/>
            <w:vAlign w:val="center"/>
          </w:tcPr>
          <w:p w14:paraId="563A0668" w14:textId="77777777" w:rsidR="00D87D75" w:rsidRPr="00313760" w:rsidRDefault="00D87D75" w:rsidP="003F7665">
            <w:pPr>
              <w:pStyle w:val="Tablecolumnheading"/>
            </w:pPr>
            <w:r w:rsidRPr="00313760">
              <w:t>24–&lt;36</w:t>
            </w:r>
          </w:p>
        </w:tc>
        <w:tc>
          <w:tcPr>
            <w:tcW w:w="1214" w:type="dxa"/>
            <w:tcBorders>
              <w:left w:val="nil"/>
              <w:bottom w:val="single" w:sz="12" w:space="0" w:color="auto"/>
              <w:right w:val="nil"/>
            </w:tcBorders>
            <w:shd w:val="pct70" w:color="auto" w:fill="FFFFFF" w:themeFill="background1"/>
            <w:vAlign w:val="center"/>
          </w:tcPr>
          <w:p w14:paraId="0B149648" w14:textId="77777777" w:rsidR="00D87D75" w:rsidRPr="00313760" w:rsidRDefault="00D87D75" w:rsidP="003F7665">
            <w:pPr>
              <w:pStyle w:val="Tablecolumnheading"/>
            </w:pPr>
            <w:r w:rsidRPr="00313760">
              <w:t>36–&lt;48</w:t>
            </w:r>
          </w:p>
        </w:tc>
        <w:tc>
          <w:tcPr>
            <w:tcW w:w="1214" w:type="dxa"/>
            <w:tcBorders>
              <w:left w:val="nil"/>
              <w:bottom w:val="single" w:sz="12" w:space="0" w:color="auto"/>
              <w:right w:val="nil"/>
            </w:tcBorders>
            <w:shd w:val="pct70" w:color="auto" w:fill="FFFFFF" w:themeFill="background1"/>
            <w:vAlign w:val="center"/>
          </w:tcPr>
          <w:p w14:paraId="2FD5FB1C" w14:textId="77777777" w:rsidR="00D87D75" w:rsidRPr="00313760" w:rsidRDefault="00D87D75" w:rsidP="003F7665">
            <w:pPr>
              <w:pStyle w:val="Tablecolumnheading"/>
            </w:pPr>
            <w:r w:rsidRPr="00313760">
              <w:t>48–&lt;60</w:t>
            </w:r>
          </w:p>
        </w:tc>
        <w:tc>
          <w:tcPr>
            <w:tcW w:w="1458" w:type="dxa"/>
            <w:tcBorders>
              <w:left w:val="nil"/>
              <w:bottom w:val="single" w:sz="12" w:space="0" w:color="auto"/>
              <w:right w:val="nil"/>
            </w:tcBorders>
            <w:shd w:val="pct70" w:color="auto" w:fill="FFFFFF" w:themeFill="background1"/>
            <w:vAlign w:val="center"/>
          </w:tcPr>
          <w:p w14:paraId="3F0F286E" w14:textId="77777777" w:rsidR="00D87D75" w:rsidRPr="00313760" w:rsidRDefault="00D87D75" w:rsidP="003F7665">
            <w:pPr>
              <w:pStyle w:val="Tablecolumnheading"/>
            </w:pPr>
            <w:r w:rsidRPr="00313760">
              <w:t>Total</w:t>
            </w:r>
          </w:p>
        </w:tc>
      </w:tr>
      <w:tr w:rsidR="00D87D75" w:rsidRPr="00313760" w14:paraId="3D0AD750" w14:textId="77777777" w:rsidTr="003F7665">
        <w:trPr>
          <w:trHeight w:val="273"/>
        </w:trPr>
        <w:tc>
          <w:tcPr>
            <w:tcW w:w="1107" w:type="dxa"/>
            <w:tcBorders>
              <w:top w:val="single" w:sz="12" w:space="0" w:color="auto"/>
              <w:left w:val="nil"/>
              <w:bottom w:val="nil"/>
              <w:right w:val="single" w:sz="4" w:space="0" w:color="auto"/>
            </w:tcBorders>
            <w:vAlign w:val="center"/>
          </w:tcPr>
          <w:p w14:paraId="59618458" w14:textId="77777777" w:rsidR="00D87D75" w:rsidRPr="00DE622B" w:rsidRDefault="00D87D75" w:rsidP="00DE622B">
            <w:pPr>
              <w:pStyle w:val="Tabletext"/>
            </w:pPr>
            <w:r w:rsidRPr="00DE622B">
              <w:t>1</w:t>
            </w:r>
          </w:p>
        </w:tc>
        <w:tc>
          <w:tcPr>
            <w:tcW w:w="1282" w:type="dxa"/>
            <w:tcBorders>
              <w:top w:val="single" w:sz="12" w:space="0" w:color="auto"/>
              <w:left w:val="single" w:sz="4" w:space="0" w:color="auto"/>
              <w:bottom w:val="nil"/>
              <w:right w:val="nil"/>
            </w:tcBorders>
            <w:vAlign w:val="center"/>
          </w:tcPr>
          <w:p w14:paraId="0D1F0860" w14:textId="77777777" w:rsidR="00D87D75" w:rsidRPr="00313760" w:rsidRDefault="00D87D75" w:rsidP="003F7665">
            <w:pPr>
              <w:pStyle w:val="Tabletext"/>
              <w:tabs>
                <w:tab w:val="left" w:pos="284"/>
              </w:tabs>
              <w:ind w:left="284" w:hanging="284"/>
              <w:jc w:val="center"/>
              <w:rPr>
                <w:sz w:val="18"/>
                <w:szCs w:val="18"/>
              </w:rPr>
            </w:pPr>
            <w:r w:rsidRPr="00313760">
              <w:rPr>
                <w:sz w:val="18"/>
                <w:szCs w:val="18"/>
              </w:rPr>
              <w:t>–</w:t>
            </w:r>
          </w:p>
        </w:tc>
        <w:tc>
          <w:tcPr>
            <w:tcW w:w="1303" w:type="dxa"/>
            <w:tcBorders>
              <w:top w:val="single" w:sz="12" w:space="0" w:color="auto"/>
              <w:left w:val="nil"/>
              <w:bottom w:val="nil"/>
              <w:right w:val="nil"/>
            </w:tcBorders>
            <w:vAlign w:val="center"/>
          </w:tcPr>
          <w:p w14:paraId="7A910DA2" w14:textId="77777777" w:rsidR="00D87D75" w:rsidRPr="00313760" w:rsidRDefault="00D87D75" w:rsidP="003F7665">
            <w:pPr>
              <w:pStyle w:val="Tabletext"/>
              <w:tabs>
                <w:tab w:val="left" w:pos="284"/>
              </w:tabs>
              <w:ind w:left="284" w:hanging="284"/>
              <w:jc w:val="center"/>
              <w:rPr>
                <w:sz w:val="18"/>
                <w:szCs w:val="18"/>
              </w:rPr>
            </w:pPr>
            <w:r w:rsidRPr="00313760">
              <w:rPr>
                <w:sz w:val="18"/>
                <w:szCs w:val="18"/>
              </w:rPr>
              <w:t>–</w:t>
            </w:r>
          </w:p>
        </w:tc>
        <w:tc>
          <w:tcPr>
            <w:tcW w:w="1223" w:type="dxa"/>
            <w:tcBorders>
              <w:top w:val="single" w:sz="12" w:space="0" w:color="auto"/>
              <w:left w:val="nil"/>
              <w:bottom w:val="nil"/>
              <w:right w:val="nil"/>
            </w:tcBorders>
            <w:vAlign w:val="center"/>
          </w:tcPr>
          <w:p w14:paraId="29C4F9FD" w14:textId="5DDDA45D" w:rsidR="00D87D75" w:rsidRPr="00313760" w:rsidRDefault="00D87D75" w:rsidP="003F7665">
            <w:pPr>
              <w:pStyle w:val="Tabletext"/>
              <w:tabs>
                <w:tab w:val="left" w:pos="284"/>
              </w:tabs>
              <w:ind w:left="284" w:hanging="284"/>
              <w:jc w:val="center"/>
              <w:rPr>
                <w:sz w:val="18"/>
                <w:szCs w:val="18"/>
              </w:rPr>
            </w:pPr>
            <w:r w:rsidRPr="00313760">
              <w:rPr>
                <w:sz w:val="18"/>
                <w:szCs w:val="18"/>
              </w:rPr>
              <w:t>1</w:t>
            </w:r>
          </w:p>
        </w:tc>
        <w:tc>
          <w:tcPr>
            <w:tcW w:w="1214" w:type="dxa"/>
            <w:tcBorders>
              <w:top w:val="single" w:sz="12" w:space="0" w:color="auto"/>
              <w:left w:val="nil"/>
              <w:bottom w:val="nil"/>
              <w:right w:val="nil"/>
            </w:tcBorders>
            <w:vAlign w:val="center"/>
          </w:tcPr>
          <w:p w14:paraId="04B7153D" w14:textId="77777777" w:rsidR="00D87D75" w:rsidRPr="00313760" w:rsidRDefault="00D87D75" w:rsidP="003F7665">
            <w:pPr>
              <w:pStyle w:val="Tabletext"/>
              <w:tabs>
                <w:tab w:val="left" w:pos="284"/>
              </w:tabs>
              <w:ind w:left="284" w:hanging="284"/>
              <w:jc w:val="center"/>
              <w:rPr>
                <w:sz w:val="18"/>
                <w:szCs w:val="18"/>
              </w:rPr>
            </w:pPr>
            <w:r w:rsidRPr="00313760">
              <w:rPr>
                <w:sz w:val="18"/>
                <w:szCs w:val="18"/>
              </w:rPr>
              <w:t>–</w:t>
            </w:r>
          </w:p>
        </w:tc>
        <w:tc>
          <w:tcPr>
            <w:tcW w:w="1214" w:type="dxa"/>
            <w:tcBorders>
              <w:top w:val="single" w:sz="12" w:space="0" w:color="auto"/>
              <w:left w:val="nil"/>
              <w:bottom w:val="nil"/>
              <w:right w:val="nil"/>
            </w:tcBorders>
            <w:vAlign w:val="center"/>
          </w:tcPr>
          <w:p w14:paraId="7EB66CB8" w14:textId="77777777" w:rsidR="00D87D75" w:rsidRPr="00313760" w:rsidRDefault="00D87D75" w:rsidP="003F7665">
            <w:pPr>
              <w:pStyle w:val="Tabletext"/>
              <w:tabs>
                <w:tab w:val="left" w:pos="284"/>
              </w:tabs>
              <w:ind w:left="284" w:hanging="284"/>
              <w:jc w:val="center"/>
              <w:rPr>
                <w:sz w:val="18"/>
                <w:szCs w:val="18"/>
              </w:rPr>
            </w:pPr>
            <w:r w:rsidRPr="00313760">
              <w:rPr>
                <w:sz w:val="18"/>
                <w:szCs w:val="18"/>
              </w:rPr>
              <w:t>–</w:t>
            </w:r>
          </w:p>
        </w:tc>
        <w:tc>
          <w:tcPr>
            <w:tcW w:w="1458" w:type="dxa"/>
            <w:tcBorders>
              <w:top w:val="single" w:sz="12" w:space="0" w:color="auto"/>
              <w:left w:val="nil"/>
              <w:bottom w:val="nil"/>
              <w:right w:val="nil"/>
            </w:tcBorders>
            <w:vAlign w:val="center"/>
          </w:tcPr>
          <w:p w14:paraId="3775CB73" w14:textId="715660EC" w:rsidR="00D87D75" w:rsidRPr="00313760" w:rsidRDefault="00D87D75" w:rsidP="003F7665">
            <w:pPr>
              <w:pStyle w:val="Tabletext"/>
              <w:tabs>
                <w:tab w:val="left" w:pos="284"/>
              </w:tabs>
              <w:ind w:left="284" w:hanging="284"/>
              <w:jc w:val="center"/>
              <w:rPr>
                <w:sz w:val="18"/>
                <w:szCs w:val="18"/>
              </w:rPr>
            </w:pPr>
            <w:r w:rsidRPr="00313760">
              <w:rPr>
                <w:sz w:val="18"/>
                <w:szCs w:val="18"/>
              </w:rPr>
              <w:t>1</w:t>
            </w:r>
          </w:p>
        </w:tc>
      </w:tr>
      <w:tr w:rsidR="00D87D75" w:rsidRPr="00313760" w14:paraId="6F3E1C83" w14:textId="77777777" w:rsidTr="003F7665">
        <w:trPr>
          <w:trHeight w:val="273"/>
        </w:trPr>
        <w:tc>
          <w:tcPr>
            <w:tcW w:w="1107" w:type="dxa"/>
            <w:tcBorders>
              <w:top w:val="nil"/>
              <w:left w:val="nil"/>
              <w:bottom w:val="nil"/>
              <w:right w:val="single" w:sz="4" w:space="0" w:color="auto"/>
            </w:tcBorders>
            <w:vAlign w:val="center"/>
          </w:tcPr>
          <w:p w14:paraId="63F2FE6A" w14:textId="77777777" w:rsidR="00D87D75" w:rsidRPr="00DE622B" w:rsidRDefault="00D87D75" w:rsidP="00DE622B">
            <w:pPr>
              <w:pStyle w:val="Tabletext"/>
            </w:pPr>
            <w:r w:rsidRPr="00DE622B">
              <w:t>3</w:t>
            </w:r>
          </w:p>
        </w:tc>
        <w:tc>
          <w:tcPr>
            <w:tcW w:w="1282" w:type="dxa"/>
            <w:tcBorders>
              <w:top w:val="nil"/>
              <w:left w:val="single" w:sz="4" w:space="0" w:color="auto"/>
              <w:bottom w:val="nil"/>
              <w:right w:val="nil"/>
            </w:tcBorders>
            <w:vAlign w:val="center"/>
          </w:tcPr>
          <w:p w14:paraId="7C1706FD" w14:textId="3936E866" w:rsidR="00D87D75" w:rsidRPr="00313760" w:rsidRDefault="00D87D75" w:rsidP="003F7665">
            <w:pPr>
              <w:pStyle w:val="Tabletext"/>
              <w:tabs>
                <w:tab w:val="left" w:pos="284"/>
              </w:tabs>
              <w:ind w:left="284" w:hanging="284"/>
              <w:jc w:val="center"/>
              <w:rPr>
                <w:sz w:val="18"/>
                <w:szCs w:val="18"/>
              </w:rPr>
            </w:pPr>
            <w:r w:rsidRPr="00313760">
              <w:rPr>
                <w:sz w:val="18"/>
                <w:szCs w:val="18"/>
              </w:rPr>
              <w:t>3</w:t>
            </w:r>
          </w:p>
        </w:tc>
        <w:tc>
          <w:tcPr>
            <w:tcW w:w="1303" w:type="dxa"/>
            <w:tcBorders>
              <w:top w:val="nil"/>
              <w:left w:val="nil"/>
              <w:bottom w:val="nil"/>
              <w:right w:val="nil"/>
            </w:tcBorders>
            <w:vAlign w:val="center"/>
          </w:tcPr>
          <w:p w14:paraId="1A7419FD" w14:textId="3477F230" w:rsidR="00D87D75" w:rsidRPr="00313760" w:rsidRDefault="00D87D75" w:rsidP="003F7665">
            <w:pPr>
              <w:pStyle w:val="Tabletext"/>
              <w:tabs>
                <w:tab w:val="left" w:pos="284"/>
              </w:tabs>
              <w:ind w:left="284" w:hanging="284"/>
              <w:jc w:val="center"/>
              <w:rPr>
                <w:sz w:val="18"/>
                <w:szCs w:val="18"/>
              </w:rPr>
            </w:pPr>
            <w:r w:rsidRPr="00313760">
              <w:rPr>
                <w:sz w:val="18"/>
                <w:szCs w:val="18"/>
              </w:rPr>
              <w:t>1</w:t>
            </w:r>
            <w:r>
              <w:rPr>
                <w:sz w:val="18"/>
                <w:szCs w:val="18"/>
              </w:rPr>
              <w:t>5</w:t>
            </w:r>
          </w:p>
        </w:tc>
        <w:tc>
          <w:tcPr>
            <w:tcW w:w="1223" w:type="dxa"/>
            <w:tcBorders>
              <w:top w:val="nil"/>
              <w:left w:val="nil"/>
              <w:bottom w:val="nil"/>
              <w:right w:val="nil"/>
            </w:tcBorders>
            <w:vAlign w:val="center"/>
          </w:tcPr>
          <w:p w14:paraId="7315BEF9" w14:textId="5B71065E" w:rsidR="00D87D75" w:rsidRPr="00313760" w:rsidRDefault="00D87D75" w:rsidP="003F7665">
            <w:pPr>
              <w:pStyle w:val="Tabletext"/>
              <w:tabs>
                <w:tab w:val="left" w:pos="284"/>
              </w:tabs>
              <w:ind w:left="284" w:hanging="284"/>
              <w:jc w:val="center"/>
              <w:rPr>
                <w:sz w:val="18"/>
                <w:szCs w:val="18"/>
              </w:rPr>
            </w:pPr>
            <w:r w:rsidRPr="00313760">
              <w:rPr>
                <w:sz w:val="18"/>
                <w:szCs w:val="18"/>
              </w:rPr>
              <w:t>8</w:t>
            </w:r>
          </w:p>
        </w:tc>
        <w:tc>
          <w:tcPr>
            <w:tcW w:w="1214" w:type="dxa"/>
            <w:tcBorders>
              <w:top w:val="nil"/>
              <w:left w:val="nil"/>
              <w:bottom w:val="nil"/>
              <w:right w:val="nil"/>
            </w:tcBorders>
            <w:vAlign w:val="center"/>
          </w:tcPr>
          <w:p w14:paraId="244C3BE9" w14:textId="13713E73" w:rsidR="00D87D75" w:rsidRPr="00313760" w:rsidRDefault="00D87D75" w:rsidP="003F7665">
            <w:pPr>
              <w:pStyle w:val="Tabletext"/>
              <w:tabs>
                <w:tab w:val="left" w:pos="284"/>
              </w:tabs>
              <w:ind w:left="284" w:hanging="284"/>
              <w:jc w:val="center"/>
              <w:rPr>
                <w:sz w:val="18"/>
                <w:szCs w:val="18"/>
              </w:rPr>
            </w:pPr>
            <w:r w:rsidRPr="00313760">
              <w:rPr>
                <w:sz w:val="18"/>
                <w:szCs w:val="18"/>
              </w:rPr>
              <w:t>3</w:t>
            </w:r>
          </w:p>
        </w:tc>
        <w:tc>
          <w:tcPr>
            <w:tcW w:w="1214" w:type="dxa"/>
            <w:tcBorders>
              <w:top w:val="nil"/>
              <w:left w:val="nil"/>
              <w:bottom w:val="nil"/>
              <w:right w:val="nil"/>
            </w:tcBorders>
            <w:vAlign w:val="center"/>
          </w:tcPr>
          <w:p w14:paraId="1BA3313D" w14:textId="77777777" w:rsidR="00D87D75" w:rsidRPr="00313760" w:rsidRDefault="00D87D75" w:rsidP="003F7665">
            <w:pPr>
              <w:pStyle w:val="Tabletext"/>
              <w:tabs>
                <w:tab w:val="left" w:pos="284"/>
              </w:tabs>
              <w:ind w:left="284" w:hanging="284"/>
              <w:jc w:val="center"/>
              <w:rPr>
                <w:sz w:val="18"/>
                <w:szCs w:val="18"/>
              </w:rPr>
            </w:pPr>
            <w:r w:rsidRPr="00313760">
              <w:rPr>
                <w:sz w:val="18"/>
                <w:szCs w:val="18"/>
              </w:rPr>
              <w:t>–</w:t>
            </w:r>
          </w:p>
        </w:tc>
        <w:tc>
          <w:tcPr>
            <w:tcW w:w="1458" w:type="dxa"/>
            <w:tcBorders>
              <w:top w:val="nil"/>
              <w:left w:val="nil"/>
              <w:bottom w:val="nil"/>
              <w:right w:val="nil"/>
            </w:tcBorders>
            <w:vAlign w:val="center"/>
          </w:tcPr>
          <w:p w14:paraId="5EA4B199" w14:textId="7495C156" w:rsidR="00D87D75" w:rsidRPr="00313760" w:rsidRDefault="00D87D75" w:rsidP="00182A0E">
            <w:pPr>
              <w:pStyle w:val="Tabletext"/>
              <w:tabs>
                <w:tab w:val="left" w:pos="284"/>
              </w:tabs>
              <w:ind w:left="284" w:hanging="284"/>
              <w:jc w:val="center"/>
              <w:rPr>
                <w:sz w:val="18"/>
                <w:szCs w:val="18"/>
              </w:rPr>
            </w:pPr>
            <w:r w:rsidRPr="00313760">
              <w:rPr>
                <w:sz w:val="18"/>
                <w:szCs w:val="18"/>
              </w:rPr>
              <w:t>2</w:t>
            </w:r>
            <w:r w:rsidR="00182A0E">
              <w:rPr>
                <w:sz w:val="18"/>
                <w:szCs w:val="18"/>
              </w:rPr>
              <w:t>9</w:t>
            </w:r>
          </w:p>
        </w:tc>
      </w:tr>
      <w:tr w:rsidR="00D87D75" w:rsidRPr="00313760" w14:paraId="3A0DAE83" w14:textId="77777777" w:rsidTr="003F7665">
        <w:trPr>
          <w:trHeight w:val="287"/>
        </w:trPr>
        <w:tc>
          <w:tcPr>
            <w:tcW w:w="1107" w:type="dxa"/>
            <w:tcBorders>
              <w:top w:val="nil"/>
              <w:left w:val="nil"/>
              <w:bottom w:val="nil"/>
              <w:right w:val="single" w:sz="4" w:space="0" w:color="auto"/>
            </w:tcBorders>
            <w:vAlign w:val="center"/>
          </w:tcPr>
          <w:p w14:paraId="3CD8B6F1" w14:textId="77777777" w:rsidR="00D87D75" w:rsidRPr="00DE622B" w:rsidRDefault="00D87D75" w:rsidP="00DE622B">
            <w:pPr>
              <w:pStyle w:val="Tabletext"/>
            </w:pPr>
            <w:r w:rsidRPr="00DE622B">
              <w:t>6A</w:t>
            </w:r>
          </w:p>
        </w:tc>
        <w:tc>
          <w:tcPr>
            <w:tcW w:w="1282" w:type="dxa"/>
            <w:tcBorders>
              <w:top w:val="nil"/>
              <w:left w:val="single" w:sz="4" w:space="0" w:color="auto"/>
              <w:bottom w:val="nil"/>
              <w:right w:val="nil"/>
            </w:tcBorders>
            <w:vAlign w:val="center"/>
          </w:tcPr>
          <w:p w14:paraId="60EEFDDC" w14:textId="77777777" w:rsidR="00D87D75" w:rsidRPr="00313760" w:rsidRDefault="00D87D75" w:rsidP="003F7665">
            <w:pPr>
              <w:pStyle w:val="Tabletext"/>
              <w:tabs>
                <w:tab w:val="left" w:pos="284"/>
              </w:tabs>
              <w:ind w:left="284" w:hanging="284"/>
              <w:jc w:val="center"/>
              <w:rPr>
                <w:sz w:val="18"/>
                <w:szCs w:val="18"/>
              </w:rPr>
            </w:pPr>
            <w:r w:rsidRPr="00313760">
              <w:rPr>
                <w:sz w:val="18"/>
                <w:szCs w:val="18"/>
              </w:rPr>
              <w:t>–</w:t>
            </w:r>
          </w:p>
        </w:tc>
        <w:tc>
          <w:tcPr>
            <w:tcW w:w="1303" w:type="dxa"/>
            <w:tcBorders>
              <w:top w:val="nil"/>
              <w:left w:val="nil"/>
              <w:bottom w:val="nil"/>
              <w:right w:val="nil"/>
            </w:tcBorders>
            <w:vAlign w:val="center"/>
          </w:tcPr>
          <w:p w14:paraId="4B8DD79C" w14:textId="77777777" w:rsidR="00D87D75" w:rsidRPr="00313760" w:rsidRDefault="00D87D75" w:rsidP="003F7665">
            <w:pPr>
              <w:pStyle w:val="Tabletext"/>
              <w:tabs>
                <w:tab w:val="left" w:pos="284"/>
              </w:tabs>
              <w:ind w:left="284" w:hanging="284"/>
              <w:jc w:val="center"/>
              <w:rPr>
                <w:sz w:val="18"/>
                <w:szCs w:val="18"/>
              </w:rPr>
            </w:pPr>
            <w:r w:rsidRPr="00313760">
              <w:rPr>
                <w:sz w:val="18"/>
                <w:szCs w:val="18"/>
              </w:rPr>
              <w:t>–</w:t>
            </w:r>
          </w:p>
        </w:tc>
        <w:tc>
          <w:tcPr>
            <w:tcW w:w="1223" w:type="dxa"/>
            <w:tcBorders>
              <w:top w:val="nil"/>
              <w:left w:val="nil"/>
              <w:bottom w:val="nil"/>
              <w:right w:val="nil"/>
            </w:tcBorders>
            <w:vAlign w:val="center"/>
          </w:tcPr>
          <w:p w14:paraId="1B954AB9" w14:textId="617B4D2E" w:rsidR="00D87D75" w:rsidRPr="00313760" w:rsidRDefault="00D87D75" w:rsidP="003F7665">
            <w:pPr>
              <w:pStyle w:val="Tabletext"/>
              <w:tabs>
                <w:tab w:val="left" w:pos="284"/>
              </w:tabs>
              <w:ind w:left="284" w:hanging="284"/>
              <w:jc w:val="center"/>
              <w:rPr>
                <w:sz w:val="18"/>
                <w:szCs w:val="18"/>
              </w:rPr>
            </w:pPr>
            <w:r w:rsidRPr="00313760">
              <w:rPr>
                <w:sz w:val="18"/>
                <w:szCs w:val="18"/>
              </w:rPr>
              <w:t>1</w:t>
            </w:r>
          </w:p>
        </w:tc>
        <w:tc>
          <w:tcPr>
            <w:tcW w:w="1214" w:type="dxa"/>
            <w:tcBorders>
              <w:top w:val="nil"/>
              <w:left w:val="nil"/>
              <w:bottom w:val="nil"/>
              <w:right w:val="nil"/>
            </w:tcBorders>
            <w:vAlign w:val="center"/>
          </w:tcPr>
          <w:p w14:paraId="496066E2" w14:textId="77777777" w:rsidR="00D87D75" w:rsidRPr="00313760" w:rsidRDefault="00D87D75" w:rsidP="003F7665">
            <w:pPr>
              <w:pStyle w:val="Tabletext"/>
              <w:tabs>
                <w:tab w:val="left" w:pos="284"/>
              </w:tabs>
              <w:ind w:left="284" w:hanging="284"/>
              <w:jc w:val="center"/>
              <w:rPr>
                <w:sz w:val="18"/>
                <w:szCs w:val="18"/>
              </w:rPr>
            </w:pPr>
            <w:r w:rsidRPr="00313760">
              <w:rPr>
                <w:sz w:val="18"/>
                <w:szCs w:val="18"/>
              </w:rPr>
              <w:t>–</w:t>
            </w:r>
          </w:p>
        </w:tc>
        <w:tc>
          <w:tcPr>
            <w:tcW w:w="1214" w:type="dxa"/>
            <w:tcBorders>
              <w:top w:val="nil"/>
              <w:left w:val="nil"/>
              <w:bottom w:val="nil"/>
              <w:right w:val="nil"/>
            </w:tcBorders>
            <w:vAlign w:val="center"/>
          </w:tcPr>
          <w:p w14:paraId="1257D77A" w14:textId="77777777" w:rsidR="00D87D75" w:rsidRPr="00313760" w:rsidRDefault="00D87D75" w:rsidP="003F7665">
            <w:pPr>
              <w:pStyle w:val="Tabletext"/>
              <w:tabs>
                <w:tab w:val="left" w:pos="284"/>
              </w:tabs>
              <w:ind w:left="284" w:hanging="284"/>
              <w:jc w:val="center"/>
              <w:rPr>
                <w:sz w:val="18"/>
                <w:szCs w:val="18"/>
              </w:rPr>
            </w:pPr>
            <w:r w:rsidRPr="00313760">
              <w:rPr>
                <w:sz w:val="18"/>
                <w:szCs w:val="18"/>
              </w:rPr>
              <w:t>–</w:t>
            </w:r>
          </w:p>
        </w:tc>
        <w:tc>
          <w:tcPr>
            <w:tcW w:w="1458" w:type="dxa"/>
            <w:tcBorders>
              <w:top w:val="nil"/>
              <w:left w:val="nil"/>
              <w:bottom w:val="nil"/>
              <w:right w:val="nil"/>
            </w:tcBorders>
            <w:vAlign w:val="center"/>
          </w:tcPr>
          <w:p w14:paraId="4EF221F6" w14:textId="524CDA2B" w:rsidR="00D87D75" w:rsidRPr="00313760" w:rsidRDefault="00D87D75" w:rsidP="003F7665">
            <w:pPr>
              <w:pStyle w:val="Tabletext"/>
              <w:tabs>
                <w:tab w:val="left" w:pos="284"/>
              </w:tabs>
              <w:ind w:left="284" w:hanging="284"/>
              <w:jc w:val="center"/>
              <w:rPr>
                <w:sz w:val="18"/>
                <w:szCs w:val="18"/>
              </w:rPr>
            </w:pPr>
            <w:r w:rsidRPr="00313760">
              <w:rPr>
                <w:sz w:val="18"/>
                <w:szCs w:val="18"/>
              </w:rPr>
              <w:t>1</w:t>
            </w:r>
          </w:p>
        </w:tc>
      </w:tr>
      <w:tr w:rsidR="00D87D75" w:rsidRPr="00313760" w14:paraId="568E991F" w14:textId="77777777" w:rsidTr="003F7665">
        <w:trPr>
          <w:trHeight w:val="273"/>
        </w:trPr>
        <w:tc>
          <w:tcPr>
            <w:tcW w:w="1107" w:type="dxa"/>
            <w:tcBorders>
              <w:top w:val="nil"/>
              <w:left w:val="nil"/>
              <w:bottom w:val="nil"/>
              <w:right w:val="single" w:sz="4" w:space="0" w:color="auto"/>
            </w:tcBorders>
            <w:vAlign w:val="center"/>
          </w:tcPr>
          <w:p w14:paraId="39ECB0C1" w14:textId="77777777" w:rsidR="00D87D75" w:rsidRPr="00DE622B" w:rsidRDefault="00D87D75" w:rsidP="00DE622B">
            <w:pPr>
              <w:pStyle w:val="Tabletext"/>
            </w:pPr>
            <w:r w:rsidRPr="00DE622B">
              <w:t>7F</w:t>
            </w:r>
          </w:p>
        </w:tc>
        <w:tc>
          <w:tcPr>
            <w:tcW w:w="1282" w:type="dxa"/>
            <w:tcBorders>
              <w:top w:val="nil"/>
              <w:left w:val="single" w:sz="4" w:space="0" w:color="auto"/>
              <w:bottom w:val="nil"/>
              <w:right w:val="nil"/>
            </w:tcBorders>
            <w:vAlign w:val="center"/>
          </w:tcPr>
          <w:p w14:paraId="4845BBCC" w14:textId="77777777" w:rsidR="00D87D75" w:rsidRPr="00313760" w:rsidRDefault="00D87D75" w:rsidP="003F7665">
            <w:pPr>
              <w:pStyle w:val="Tabletext"/>
              <w:tabs>
                <w:tab w:val="left" w:pos="284"/>
              </w:tabs>
              <w:ind w:left="284" w:hanging="284"/>
              <w:jc w:val="center"/>
              <w:rPr>
                <w:sz w:val="18"/>
                <w:szCs w:val="18"/>
              </w:rPr>
            </w:pPr>
            <w:r w:rsidRPr="00313760">
              <w:rPr>
                <w:sz w:val="18"/>
                <w:szCs w:val="18"/>
              </w:rPr>
              <w:t>–</w:t>
            </w:r>
          </w:p>
        </w:tc>
        <w:tc>
          <w:tcPr>
            <w:tcW w:w="1303" w:type="dxa"/>
            <w:tcBorders>
              <w:top w:val="nil"/>
              <w:left w:val="nil"/>
              <w:bottom w:val="nil"/>
              <w:right w:val="nil"/>
            </w:tcBorders>
            <w:vAlign w:val="center"/>
          </w:tcPr>
          <w:p w14:paraId="3642593A" w14:textId="18A9D173" w:rsidR="00D87D75" w:rsidRPr="00313760" w:rsidRDefault="00D87D75" w:rsidP="003F7665">
            <w:pPr>
              <w:pStyle w:val="Tabletext"/>
              <w:tabs>
                <w:tab w:val="left" w:pos="284"/>
              </w:tabs>
              <w:ind w:left="284" w:hanging="284"/>
              <w:jc w:val="center"/>
              <w:rPr>
                <w:sz w:val="18"/>
                <w:szCs w:val="18"/>
              </w:rPr>
            </w:pPr>
            <w:r w:rsidRPr="00313760">
              <w:rPr>
                <w:sz w:val="18"/>
                <w:szCs w:val="18"/>
              </w:rPr>
              <w:t>1</w:t>
            </w:r>
          </w:p>
        </w:tc>
        <w:tc>
          <w:tcPr>
            <w:tcW w:w="1223" w:type="dxa"/>
            <w:tcBorders>
              <w:top w:val="nil"/>
              <w:left w:val="nil"/>
              <w:bottom w:val="nil"/>
              <w:right w:val="nil"/>
            </w:tcBorders>
            <w:vAlign w:val="center"/>
          </w:tcPr>
          <w:p w14:paraId="2A65D0ED" w14:textId="77777777" w:rsidR="00D87D75" w:rsidRPr="00313760" w:rsidRDefault="00D87D75" w:rsidP="003F7665">
            <w:pPr>
              <w:pStyle w:val="Tabletext"/>
              <w:tabs>
                <w:tab w:val="left" w:pos="284"/>
              </w:tabs>
              <w:ind w:left="284" w:hanging="284"/>
              <w:jc w:val="center"/>
              <w:rPr>
                <w:sz w:val="18"/>
                <w:szCs w:val="18"/>
              </w:rPr>
            </w:pPr>
            <w:r w:rsidRPr="00313760">
              <w:rPr>
                <w:sz w:val="18"/>
                <w:szCs w:val="18"/>
              </w:rPr>
              <w:t>–</w:t>
            </w:r>
          </w:p>
        </w:tc>
        <w:tc>
          <w:tcPr>
            <w:tcW w:w="1214" w:type="dxa"/>
            <w:tcBorders>
              <w:top w:val="nil"/>
              <w:left w:val="nil"/>
              <w:bottom w:val="nil"/>
              <w:right w:val="nil"/>
            </w:tcBorders>
            <w:vAlign w:val="center"/>
          </w:tcPr>
          <w:p w14:paraId="1F0CD92F" w14:textId="77777777" w:rsidR="00D87D75" w:rsidRPr="00313760" w:rsidRDefault="00D87D75" w:rsidP="003F7665">
            <w:pPr>
              <w:pStyle w:val="Tabletext"/>
              <w:tabs>
                <w:tab w:val="left" w:pos="284"/>
              </w:tabs>
              <w:ind w:left="284" w:hanging="284"/>
              <w:jc w:val="center"/>
              <w:rPr>
                <w:sz w:val="18"/>
                <w:szCs w:val="18"/>
              </w:rPr>
            </w:pPr>
            <w:r w:rsidRPr="00313760">
              <w:rPr>
                <w:sz w:val="18"/>
                <w:szCs w:val="18"/>
              </w:rPr>
              <w:t>–</w:t>
            </w:r>
          </w:p>
        </w:tc>
        <w:tc>
          <w:tcPr>
            <w:tcW w:w="1214" w:type="dxa"/>
            <w:tcBorders>
              <w:top w:val="nil"/>
              <w:left w:val="nil"/>
              <w:bottom w:val="nil"/>
              <w:right w:val="nil"/>
            </w:tcBorders>
            <w:vAlign w:val="center"/>
          </w:tcPr>
          <w:p w14:paraId="4AF4A5AF" w14:textId="77777777" w:rsidR="00D87D75" w:rsidRPr="00313760" w:rsidRDefault="00D87D75" w:rsidP="003F7665">
            <w:pPr>
              <w:pStyle w:val="Tabletext"/>
              <w:tabs>
                <w:tab w:val="left" w:pos="284"/>
              </w:tabs>
              <w:ind w:left="284" w:hanging="284"/>
              <w:jc w:val="center"/>
              <w:rPr>
                <w:sz w:val="18"/>
                <w:szCs w:val="18"/>
              </w:rPr>
            </w:pPr>
            <w:r w:rsidRPr="00313760">
              <w:rPr>
                <w:sz w:val="18"/>
                <w:szCs w:val="18"/>
              </w:rPr>
              <w:t>–</w:t>
            </w:r>
          </w:p>
        </w:tc>
        <w:tc>
          <w:tcPr>
            <w:tcW w:w="1458" w:type="dxa"/>
            <w:tcBorders>
              <w:top w:val="nil"/>
              <w:left w:val="nil"/>
              <w:bottom w:val="nil"/>
              <w:right w:val="nil"/>
            </w:tcBorders>
            <w:vAlign w:val="center"/>
          </w:tcPr>
          <w:p w14:paraId="2684FA99" w14:textId="1309B02B" w:rsidR="00D87D75" w:rsidRPr="00313760" w:rsidRDefault="00D87D75" w:rsidP="003F7665">
            <w:pPr>
              <w:pStyle w:val="Tabletext"/>
              <w:tabs>
                <w:tab w:val="left" w:pos="284"/>
              </w:tabs>
              <w:ind w:left="284" w:hanging="284"/>
              <w:jc w:val="center"/>
              <w:rPr>
                <w:sz w:val="18"/>
                <w:szCs w:val="18"/>
              </w:rPr>
            </w:pPr>
            <w:r w:rsidRPr="00313760">
              <w:rPr>
                <w:sz w:val="18"/>
                <w:szCs w:val="18"/>
              </w:rPr>
              <w:t>1</w:t>
            </w:r>
          </w:p>
        </w:tc>
      </w:tr>
      <w:tr w:rsidR="00D87D75" w:rsidRPr="00313760" w14:paraId="3844CA28" w14:textId="77777777" w:rsidTr="003F7665">
        <w:trPr>
          <w:trHeight w:val="287"/>
        </w:trPr>
        <w:tc>
          <w:tcPr>
            <w:tcW w:w="1107" w:type="dxa"/>
            <w:tcBorders>
              <w:top w:val="nil"/>
              <w:left w:val="nil"/>
              <w:bottom w:val="nil"/>
              <w:right w:val="single" w:sz="4" w:space="0" w:color="auto"/>
            </w:tcBorders>
            <w:vAlign w:val="center"/>
          </w:tcPr>
          <w:p w14:paraId="3795166D" w14:textId="77777777" w:rsidR="00D87D75" w:rsidRPr="00DE622B" w:rsidRDefault="00D87D75" w:rsidP="00DE622B">
            <w:pPr>
              <w:pStyle w:val="Tabletext"/>
            </w:pPr>
            <w:r w:rsidRPr="00DE622B">
              <w:t>19A</w:t>
            </w:r>
          </w:p>
        </w:tc>
        <w:tc>
          <w:tcPr>
            <w:tcW w:w="1282" w:type="dxa"/>
            <w:tcBorders>
              <w:top w:val="nil"/>
              <w:left w:val="single" w:sz="4" w:space="0" w:color="auto"/>
              <w:bottom w:val="nil"/>
              <w:right w:val="nil"/>
            </w:tcBorders>
            <w:vAlign w:val="center"/>
          </w:tcPr>
          <w:p w14:paraId="6D8A171B" w14:textId="5CB9D2E0" w:rsidR="00D87D75" w:rsidRPr="00313760" w:rsidRDefault="00D87D75" w:rsidP="003F7665">
            <w:pPr>
              <w:pStyle w:val="Tabletext"/>
              <w:tabs>
                <w:tab w:val="left" w:pos="284"/>
              </w:tabs>
              <w:ind w:left="284" w:hanging="284"/>
              <w:jc w:val="center"/>
              <w:rPr>
                <w:sz w:val="18"/>
                <w:szCs w:val="18"/>
              </w:rPr>
            </w:pPr>
            <w:r>
              <w:rPr>
                <w:sz w:val="18"/>
                <w:szCs w:val="18"/>
              </w:rPr>
              <w:t>2</w:t>
            </w:r>
          </w:p>
        </w:tc>
        <w:tc>
          <w:tcPr>
            <w:tcW w:w="1303" w:type="dxa"/>
            <w:tcBorders>
              <w:top w:val="nil"/>
              <w:left w:val="nil"/>
              <w:bottom w:val="nil"/>
              <w:right w:val="nil"/>
            </w:tcBorders>
            <w:vAlign w:val="center"/>
          </w:tcPr>
          <w:p w14:paraId="65A559E5" w14:textId="25A61B4E" w:rsidR="00D87D75" w:rsidRPr="00313760" w:rsidRDefault="00D87D75" w:rsidP="003F7665">
            <w:pPr>
              <w:pStyle w:val="Tabletext"/>
              <w:tabs>
                <w:tab w:val="left" w:pos="284"/>
              </w:tabs>
              <w:ind w:left="284" w:hanging="284"/>
              <w:jc w:val="center"/>
              <w:rPr>
                <w:sz w:val="18"/>
                <w:szCs w:val="18"/>
              </w:rPr>
            </w:pPr>
            <w:r w:rsidRPr="00313760">
              <w:rPr>
                <w:sz w:val="18"/>
                <w:szCs w:val="18"/>
              </w:rPr>
              <w:t>38</w:t>
            </w:r>
          </w:p>
        </w:tc>
        <w:tc>
          <w:tcPr>
            <w:tcW w:w="1223" w:type="dxa"/>
            <w:tcBorders>
              <w:top w:val="nil"/>
              <w:left w:val="nil"/>
              <w:bottom w:val="nil"/>
              <w:right w:val="nil"/>
            </w:tcBorders>
            <w:vAlign w:val="center"/>
          </w:tcPr>
          <w:p w14:paraId="1376A666" w14:textId="02567CC4" w:rsidR="00D87D75" w:rsidRPr="00313760" w:rsidRDefault="00D87D75" w:rsidP="003F7665">
            <w:pPr>
              <w:pStyle w:val="Tabletext"/>
              <w:tabs>
                <w:tab w:val="left" w:pos="284"/>
              </w:tabs>
              <w:ind w:left="284" w:hanging="284"/>
              <w:jc w:val="center"/>
              <w:rPr>
                <w:sz w:val="18"/>
                <w:szCs w:val="18"/>
              </w:rPr>
            </w:pPr>
            <w:r w:rsidRPr="00313760">
              <w:rPr>
                <w:sz w:val="18"/>
                <w:szCs w:val="18"/>
              </w:rPr>
              <w:t>1</w:t>
            </w:r>
            <w:r>
              <w:rPr>
                <w:sz w:val="18"/>
                <w:szCs w:val="18"/>
              </w:rPr>
              <w:t>4</w:t>
            </w:r>
          </w:p>
        </w:tc>
        <w:tc>
          <w:tcPr>
            <w:tcW w:w="1214" w:type="dxa"/>
            <w:tcBorders>
              <w:top w:val="nil"/>
              <w:left w:val="nil"/>
              <w:bottom w:val="nil"/>
              <w:right w:val="nil"/>
            </w:tcBorders>
            <w:vAlign w:val="center"/>
          </w:tcPr>
          <w:p w14:paraId="49DA425D" w14:textId="494A3AD0" w:rsidR="00D87D75" w:rsidRPr="00313760" w:rsidRDefault="002B68BC" w:rsidP="003F7665">
            <w:pPr>
              <w:pStyle w:val="Tabletext"/>
              <w:tabs>
                <w:tab w:val="left" w:pos="284"/>
              </w:tabs>
              <w:ind w:left="284" w:hanging="284"/>
              <w:jc w:val="center"/>
              <w:rPr>
                <w:sz w:val="18"/>
                <w:szCs w:val="18"/>
              </w:rPr>
            </w:pPr>
            <w:r>
              <w:rPr>
                <w:sz w:val="18"/>
                <w:szCs w:val="18"/>
              </w:rPr>
              <w:t>6</w:t>
            </w:r>
          </w:p>
        </w:tc>
        <w:tc>
          <w:tcPr>
            <w:tcW w:w="1214" w:type="dxa"/>
            <w:tcBorders>
              <w:top w:val="nil"/>
              <w:left w:val="nil"/>
              <w:bottom w:val="nil"/>
              <w:right w:val="nil"/>
            </w:tcBorders>
            <w:vAlign w:val="center"/>
          </w:tcPr>
          <w:p w14:paraId="5530C32C" w14:textId="2CEA2C13" w:rsidR="00D87D75" w:rsidRPr="00313760" w:rsidRDefault="00D87D75" w:rsidP="003F7665">
            <w:pPr>
              <w:pStyle w:val="Tabletext"/>
              <w:tabs>
                <w:tab w:val="left" w:pos="284"/>
              </w:tabs>
              <w:ind w:left="284" w:hanging="284"/>
              <w:jc w:val="center"/>
              <w:rPr>
                <w:sz w:val="18"/>
                <w:szCs w:val="18"/>
              </w:rPr>
            </w:pPr>
            <w:r w:rsidRPr="00313760">
              <w:rPr>
                <w:sz w:val="18"/>
                <w:szCs w:val="18"/>
              </w:rPr>
              <w:t>2</w:t>
            </w:r>
          </w:p>
        </w:tc>
        <w:tc>
          <w:tcPr>
            <w:tcW w:w="1458" w:type="dxa"/>
            <w:tcBorders>
              <w:top w:val="nil"/>
              <w:left w:val="nil"/>
              <w:bottom w:val="nil"/>
              <w:right w:val="nil"/>
            </w:tcBorders>
            <w:vAlign w:val="center"/>
          </w:tcPr>
          <w:p w14:paraId="4ABC6393" w14:textId="3FBF08B7" w:rsidR="00D87D75" w:rsidRPr="00313760" w:rsidRDefault="00D87D75" w:rsidP="002B68BC">
            <w:pPr>
              <w:pStyle w:val="Tabletext"/>
              <w:tabs>
                <w:tab w:val="left" w:pos="284"/>
              </w:tabs>
              <w:ind w:left="284" w:hanging="284"/>
              <w:jc w:val="center"/>
              <w:rPr>
                <w:sz w:val="18"/>
                <w:szCs w:val="18"/>
              </w:rPr>
            </w:pPr>
            <w:r w:rsidRPr="00313760">
              <w:rPr>
                <w:sz w:val="18"/>
                <w:szCs w:val="18"/>
              </w:rPr>
              <w:t>6</w:t>
            </w:r>
            <w:r w:rsidR="002B68BC">
              <w:rPr>
                <w:sz w:val="18"/>
                <w:szCs w:val="18"/>
              </w:rPr>
              <w:t>2</w:t>
            </w:r>
          </w:p>
        </w:tc>
      </w:tr>
      <w:tr w:rsidR="00D87D75" w:rsidRPr="00313760" w14:paraId="366CA1B4" w14:textId="77777777" w:rsidTr="003F7665">
        <w:trPr>
          <w:trHeight w:val="287"/>
        </w:trPr>
        <w:tc>
          <w:tcPr>
            <w:tcW w:w="1107" w:type="dxa"/>
            <w:tcBorders>
              <w:top w:val="nil"/>
              <w:left w:val="nil"/>
              <w:bottom w:val="single" w:sz="4" w:space="0" w:color="auto"/>
              <w:right w:val="single" w:sz="4" w:space="0" w:color="auto"/>
            </w:tcBorders>
            <w:vAlign w:val="center"/>
          </w:tcPr>
          <w:p w14:paraId="420C2C82" w14:textId="77777777" w:rsidR="00D87D75" w:rsidRPr="00DE622B" w:rsidRDefault="00D87D75" w:rsidP="00DE622B">
            <w:pPr>
              <w:pStyle w:val="Tabletext"/>
            </w:pPr>
            <w:r w:rsidRPr="00DE622B">
              <w:t>19F</w:t>
            </w:r>
          </w:p>
        </w:tc>
        <w:tc>
          <w:tcPr>
            <w:tcW w:w="1282" w:type="dxa"/>
            <w:tcBorders>
              <w:top w:val="nil"/>
              <w:left w:val="single" w:sz="4" w:space="0" w:color="auto"/>
              <w:bottom w:val="single" w:sz="4" w:space="0" w:color="auto"/>
              <w:right w:val="nil"/>
            </w:tcBorders>
            <w:vAlign w:val="center"/>
          </w:tcPr>
          <w:p w14:paraId="6814581B" w14:textId="3E4A1540" w:rsidR="00D87D75" w:rsidRPr="00313760" w:rsidRDefault="00D87D75" w:rsidP="003F7665">
            <w:pPr>
              <w:pStyle w:val="Tabletext"/>
              <w:tabs>
                <w:tab w:val="left" w:pos="284"/>
              </w:tabs>
              <w:ind w:left="284" w:hanging="284"/>
              <w:jc w:val="center"/>
              <w:rPr>
                <w:sz w:val="18"/>
                <w:szCs w:val="18"/>
              </w:rPr>
            </w:pPr>
            <w:r w:rsidRPr="00313760">
              <w:rPr>
                <w:sz w:val="18"/>
                <w:szCs w:val="18"/>
              </w:rPr>
              <w:t>2</w:t>
            </w:r>
          </w:p>
        </w:tc>
        <w:tc>
          <w:tcPr>
            <w:tcW w:w="1303" w:type="dxa"/>
            <w:tcBorders>
              <w:top w:val="nil"/>
              <w:left w:val="nil"/>
              <w:bottom w:val="single" w:sz="4" w:space="0" w:color="auto"/>
              <w:right w:val="nil"/>
            </w:tcBorders>
            <w:vAlign w:val="center"/>
          </w:tcPr>
          <w:p w14:paraId="6F84FEB0" w14:textId="10628073" w:rsidR="00D87D75" w:rsidRPr="00313760" w:rsidRDefault="00D87D75" w:rsidP="003F7665">
            <w:pPr>
              <w:pStyle w:val="Tabletext"/>
              <w:tabs>
                <w:tab w:val="left" w:pos="284"/>
              </w:tabs>
              <w:ind w:left="284" w:hanging="284"/>
              <w:jc w:val="center"/>
              <w:rPr>
                <w:sz w:val="18"/>
                <w:szCs w:val="18"/>
              </w:rPr>
            </w:pPr>
            <w:r w:rsidRPr="00313760">
              <w:rPr>
                <w:sz w:val="18"/>
                <w:szCs w:val="18"/>
              </w:rPr>
              <w:t>9</w:t>
            </w:r>
          </w:p>
        </w:tc>
        <w:tc>
          <w:tcPr>
            <w:tcW w:w="1223" w:type="dxa"/>
            <w:tcBorders>
              <w:top w:val="nil"/>
              <w:left w:val="nil"/>
              <w:bottom w:val="single" w:sz="4" w:space="0" w:color="auto"/>
              <w:right w:val="nil"/>
            </w:tcBorders>
            <w:vAlign w:val="center"/>
          </w:tcPr>
          <w:p w14:paraId="5C2BA1F1" w14:textId="135C3FDD" w:rsidR="00D87D75" w:rsidRPr="00313760" w:rsidRDefault="00D87D75" w:rsidP="003F7665">
            <w:pPr>
              <w:pStyle w:val="Tabletext"/>
              <w:tabs>
                <w:tab w:val="left" w:pos="284"/>
              </w:tabs>
              <w:ind w:left="284" w:hanging="284"/>
              <w:jc w:val="center"/>
              <w:rPr>
                <w:sz w:val="18"/>
                <w:szCs w:val="18"/>
              </w:rPr>
            </w:pPr>
            <w:r w:rsidRPr="00313760">
              <w:rPr>
                <w:sz w:val="18"/>
                <w:szCs w:val="18"/>
              </w:rPr>
              <w:t>3</w:t>
            </w:r>
          </w:p>
        </w:tc>
        <w:tc>
          <w:tcPr>
            <w:tcW w:w="1214" w:type="dxa"/>
            <w:tcBorders>
              <w:top w:val="nil"/>
              <w:left w:val="nil"/>
              <w:bottom w:val="single" w:sz="4" w:space="0" w:color="auto"/>
              <w:right w:val="nil"/>
            </w:tcBorders>
            <w:vAlign w:val="center"/>
          </w:tcPr>
          <w:p w14:paraId="10F08C12" w14:textId="77777777" w:rsidR="00D87D75" w:rsidRPr="00313760" w:rsidRDefault="00D87D75" w:rsidP="003F7665">
            <w:pPr>
              <w:pStyle w:val="Tabletext"/>
              <w:tabs>
                <w:tab w:val="left" w:pos="284"/>
              </w:tabs>
              <w:ind w:left="284" w:hanging="284"/>
              <w:jc w:val="center"/>
              <w:rPr>
                <w:sz w:val="18"/>
                <w:szCs w:val="18"/>
              </w:rPr>
            </w:pPr>
            <w:r w:rsidRPr="00313760">
              <w:rPr>
                <w:sz w:val="18"/>
                <w:szCs w:val="18"/>
              </w:rPr>
              <w:t>–</w:t>
            </w:r>
          </w:p>
        </w:tc>
        <w:tc>
          <w:tcPr>
            <w:tcW w:w="1214" w:type="dxa"/>
            <w:tcBorders>
              <w:top w:val="nil"/>
              <w:left w:val="nil"/>
              <w:bottom w:val="single" w:sz="4" w:space="0" w:color="auto"/>
              <w:right w:val="nil"/>
            </w:tcBorders>
            <w:vAlign w:val="center"/>
          </w:tcPr>
          <w:p w14:paraId="773A4921" w14:textId="77777777" w:rsidR="00D87D75" w:rsidRPr="00313760" w:rsidRDefault="00D87D75" w:rsidP="003F7665">
            <w:pPr>
              <w:pStyle w:val="Tabletext"/>
              <w:tabs>
                <w:tab w:val="left" w:pos="284"/>
              </w:tabs>
              <w:ind w:left="284" w:hanging="284"/>
              <w:jc w:val="center"/>
              <w:rPr>
                <w:sz w:val="18"/>
                <w:szCs w:val="18"/>
              </w:rPr>
            </w:pPr>
            <w:r w:rsidRPr="00313760">
              <w:rPr>
                <w:sz w:val="18"/>
                <w:szCs w:val="18"/>
              </w:rPr>
              <w:t>–</w:t>
            </w:r>
          </w:p>
        </w:tc>
        <w:tc>
          <w:tcPr>
            <w:tcW w:w="1458" w:type="dxa"/>
            <w:tcBorders>
              <w:top w:val="nil"/>
              <w:left w:val="nil"/>
              <w:bottom w:val="single" w:sz="4" w:space="0" w:color="auto"/>
              <w:right w:val="nil"/>
            </w:tcBorders>
            <w:vAlign w:val="center"/>
          </w:tcPr>
          <w:p w14:paraId="121478D8" w14:textId="183855C9" w:rsidR="00D87D75" w:rsidRPr="00313760" w:rsidRDefault="00D87D75" w:rsidP="003F7665">
            <w:pPr>
              <w:pStyle w:val="Tabletext"/>
              <w:tabs>
                <w:tab w:val="left" w:pos="284"/>
              </w:tabs>
              <w:ind w:left="284" w:hanging="284"/>
              <w:jc w:val="center"/>
              <w:rPr>
                <w:sz w:val="18"/>
                <w:szCs w:val="18"/>
              </w:rPr>
            </w:pPr>
            <w:r w:rsidRPr="00313760">
              <w:rPr>
                <w:sz w:val="18"/>
                <w:szCs w:val="18"/>
              </w:rPr>
              <w:t>14</w:t>
            </w:r>
          </w:p>
        </w:tc>
      </w:tr>
      <w:tr w:rsidR="00D87D75" w:rsidRPr="00C654F0" w14:paraId="3FBEA6AF" w14:textId="77777777" w:rsidTr="003F7665">
        <w:trPr>
          <w:trHeight w:val="287"/>
        </w:trPr>
        <w:tc>
          <w:tcPr>
            <w:tcW w:w="1107" w:type="dxa"/>
            <w:tcBorders>
              <w:top w:val="single" w:sz="4" w:space="0" w:color="auto"/>
              <w:left w:val="nil"/>
              <w:bottom w:val="double" w:sz="4" w:space="0" w:color="auto"/>
              <w:right w:val="single" w:sz="4" w:space="0" w:color="auto"/>
            </w:tcBorders>
            <w:vAlign w:val="center"/>
          </w:tcPr>
          <w:p w14:paraId="008448D1" w14:textId="77777777" w:rsidR="00D87D75" w:rsidRPr="00313760" w:rsidRDefault="00D87D75" w:rsidP="00865DEA">
            <w:pPr>
              <w:pStyle w:val="Tabletext"/>
              <w:tabs>
                <w:tab w:val="left" w:pos="284"/>
              </w:tabs>
              <w:ind w:left="284" w:hanging="284"/>
              <w:rPr>
                <w:b/>
                <w:bCs/>
                <w:sz w:val="18"/>
                <w:szCs w:val="18"/>
              </w:rPr>
            </w:pPr>
            <w:r w:rsidRPr="00313760">
              <w:rPr>
                <w:b/>
                <w:bCs/>
                <w:sz w:val="18"/>
                <w:szCs w:val="18"/>
              </w:rPr>
              <w:t>Total</w:t>
            </w:r>
          </w:p>
        </w:tc>
        <w:tc>
          <w:tcPr>
            <w:tcW w:w="1282" w:type="dxa"/>
            <w:tcBorders>
              <w:top w:val="single" w:sz="4" w:space="0" w:color="auto"/>
              <w:left w:val="single" w:sz="4" w:space="0" w:color="auto"/>
              <w:bottom w:val="double" w:sz="4" w:space="0" w:color="auto"/>
              <w:right w:val="nil"/>
            </w:tcBorders>
            <w:vAlign w:val="center"/>
          </w:tcPr>
          <w:p w14:paraId="6DEA25E8" w14:textId="243BA95C" w:rsidR="00D87D75" w:rsidRPr="00DE622B" w:rsidRDefault="00D87D75" w:rsidP="00DE622B">
            <w:pPr>
              <w:pStyle w:val="Tabletext"/>
              <w:jc w:val="center"/>
              <w:rPr>
                <w:b/>
              </w:rPr>
            </w:pPr>
            <w:r w:rsidRPr="00DE622B">
              <w:rPr>
                <w:b/>
              </w:rPr>
              <w:t>7 (</w:t>
            </w:r>
            <w:r w:rsidR="00CE51B1" w:rsidRPr="00DE622B">
              <w:rPr>
                <w:b/>
              </w:rPr>
              <w:t>6</w:t>
            </w:r>
            <w:r w:rsidRPr="00DE622B">
              <w:rPr>
                <w:b/>
              </w:rPr>
              <w:t>%)</w:t>
            </w:r>
          </w:p>
        </w:tc>
        <w:tc>
          <w:tcPr>
            <w:tcW w:w="1303" w:type="dxa"/>
            <w:tcBorders>
              <w:top w:val="single" w:sz="4" w:space="0" w:color="auto"/>
              <w:left w:val="nil"/>
              <w:bottom w:val="double" w:sz="4" w:space="0" w:color="auto"/>
              <w:right w:val="nil"/>
            </w:tcBorders>
            <w:vAlign w:val="center"/>
          </w:tcPr>
          <w:p w14:paraId="4ABD2706" w14:textId="24BD7747" w:rsidR="00D87D75" w:rsidRPr="00DE622B" w:rsidRDefault="00D87D75" w:rsidP="00DE622B">
            <w:pPr>
              <w:pStyle w:val="Tabletext"/>
              <w:jc w:val="center"/>
              <w:rPr>
                <w:b/>
              </w:rPr>
            </w:pPr>
            <w:r w:rsidRPr="00DE622B">
              <w:rPr>
                <w:b/>
              </w:rPr>
              <w:t>63 (</w:t>
            </w:r>
            <w:r w:rsidR="00CE51B1" w:rsidRPr="00DE622B">
              <w:rPr>
                <w:b/>
              </w:rPr>
              <w:t>58</w:t>
            </w:r>
            <w:r w:rsidRPr="00DE622B">
              <w:rPr>
                <w:b/>
              </w:rPr>
              <w:t>%)</w:t>
            </w:r>
          </w:p>
        </w:tc>
        <w:tc>
          <w:tcPr>
            <w:tcW w:w="1223" w:type="dxa"/>
            <w:tcBorders>
              <w:top w:val="single" w:sz="4" w:space="0" w:color="auto"/>
              <w:left w:val="nil"/>
              <w:bottom w:val="double" w:sz="4" w:space="0" w:color="auto"/>
              <w:right w:val="nil"/>
            </w:tcBorders>
            <w:vAlign w:val="center"/>
          </w:tcPr>
          <w:p w14:paraId="558EEC37" w14:textId="1E71C6EF" w:rsidR="00D87D75" w:rsidRPr="00DE622B" w:rsidRDefault="00D87D75" w:rsidP="00DE622B">
            <w:pPr>
              <w:pStyle w:val="Tabletext"/>
              <w:jc w:val="center"/>
              <w:rPr>
                <w:b/>
              </w:rPr>
            </w:pPr>
            <w:r w:rsidRPr="00DE622B">
              <w:rPr>
                <w:b/>
              </w:rPr>
              <w:t>27 (</w:t>
            </w:r>
            <w:r w:rsidR="005B7AA7" w:rsidRPr="00DE622B">
              <w:rPr>
                <w:b/>
              </w:rPr>
              <w:t>25</w:t>
            </w:r>
            <w:r w:rsidRPr="00DE622B">
              <w:rPr>
                <w:b/>
              </w:rPr>
              <w:t>%)</w:t>
            </w:r>
          </w:p>
        </w:tc>
        <w:tc>
          <w:tcPr>
            <w:tcW w:w="1214" w:type="dxa"/>
            <w:tcBorders>
              <w:top w:val="single" w:sz="4" w:space="0" w:color="auto"/>
              <w:left w:val="nil"/>
              <w:bottom w:val="double" w:sz="4" w:space="0" w:color="auto"/>
              <w:right w:val="nil"/>
            </w:tcBorders>
            <w:vAlign w:val="center"/>
          </w:tcPr>
          <w:p w14:paraId="6708EE6B" w14:textId="05C6795D" w:rsidR="00D87D75" w:rsidRPr="00DE622B" w:rsidRDefault="00D87D75" w:rsidP="00DE622B">
            <w:pPr>
              <w:pStyle w:val="Tabletext"/>
              <w:jc w:val="center"/>
              <w:rPr>
                <w:b/>
              </w:rPr>
            </w:pPr>
            <w:r w:rsidRPr="00DE622B">
              <w:rPr>
                <w:b/>
              </w:rPr>
              <w:t>9 (</w:t>
            </w:r>
            <w:r w:rsidR="00CE51B1" w:rsidRPr="00DE622B">
              <w:rPr>
                <w:b/>
              </w:rPr>
              <w:t>8</w:t>
            </w:r>
            <w:r w:rsidRPr="00DE622B">
              <w:rPr>
                <w:b/>
              </w:rPr>
              <w:t>%)</w:t>
            </w:r>
          </w:p>
        </w:tc>
        <w:tc>
          <w:tcPr>
            <w:tcW w:w="1214" w:type="dxa"/>
            <w:tcBorders>
              <w:top w:val="single" w:sz="4" w:space="0" w:color="auto"/>
              <w:left w:val="nil"/>
              <w:bottom w:val="double" w:sz="4" w:space="0" w:color="auto"/>
              <w:right w:val="nil"/>
            </w:tcBorders>
            <w:vAlign w:val="center"/>
          </w:tcPr>
          <w:p w14:paraId="5CAF630C" w14:textId="6F15D056" w:rsidR="00D87D75" w:rsidRPr="00DE622B" w:rsidRDefault="00D87D75" w:rsidP="00DE622B">
            <w:pPr>
              <w:pStyle w:val="Tabletext"/>
              <w:jc w:val="center"/>
              <w:rPr>
                <w:b/>
              </w:rPr>
            </w:pPr>
            <w:r w:rsidRPr="00DE622B">
              <w:rPr>
                <w:b/>
              </w:rPr>
              <w:t>2 (</w:t>
            </w:r>
            <w:r w:rsidR="00CE51B1" w:rsidRPr="00DE622B">
              <w:rPr>
                <w:b/>
              </w:rPr>
              <w:t>2</w:t>
            </w:r>
            <w:r w:rsidRPr="00DE622B">
              <w:rPr>
                <w:b/>
              </w:rPr>
              <w:t>%)</w:t>
            </w:r>
          </w:p>
        </w:tc>
        <w:tc>
          <w:tcPr>
            <w:tcW w:w="1458" w:type="dxa"/>
            <w:tcBorders>
              <w:top w:val="single" w:sz="4" w:space="0" w:color="auto"/>
              <w:left w:val="nil"/>
              <w:bottom w:val="double" w:sz="4" w:space="0" w:color="auto"/>
              <w:right w:val="nil"/>
            </w:tcBorders>
            <w:vAlign w:val="center"/>
          </w:tcPr>
          <w:p w14:paraId="4F77BDF1" w14:textId="2A2AA214" w:rsidR="00D87D75" w:rsidRPr="00DE622B" w:rsidRDefault="00D87D75" w:rsidP="00182A0E">
            <w:pPr>
              <w:pStyle w:val="Tabletext"/>
              <w:jc w:val="center"/>
              <w:rPr>
                <w:b/>
              </w:rPr>
            </w:pPr>
            <w:r w:rsidRPr="00DE622B">
              <w:rPr>
                <w:b/>
              </w:rPr>
              <w:t>108 (100%)</w:t>
            </w:r>
          </w:p>
        </w:tc>
      </w:tr>
    </w:tbl>
    <w:p w14:paraId="58191BF9" w14:textId="7F6BCE76" w:rsidR="00D87D75" w:rsidRDefault="00D87D75" w:rsidP="003F7665">
      <w:pPr>
        <w:keepNext/>
        <w:spacing w:after="120"/>
      </w:pPr>
      <w:r>
        <w:lastRenderedPageBreak/>
        <w:t>ATAGI has taken t</w:t>
      </w:r>
      <w:r w:rsidR="00C739A4">
        <w:t>wo</w:t>
      </w:r>
      <w:r>
        <w:t xml:space="preserve"> approaches </w:t>
      </w:r>
      <w:r w:rsidR="00256A52">
        <w:t xml:space="preserve">to evaluate </w:t>
      </w:r>
      <w:r>
        <w:t xml:space="preserve">this apparent increase. </w:t>
      </w:r>
    </w:p>
    <w:p w14:paraId="5652F64C" w14:textId="433C9779" w:rsidR="00D87D75" w:rsidRDefault="00D87D75" w:rsidP="003F7665">
      <w:pPr>
        <w:pStyle w:val="Bodytext-numberedlist"/>
      </w:pPr>
      <w:r w:rsidRPr="00574560">
        <w:t xml:space="preserve">Comparison </w:t>
      </w:r>
      <w:r w:rsidR="00817C8F">
        <w:t xml:space="preserve">of cases during </w:t>
      </w:r>
      <w:r w:rsidR="00DD7F5B">
        <w:t xml:space="preserve">the </w:t>
      </w:r>
      <w:r w:rsidR="00817C8F">
        <w:t xml:space="preserve">13vPCV program </w:t>
      </w:r>
      <w:r w:rsidRPr="00574560">
        <w:t xml:space="preserve">with </w:t>
      </w:r>
      <w:r w:rsidR="00817C8F">
        <w:t xml:space="preserve">cases during </w:t>
      </w:r>
      <w:r w:rsidR="00DD7F5B">
        <w:t xml:space="preserve">the </w:t>
      </w:r>
      <w:r w:rsidRPr="00574560">
        <w:t>2006</w:t>
      </w:r>
      <w:r w:rsidR="00817C8F">
        <w:t>–</w:t>
      </w:r>
      <w:r w:rsidRPr="00574560">
        <w:t>2012 7vPCV</w:t>
      </w:r>
      <w:r w:rsidR="008500B8">
        <w:t xml:space="preserve"> </w:t>
      </w:r>
      <w:r w:rsidR="00D5129E">
        <w:t xml:space="preserve">(the vaccine against pneumococcal disease used </w:t>
      </w:r>
      <w:r w:rsidR="008500B8">
        <w:t>prior to 2011</w:t>
      </w:r>
      <w:r w:rsidR="00D5129E">
        <w:t>)</w:t>
      </w:r>
      <w:r w:rsidRPr="00574560">
        <w:t xml:space="preserve"> program: 3+0 dose breakthrough cases during the 7vPCV era were relatively stable at an average of 4.6 per year, primarily </w:t>
      </w:r>
      <w:r w:rsidR="005B7AA7">
        <w:t xml:space="preserve">due to </w:t>
      </w:r>
      <w:r w:rsidRPr="00574560">
        <w:t xml:space="preserve">serotype 19F. </w:t>
      </w:r>
    </w:p>
    <w:p w14:paraId="47BFAF74" w14:textId="3B7A5BC7" w:rsidR="00D87D75" w:rsidRPr="002365F2" w:rsidRDefault="00D87D75" w:rsidP="003F7665">
      <w:pPr>
        <w:pStyle w:val="Bodytext-numberedlist"/>
      </w:pPr>
      <w:r w:rsidRPr="002365F2">
        <w:t xml:space="preserve">Review of experience in countries with similar longevity of </w:t>
      </w:r>
      <w:r w:rsidR="001E4B5D">
        <w:t>pneumococcal conjugate vaccine</w:t>
      </w:r>
      <w:r w:rsidR="001E4B5D" w:rsidRPr="002365F2">
        <w:t xml:space="preserve"> </w:t>
      </w:r>
      <w:r w:rsidRPr="002365F2">
        <w:t xml:space="preserve">use and high quality surveillance but using alternate schedules for 13vPCV (3+1 in the USA and 2+1 in </w:t>
      </w:r>
      <w:r w:rsidR="00DD7F5B">
        <w:t xml:space="preserve">the </w:t>
      </w:r>
      <w:r w:rsidRPr="002365F2">
        <w:t>UK)</w:t>
      </w:r>
      <w:r>
        <w:t>:</w:t>
      </w:r>
      <w:r w:rsidRPr="002365F2">
        <w:t xml:space="preserve"> Published and unpublished data (provided in confidence by Public Health England [UK] and </w:t>
      </w:r>
      <w:proofErr w:type="spellStart"/>
      <w:r w:rsidRPr="002365F2">
        <w:t>Centers</w:t>
      </w:r>
      <w:proofErr w:type="spellEnd"/>
      <w:r w:rsidRPr="002365F2">
        <w:t xml:space="preserve"> for Disease Control and Prevention [USA]) were reviewed. </w:t>
      </w:r>
      <w:r w:rsidR="00C739A4" w:rsidRPr="00C739A4">
        <w:t xml:space="preserve">The comparison across all three schedules </w:t>
      </w:r>
      <w:r w:rsidR="006E1819">
        <w:t>showed better</w:t>
      </w:r>
      <w:r w:rsidR="00C739A4" w:rsidRPr="00C739A4">
        <w:t xml:space="preserve"> protection </w:t>
      </w:r>
      <w:r w:rsidR="00696BC8">
        <w:t xml:space="preserve">in children </w:t>
      </w:r>
      <w:r w:rsidR="00DD7F5B">
        <w:t>aged 1</w:t>
      </w:r>
      <w:r w:rsidR="00696BC8" w:rsidRPr="00C739A4">
        <w:t xml:space="preserve"> year </w:t>
      </w:r>
      <w:r w:rsidR="00696BC8">
        <w:t>and older</w:t>
      </w:r>
      <w:r w:rsidR="00CD3EC3">
        <w:t xml:space="preserve"> </w:t>
      </w:r>
      <w:r w:rsidR="00C739A4" w:rsidRPr="00C739A4">
        <w:t xml:space="preserve">following schedules that included a booster dose </w:t>
      </w:r>
      <w:r w:rsidR="00CD3EC3" w:rsidRPr="00C739A4">
        <w:t>in the second year of life</w:t>
      </w:r>
      <w:r w:rsidR="00C739A4" w:rsidRPr="00C739A4">
        <w:t>. This is because immunity wanes following completion of the primary series</w:t>
      </w:r>
      <w:r w:rsidR="005B7AA7">
        <w:t>;</w:t>
      </w:r>
      <w:r w:rsidR="00C739A4" w:rsidRPr="00C739A4">
        <w:t xml:space="preserve"> administration of a booster dose results in vigorous antibody responses that enhance the degree and duration of protection. This higher level of immunity achieved by </w:t>
      </w:r>
      <w:r w:rsidR="005B7AA7">
        <w:t>second year of life boosting</w:t>
      </w:r>
      <w:r w:rsidR="00C739A4" w:rsidRPr="00C739A4">
        <w:t xml:space="preserve"> has also been associated with improved herd protection of older age groups</w:t>
      </w:r>
      <w:r w:rsidR="008500B8">
        <w:t>.</w:t>
      </w:r>
    </w:p>
    <w:p w14:paraId="5E46F1F9" w14:textId="3A655CC8" w:rsidR="00D87D75" w:rsidRPr="00DE4A0B" w:rsidRDefault="00D87D75" w:rsidP="007E7F73">
      <w:r>
        <w:t>B</w:t>
      </w:r>
      <w:r w:rsidRPr="002365F2">
        <w:t>ased on th</w:t>
      </w:r>
      <w:r>
        <w:t>ese considerations, t</w:t>
      </w:r>
      <w:r w:rsidRPr="002365F2">
        <w:t>he 2+1 schedule (doses at age</w:t>
      </w:r>
      <w:r w:rsidR="00DD7F5B">
        <w:t>s</w:t>
      </w:r>
      <w:r w:rsidRPr="002365F2">
        <w:t xml:space="preserve"> 2, 4 and 12 months) is the preferred option </w:t>
      </w:r>
      <w:r w:rsidR="008500B8">
        <w:t>for the majority of the population (</w:t>
      </w:r>
      <w:r w:rsidR="00DD7F5B">
        <w:t>a</w:t>
      </w:r>
      <w:r w:rsidR="00CD3EC3" w:rsidRPr="00CD3EC3">
        <w:t xml:space="preserve">ll children in ACT, NSW, TAS </w:t>
      </w:r>
      <w:r w:rsidR="00DD7F5B">
        <w:t>and</w:t>
      </w:r>
      <w:r w:rsidR="00CD3EC3" w:rsidRPr="00CD3EC3">
        <w:t xml:space="preserve"> VIC</w:t>
      </w:r>
      <w:r w:rsidR="00CD3EC3">
        <w:t xml:space="preserve"> and n</w:t>
      </w:r>
      <w:r w:rsidR="00CD3EC3" w:rsidRPr="00CD3EC3">
        <w:t xml:space="preserve">on-Indigenous children in NT, QLD, SA </w:t>
      </w:r>
      <w:r w:rsidR="00DD7F5B">
        <w:t>and</w:t>
      </w:r>
      <w:r w:rsidR="00CD3EC3" w:rsidRPr="00CD3EC3">
        <w:t xml:space="preserve"> WA</w:t>
      </w:r>
      <w:r w:rsidR="00CD3EC3">
        <w:t>)</w:t>
      </w:r>
      <w:r w:rsidR="008500B8">
        <w:t xml:space="preserve"> </w:t>
      </w:r>
      <w:r w:rsidRPr="002365F2">
        <w:t xml:space="preserve">as </w:t>
      </w:r>
      <w:r>
        <w:t xml:space="preserve">it is </w:t>
      </w:r>
      <w:r w:rsidRPr="0066400C">
        <w:rPr>
          <w:i/>
        </w:rPr>
        <w:t>rapidly implementable</w:t>
      </w:r>
      <w:r w:rsidRPr="002365F2">
        <w:t xml:space="preserve"> given the number of total doses recommended would remain unchanged.</w:t>
      </w:r>
      <w:r w:rsidR="006E1819">
        <w:t xml:space="preserve"> Also</w:t>
      </w:r>
      <w:r w:rsidR="00DD7F5B">
        <w:t>,</w:t>
      </w:r>
      <w:r w:rsidRPr="002365F2">
        <w:t xml:space="preserve"> </w:t>
      </w:r>
      <w:r w:rsidR="006E1819">
        <w:t>c</w:t>
      </w:r>
      <w:r>
        <w:t xml:space="preserve">omparison of US and UK data suggested that the </w:t>
      </w:r>
      <w:r w:rsidRPr="002365F2">
        <w:t xml:space="preserve">incremental benefit of </w:t>
      </w:r>
      <w:r w:rsidR="00576468">
        <w:t>a</w:t>
      </w:r>
      <w:r w:rsidR="00576468" w:rsidRPr="002365F2">
        <w:t xml:space="preserve"> </w:t>
      </w:r>
      <w:r w:rsidRPr="002365F2">
        <w:t xml:space="preserve">3+1 </w:t>
      </w:r>
      <w:r w:rsidR="00576468">
        <w:t xml:space="preserve">schedule </w:t>
      </w:r>
      <w:r w:rsidRPr="002365F2">
        <w:t>over the 2+1 schedule in preventing vaccine-type disease w</w:t>
      </w:r>
      <w:r>
        <w:t xml:space="preserve">as </w:t>
      </w:r>
      <w:r w:rsidRPr="002365F2">
        <w:t xml:space="preserve">minimal and likely to decrease over time. </w:t>
      </w:r>
    </w:p>
    <w:p w14:paraId="198B2EA1" w14:textId="581DBCF9" w:rsidR="009F1C0A" w:rsidRPr="00CF1A9D" w:rsidRDefault="00D87D75" w:rsidP="00CF1A9D">
      <w:pPr>
        <w:pStyle w:val="Heading4"/>
      </w:pPr>
      <w:r w:rsidRPr="00CF1A9D">
        <w:t xml:space="preserve">Historical background to the 3+0 schedule </w:t>
      </w:r>
    </w:p>
    <w:p w14:paraId="1238C477" w14:textId="2D62FA99" w:rsidR="00910C4F" w:rsidRDefault="00D87D75" w:rsidP="007E7F73">
      <w:r>
        <w:t xml:space="preserve">The 3+0 schedule was introduced </w:t>
      </w:r>
      <w:r w:rsidRPr="00D02D1F">
        <w:t>for non-</w:t>
      </w:r>
      <w:r>
        <w:t>I</w:t>
      </w:r>
      <w:r w:rsidRPr="00D02D1F">
        <w:t xml:space="preserve">ndigenous children without specific underlying medical conditions associated with increased risk of IPD </w:t>
      </w:r>
      <w:r>
        <w:t>in 2005</w:t>
      </w:r>
      <w:r w:rsidR="00DD7F5B">
        <w:t>. This decision was</w:t>
      </w:r>
      <w:r>
        <w:t xml:space="preserve"> based on </w:t>
      </w:r>
      <w:r w:rsidR="00DD7F5B">
        <w:t xml:space="preserve">a </w:t>
      </w:r>
      <w:r>
        <w:t xml:space="preserve">lack of evidence of incremental benefit from a fourth dose in clinical trials and the much higher incidence of </w:t>
      </w:r>
      <w:r w:rsidR="00DD7F5B">
        <w:t xml:space="preserve">pneumococcal </w:t>
      </w:r>
      <w:r>
        <w:t xml:space="preserve">meningitis in the first year of life </w:t>
      </w:r>
      <w:r w:rsidR="00910C4F">
        <w:t>(</w:t>
      </w:r>
      <w:r>
        <w:t>i</w:t>
      </w:r>
      <w:r w:rsidR="006E1819">
        <w:t>.</w:t>
      </w:r>
      <w:r>
        <w:t>e</w:t>
      </w:r>
      <w:r w:rsidR="006E1819">
        <w:t>.</w:t>
      </w:r>
      <w:r>
        <w:t xml:space="preserve"> focused on direct protective effects</w:t>
      </w:r>
      <w:r w:rsidR="00910C4F">
        <w:t>)</w:t>
      </w:r>
      <w:r>
        <w:t xml:space="preserve">. </w:t>
      </w:r>
    </w:p>
    <w:p w14:paraId="45BA802F" w14:textId="0022AA9A" w:rsidR="00887315" w:rsidRPr="00D02D1F" w:rsidRDefault="007044F7" w:rsidP="007E7F73">
      <w:r w:rsidRPr="00D02D1F">
        <w:t>In 2011</w:t>
      </w:r>
      <w:r w:rsidR="00910C4F">
        <w:t>,</w:t>
      </w:r>
      <w:r w:rsidR="006E1819">
        <w:t xml:space="preserve"> </w:t>
      </w:r>
      <w:r w:rsidRPr="00D02D1F">
        <w:t>13vPCV replaced 7vPCV in the childhood pneumococcal vaccination program under the NIP</w:t>
      </w:r>
      <w:r w:rsidR="00910C4F">
        <w:t>.</w:t>
      </w:r>
      <w:r w:rsidRPr="00D02D1F">
        <w:t xml:space="preserve"> </w:t>
      </w:r>
      <w:r w:rsidR="00910C4F">
        <w:t xml:space="preserve">After </w:t>
      </w:r>
      <w:r w:rsidR="006E1819">
        <w:t>c</w:t>
      </w:r>
      <w:r w:rsidRPr="00D02D1F">
        <w:t xml:space="preserve">onsidering the evidence available at the time, the schedule of </w:t>
      </w:r>
      <w:r w:rsidR="005B7D7D">
        <w:t>three</w:t>
      </w:r>
      <w:r w:rsidRPr="00D02D1F">
        <w:t xml:space="preserve"> primary doses (at 2, 4 and 6</w:t>
      </w:r>
      <w:r w:rsidR="00910C4F">
        <w:t> </w:t>
      </w:r>
      <w:r w:rsidRPr="00D02D1F">
        <w:t>months of age) without a second year of life booster dose (</w:t>
      </w:r>
      <w:r w:rsidR="00910C4F">
        <w:t xml:space="preserve">i.e. a </w:t>
      </w:r>
      <w:r w:rsidRPr="00D02D1F">
        <w:t>3+0 schedule) was maintained for non-</w:t>
      </w:r>
      <w:r w:rsidR="00930E93">
        <w:t>I</w:t>
      </w:r>
      <w:r w:rsidR="00930E93" w:rsidRPr="00D02D1F">
        <w:t xml:space="preserve">ndigenous </w:t>
      </w:r>
      <w:r w:rsidRPr="00D02D1F">
        <w:t>children without specific underlying</w:t>
      </w:r>
      <w:r w:rsidR="00804578" w:rsidRPr="00D02D1F">
        <w:t xml:space="preserve"> medical conditions associated with increased </w:t>
      </w:r>
      <w:r w:rsidRPr="00D02D1F">
        <w:t>risk</w:t>
      </w:r>
      <w:r w:rsidR="00804578" w:rsidRPr="00D02D1F">
        <w:t xml:space="preserve"> of IPD</w:t>
      </w:r>
      <w:r w:rsidRPr="00D02D1F">
        <w:t xml:space="preserve">. </w:t>
      </w:r>
    </w:p>
    <w:p w14:paraId="4AD283E5" w14:textId="4CF7902A" w:rsidR="00AF1B22" w:rsidRPr="00D02D1F" w:rsidRDefault="003C3B3C" w:rsidP="007E7F73">
      <w:r w:rsidRPr="00D02D1F">
        <w:t xml:space="preserve">A </w:t>
      </w:r>
      <w:r w:rsidR="005B7D7D">
        <w:t>fourth</w:t>
      </w:r>
      <w:r w:rsidR="00B33DF2">
        <w:t xml:space="preserve"> </w:t>
      </w:r>
      <w:r w:rsidRPr="00D02D1F">
        <w:t>dose (</w:t>
      </w:r>
      <w:r w:rsidR="00305468" w:rsidRPr="00D02D1F">
        <w:t>booster</w:t>
      </w:r>
      <w:r w:rsidRPr="00D02D1F">
        <w:t>)</w:t>
      </w:r>
      <w:r w:rsidR="00305468" w:rsidRPr="00D02D1F">
        <w:t xml:space="preserve"> of</w:t>
      </w:r>
      <w:r w:rsidRPr="00D02D1F">
        <w:t xml:space="preserve"> 13vPCV replaced the</w:t>
      </w:r>
      <w:r w:rsidR="00305468" w:rsidRPr="00D02D1F">
        <w:t xml:space="preserve"> 23-valent pneumococcal polysaccharide vaccine (23vPPV)</w:t>
      </w:r>
      <w:r w:rsidR="00CE1A84" w:rsidRPr="00D02D1F">
        <w:t xml:space="preserve"> </w:t>
      </w:r>
      <w:r w:rsidR="00305468" w:rsidRPr="00D02D1F">
        <w:t xml:space="preserve">recommended for </w:t>
      </w:r>
      <w:r w:rsidR="00B33DF2">
        <w:t>Aboriginal and Torres Strait Islander</w:t>
      </w:r>
      <w:r w:rsidR="00B33DF2" w:rsidRPr="00D02D1F">
        <w:t xml:space="preserve"> </w:t>
      </w:r>
      <w:r w:rsidR="00305468" w:rsidRPr="00D02D1F">
        <w:t xml:space="preserve">children living in the </w:t>
      </w:r>
      <w:r w:rsidR="0070757D" w:rsidRPr="00D02D1F">
        <w:t>NT</w:t>
      </w:r>
      <w:r w:rsidR="00305468" w:rsidRPr="00D02D1F">
        <w:t xml:space="preserve">, </w:t>
      </w:r>
      <w:r w:rsidR="0070757D" w:rsidRPr="00D02D1F">
        <w:t>QLD</w:t>
      </w:r>
      <w:r w:rsidR="00305468" w:rsidRPr="00D02D1F">
        <w:t xml:space="preserve">, </w:t>
      </w:r>
      <w:r w:rsidR="0070757D" w:rsidRPr="00D02D1F">
        <w:t>SA</w:t>
      </w:r>
      <w:r w:rsidR="00305468" w:rsidRPr="00D02D1F">
        <w:t xml:space="preserve"> and </w:t>
      </w:r>
      <w:r w:rsidR="0070757D" w:rsidRPr="00D02D1F">
        <w:t>WA</w:t>
      </w:r>
      <w:r w:rsidR="00910C4F">
        <w:t>,</w:t>
      </w:r>
      <w:r w:rsidR="00305468" w:rsidRPr="00D02D1F">
        <w:t xml:space="preserve"> </w:t>
      </w:r>
      <w:r w:rsidR="00264D0F" w:rsidRPr="00D02D1F">
        <w:t>and the</w:t>
      </w:r>
      <w:r w:rsidR="00CE1A84" w:rsidRPr="00D02D1F">
        <w:t xml:space="preserve"> </w:t>
      </w:r>
      <w:r w:rsidR="005B7D7D">
        <w:t>fourth</w:t>
      </w:r>
      <w:r w:rsidR="00B33DF2">
        <w:t xml:space="preserve"> </w:t>
      </w:r>
      <w:r w:rsidR="001E4B5D">
        <w:t>13</w:t>
      </w:r>
      <w:r w:rsidR="001E4B5D" w:rsidRPr="00D02D1F">
        <w:t xml:space="preserve">vPCV </w:t>
      </w:r>
      <w:r w:rsidR="00CE1A84" w:rsidRPr="00D02D1F">
        <w:t>dose</w:t>
      </w:r>
      <w:r w:rsidR="00305468" w:rsidRPr="00D02D1F">
        <w:t xml:space="preserve"> </w:t>
      </w:r>
      <w:r w:rsidR="001E4B5D">
        <w:t xml:space="preserve">was </w:t>
      </w:r>
      <w:r w:rsidR="00910C4F">
        <w:t xml:space="preserve">also </w:t>
      </w:r>
      <w:r w:rsidR="005A6F4A" w:rsidRPr="00D02D1F">
        <w:t xml:space="preserve">recommended </w:t>
      </w:r>
      <w:r w:rsidR="00305468" w:rsidRPr="00D02D1F">
        <w:t>to chil</w:t>
      </w:r>
      <w:r w:rsidR="00CE1A84" w:rsidRPr="00D02D1F">
        <w:t>dren with underlying at</w:t>
      </w:r>
      <w:r w:rsidR="00B33DF2">
        <w:t>-</w:t>
      </w:r>
      <w:r w:rsidR="00CE1A84" w:rsidRPr="00D02D1F">
        <w:t>risk</w:t>
      </w:r>
      <w:r w:rsidR="00EA7CE2" w:rsidRPr="00D02D1F">
        <w:t xml:space="preserve"> conditions</w:t>
      </w:r>
      <w:r w:rsidR="00CE1A84" w:rsidRPr="00D02D1F">
        <w:t xml:space="preserve"> for IPD</w:t>
      </w:r>
      <w:r w:rsidR="00305468" w:rsidRPr="00D02D1F">
        <w:t>.</w:t>
      </w:r>
    </w:p>
    <w:p w14:paraId="5CAC9255" w14:textId="45A21995" w:rsidR="00971DD4" w:rsidRPr="00CF1A9D" w:rsidRDefault="00971DD4" w:rsidP="00CF1A9D">
      <w:pPr>
        <w:pStyle w:val="Heading4"/>
      </w:pPr>
      <w:r w:rsidRPr="00CF1A9D">
        <w:t xml:space="preserve">Impact of the use of 13vPCV </w:t>
      </w:r>
      <w:r w:rsidR="009E147F" w:rsidRPr="00CF1A9D">
        <w:t>in the 3+0 schedule in Australia on incidence of IPD in the population</w:t>
      </w:r>
    </w:p>
    <w:p w14:paraId="58090E4D" w14:textId="02B0488B" w:rsidR="00887315" w:rsidRPr="00D02D1F" w:rsidRDefault="002F6DE1" w:rsidP="007E7F73">
      <w:r w:rsidRPr="00D02D1F">
        <w:t xml:space="preserve">The introduction of </w:t>
      </w:r>
      <w:r w:rsidR="001C07A9" w:rsidRPr="00D02D1F">
        <w:t xml:space="preserve">13vPCV </w:t>
      </w:r>
      <w:r w:rsidR="00D87D75">
        <w:t>resulted in</w:t>
      </w:r>
      <w:r w:rsidR="001C07A9" w:rsidRPr="00D02D1F">
        <w:t xml:space="preserve"> </w:t>
      </w:r>
      <w:r w:rsidR="001E4B5D">
        <w:t xml:space="preserve">a </w:t>
      </w:r>
      <w:r w:rsidR="001C07A9" w:rsidRPr="00D02D1F">
        <w:t xml:space="preserve">large reduction in </w:t>
      </w:r>
      <w:r w:rsidR="001E4B5D">
        <w:t>the number of cases</w:t>
      </w:r>
      <w:r w:rsidR="001E4B5D" w:rsidRPr="00D02D1F">
        <w:t xml:space="preserve"> </w:t>
      </w:r>
      <w:r w:rsidR="001C07A9" w:rsidRPr="00D02D1F">
        <w:t>of IPD due to vaccine serotypes in all age groups</w:t>
      </w:r>
      <w:r w:rsidR="00910C4F">
        <w:t>.</w:t>
      </w:r>
      <w:hyperlink w:anchor="_ENREF_1" w:tooltip="Jayasinghe, 2017 #994" w:history="1">
        <w:r w:rsidR="00341AE4" w:rsidRPr="00D02D1F">
          <w:fldChar w:fldCharType="begin"/>
        </w:r>
        <w:r w:rsidR="00341AE4" w:rsidRPr="00D02D1F">
          <w:instrText xml:space="preserve"> ADDIN EN.CITE &lt;EndNote&gt;&lt;Cite&gt;&lt;Author&gt;Jayasinghe&lt;/Author&gt;&lt;Year&gt;2017&lt;/Year&gt;&lt;RecNum&gt;994&lt;/RecNum&gt;&lt;DisplayText&gt;&lt;style face="superscript"&gt;1&lt;/style&gt;&lt;/DisplayText&gt;&lt;record&gt;&lt;rec-number&gt;994&lt;/rec-number&gt;&lt;foreign-keys&gt;&lt;key app="EN" db-id="e05e9rx03fdvrze5a555trdqz25tsfdstdpd"&gt;994&lt;/key&gt;&lt;/foreign-keys&gt;&lt;ref-type name="Journal Article"&gt;17&lt;/ref-type&gt;&lt;contributors&gt;&lt;authors&gt;&lt;author&gt;Jayasinghe, Sanjay&lt;/author&gt;&lt;author&gt;Menzies, Rob&lt;/author&gt;&lt;author&gt;Chiu, Clayton&lt;/author&gt;&lt;author&gt;Toms, Cindy&lt;/author&gt;&lt;author&gt;Blyth, Christopher C.&lt;/author&gt;&lt;author&gt;Krause, Vicki&lt;/author&gt;&lt;author&gt;McIntyre, Peter&lt;/author&gt;&lt;/authors&gt;&lt;/contributors&gt;&lt;titles&gt;&lt;title&gt;Long-term Impact of a “3 + 0” Schedule for 7- and 13-Valent Pneumococcal Conjugate Vaccines on Invasive Pneumococcal Disease in Australia, 2002–2014&lt;/title&gt;&lt;secondary-title&gt;Clinical Infectious Diseases&lt;/secondary-title&gt;&lt;/titles&gt;&lt;periodical&gt;&lt;full-title&gt;Clinical Infectious Diseases&lt;/full-title&gt;&lt;abbr-1&gt;Clin. Infect. Dis.&lt;/abbr-1&gt;&lt;abbr-2&gt;Clin Infect Dis&lt;/abbr-2&gt;&lt;/periodical&gt;&lt;pages&gt;175-183&lt;/pages&gt;&lt;volume&gt;64&lt;/volume&gt;&lt;number&gt;2&lt;/number&gt;&lt;dates&gt;&lt;year&gt;2017&lt;/year&gt;&lt;pub-dates&gt;&lt;date&gt;January 15, 2017&lt;/date&gt;&lt;/pub-dates&gt;&lt;/dates&gt;&lt;urls&gt;&lt;related-urls&gt;&lt;url&gt;http://cid.oxfordjournals.org/content/64/2/175.abstract&lt;/url&gt;&lt;/related-urls&gt;&lt;/urls&gt;&lt;electronic-resource-num&gt;10.1093/cid/ciw720&lt;/electronic-resource-num&gt;&lt;/record&gt;&lt;/Cite&gt;&lt;/EndNote&gt;</w:instrText>
        </w:r>
        <w:r w:rsidR="00341AE4" w:rsidRPr="00D02D1F">
          <w:fldChar w:fldCharType="separate"/>
        </w:r>
        <w:r w:rsidR="00341AE4" w:rsidRPr="00D02D1F">
          <w:rPr>
            <w:noProof/>
            <w:vertAlign w:val="superscript"/>
          </w:rPr>
          <w:t>1</w:t>
        </w:r>
        <w:r w:rsidR="00341AE4" w:rsidRPr="00D02D1F">
          <w:fldChar w:fldCharType="end"/>
        </w:r>
      </w:hyperlink>
      <w:r w:rsidR="001C07A9" w:rsidRPr="00D02D1F">
        <w:t xml:space="preserve"> </w:t>
      </w:r>
      <w:r w:rsidR="00B15F74" w:rsidRPr="00D02D1F">
        <w:t>The rates of IPD due to the additional serotypes in 13v</w:t>
      </w:r>
      <w:r w:rsidR="00EA7CE2" w:rsidRPr="00D02D1F">
        <w:t>PCV</w:t>
      </w:r>
      <w:r w:rsidR="006E1819">
        <w:t xml:space="preserve"> </w:t>
      </w:r>
      <w:r w:rsidR="002C7AF4">
        <w:t>that were not</w:t>
      </w:r>
      <w:r w:rsidR="006E1819">
        <w:t xml:space="preserve"> in the 7vPCV</w:t>
      </w:r>
      <w:r w:rsidR="00B15F74" w:rsidRPr="00D02D1F">
        <w:t xml:space="preserve"> (13v-non7v</w:t>
      </w:r>
      <w:r w:rsidR="00EA7CE2" w:rsidRPr="00D02D1F">
        <w:t xml:space="preserve"> serotypes</w:t>
      </w:r>
      <w:r w:rsidR="00B15F74" w:rsidRPr="00D02D1F">
        <w:t xml:space="preserve">) </w:t>
      </w:r>
      <w:r w:rsidR="00160E18" w:rsidRPr="00D02D1F">
        <w:t>declined by</w:t>
      </w:r>
      <w:r w:rsidR="00B15F74" w:rsidRPr="00D02D1F">
        <w:t xml:space="preserve"> 70% in children </w:t>
      </w:r>
      <w:r w:rsidR="0070757D" w:rsidRPr="00D02D1F">
        <w:t>&lt;</w:t>
      </w:r>
      <w:r w:rsidR="00B15F74" w:rsidRPr="00D02D1F">
        <w:t>2</w:t>
      </w:r>
      <w:r w:rsidR="002C7AF4">
        <w:t> </w:t>
      </w:r>
      <w:r w:rsidR="00B15F74" w:rsidRPr="00D02D1F">
        <w:t>y</w:t>
      </w:r>
      <w:r w:rsidR="00983CED" w:rsidRPr="00D02D1F">
        <w:t>ea</w:t>
      </w:r>
      <w:r w:rsidR="00B15F74" w:rsidRPr="00D02D1F">
        <w:t xml:space="preserve">rs of age and </w:t>
      </w:r>
      <w:r w:rsidR="00983CED" w:rsidRPr="00D02D1F">
        <w:t xml:space="preserve">by </w:t>
      </w:r>
      <w:r w:rsidR="00B15F74" w:rsidRPr="00D02D1F">
        <w:t>49% in adults ≥65</w:t>
      </w:r>
      <w:r w:rsidR="002C7AF4">
        <w:t> </w:t>
      </w:r>
      <w:r w:rsidR="00B15F74" w:rsidRPr="00D02D1F">
        <w:t>y</w:t>
      </w:r>
      <w:r w:rsidR="00612FF5" w:rsidRPr="00D02D1F">
        <w:t>ea</w:t>
      </w:r>
      <w:r w:rsidR="00B15F74" w:rsidRPr="00D02D1F">
        <w:t>rs of age</w:t>
      </w:r>
      <w:r w:rsidR="00930E93" w:rsidRPr="00D02D1F">
        <w:t xml:space="preserve"> from 2009 to 2014</w:t>
      </w:r>
      <w:r w:rsidR="00B15F74" w:rsidRPr="00D02D1F">
        <w:t>.</w:t>
      </w:r>
      <w:r w:rsidR="00F950C9" w:rsidRPr="00D02D1F">
        <w:t xml:space="preserve"> </w:t>
      </w:r>
    </w:p>
    <w:p w14:paraId="091AC089" w14:textId="6C7038CE" w:rsidR="00F950C9" w:rsidRPr="00D02D1F" w:rsidRDefault="00F950C9" w:rsidP="007E7F73">
      <w:r w:rsidRPr="00D02D1F">
        <w:lastRenderedPageBreak/>
        <w:t>The number of cases of meningitis due to 13</w:t>
      </w:r>
      <w:r w:rsidR="006E1819">
        <w:t>vPCV serotypes</w:t>
      </w:r>
      <w:r w:rsidRPr="00D02D1F">
        <w:t xml:space="preserve"> in children between 6 and </w:t>
      </w:r>
      <w:r w:rsidR="00612FF5" w:rsidRPr="00D02D1F">
        <w:t>12</w:t>
      </w:r>
      <w:r w:rsidRPr="00D02D1F">
        <w:t xml:space="preserve"> months </w:t>
      </w:r>
      <w:r w:rsidR="00EA7CE2" w:rsidRPr="00D02D1F">
        <w:t xml:space="preserve">of age </w:t>
      </w:r>
      <w:r w:rsidRPr="00D02D1F">
        <w:t xml:space="preserve">decreased from </w:t>
      </w:r>
      <w:r w:rsidR="00612FF5" w:rsidRPr="00D02D1F">
        <w:t>1</w:t>
      </w:r>
      <w:r w:rsidRPr="00D02D1F">
        <w:t xml:space="preserve">0 cases in the </w:t>
      </w:r>
      <w:r w:rsidR="002C7AF4">
        <w:t>3</w:t>
      </w:r>
      <w:r w:rsidR="002C7AF4" w:rsidRPr="00D02D1F">
        <w:t xml:space="preserve"> </w:t>
      </w:r>
      <w:r w:rsidRPr="00D02D1F">
        <w:t>years</w:t>
      </w:r>
      <w:r w:rsidR="006E1819">
        <w:t xml:space="preserve"> before</w:t>
      </w:r>
      <w:r w:rsidRPr="00D02D1F">
        <w:t xml:space="preserve"> </w:t>
      </w:r>
      <w:r w:rsidR="00983CED" w:rsidRPr="00D02D1F">
        <w:t>13vPCV introduction</w:t>
      </w:r>
      <w:r w:rsidRPr="00D02D1F">
        <w:t xml:space="preserve"> to </w:t>
      </w:r>
      <w:r w:rsidR="00612FF5" w:rsidRPr="00D02D1F">
        <w:t>none</w:t>
      </w:r>
      <w:r w:rsidRPr="00D02D1F">
        <w:t xml:space="preserve"> in 2012</w:t>
      </w:r>
      <w:r w:rsidR="002C7AF4">
        <w:t>–</w:t>
      </w:r>
      <w:r w:rsidRPr="00D02D1F">
        <w:t>2014</w:t>
      </w:r>
      <w:r w:rsidR="00246CBB">
        <w:t xml:space="preserve">, confirming </w:t>
      </w:r>
      <w:r w:rsidR="00612FF5" w:rsidRPr="00D02D1F">
        <w:t>that the 3+0 schedule provide</w:t>
      </w:r>
      <w:r w:rsidR="00983CED" w:rsidRPr="00D02D1F">
        <w:t>d</w:t>
      </w:r>
      <w:r w:rsidR="00612FF5" w:rsidRPr="00D02D1F">
        <w:t xml:space="preserve"> </w:t>
      </w:r>
      <w:r w:rsidR="00983CED" w:rsidRPr="00D02D1F">
        <w:t>strong</w:t>
      </w:r>
      <w:r w:rsidR="00612FF5" w:rsidRPr="00D02D1F">
        <w:t xml:space="preserve"> direct protection for infants against IPD.</w:t>
      </w:r>
    </w:p>
    <w:p w14:paraId="1E8B0A90" w14:textId="1BB34341" w:rsidR="00875A76" w:rsidRPr="00CF1A9D" w:rsidRDefault="004C69F7" w:rsidP="00CF1A9D">
      <w:pPr>
        <w:pStyle w:val="Heading4"/>
      </w:pPr>
      <w:r w:rsidRPr="00CF1A9D">
        <w:t xml:space="preserve">Potential </w:t>
      </w:r>
      <w:r w:rsidR="00E163A5" w:rsidRPr="00CF1A9D">
        <w:t>impact of a change in the childhood 13vPCV schedule from 3+0 to 2+1</w:t>
      </w:r>
    </w:p>
    <w:p w14:paraId="1F4AB6B4" w14:textId="327F3A35" w:rsidR="00461938" w:rsidRPr="00CF1A9D" w:rsidRDefault="00461938" w:rsidP="00CF1A9D">
      <w:pPr>
        <w:pStyle w:val="Heading5"/>
      </w:pPr>
      <w:r w:rsidRPr="00CF1A9D">
        <w:t xml:space="preserve">Against breakthrough </w:t>
      </w:r>
      <w:r w:rsidR="00EE7CAD" w:rsidRPr="00CF1A9D">
        <w:t xml:space="preserve">cases of </w:t>
      </w:r>
      <w:r w:rsidRPr="00CF1A9D">
        <w:t>IPD</w:t>
      </w:r>
    </w:p>
    <w:p w14:paraId="18AA7DF7" w14:textId="64284218" w:rsidR="000C67FD" w:rsidRDefault="0067507E" w:rsidP="007E7F73">
      <w:r w:rsidRPr="00313760">
        <w:t xml:space="preserve">In a comparable period of </w:t>
      </w:r>
      <w:r w:rsidR="00175CF9" w:rsidRPr="00313760">
        <w:t>13vPCV use</w:t>
      </w:r>
      <w:r w:rsidR="00392945">
        <w:t>,</w:t>
      </w:r>
      <w:r w:rsidR="00175CF9" w:rsidRPr="00313760">
        <w:t xml:space="preserve"> </w:t>
      </w:r>
      <w:r w:rsidR="00527408" w:rsidRPr="00313760">
        <w:t xml:space="preserve">the rate of </w:t>
      </w:r>
      <w:r w:rsidR="007044F7" w:rsidRPr="00313760">
        <w:t xml:space="preserve">breakthrough IPD in children ≥12 months of age </w:t>
      </w:r>
      <w:r w:rsidR="007F357E" w:rsidRPr="00313760">
        <w:t>wa</w:t>
      </w:r>
      <w:r w:rsidR="00527408" w:rsidRPr="00313760">
        <w:t xml:space="preserve">s substantially higher </w:t>
      </w:r>
      <w:r w:rsidR="007044F7" w:rsidRPr="00313760">
        <w:t xml:space="preserve">in Australian children (rate </w:t>
      </w:r>
      <w:r w:rsidR="001E4B5D">
        <w:t xml:space="preserve">of </w:t>
      </w:r>
      <w:r w:rsidR="007044F7" w:rsidRPr="00313760">
        <w:t xml:space="preserve">3.4 </w:t>
      </w:r>
      <w:r w:rsidR="001E4B5D">
        <w:t xml:space="preserve">cases </w:t>
      </w:r>
      <w:r w:rsidR="007044F7" w:rsidRPr="00313760">
        <w:t xml:space="preserve">per 100,000) </w:t>
      </w:r>
      <w:r w:rsidR="00527408" w:rsidRPr="00313760">
        <w:t xml:space="preserve">than </w:t>
      </w:r>
      <w:r w:rsidR="002C7AF4">
        <w:t>in children</w:t>
      </w:r>
      <w:r w:rsidR="002C7AF4" w:rsidRPr="00313760">
        <w:t xml:space="preserve"> </w:t>
      </w:r>
      <w:r w:rsidR="00527408" w:rsidRPr="00313760">
        <w:t xml:space="preserve">in the </w:t>
      </w:r>
      <w:r w:rsidR="007044F7" w:rsidRPr="00313760">
        <w:t xml:space="preserve">UK (2+1 schedule, rate </w:t>
      </w:r>
      <w:r w:rsidR="001E4B5D">
        <w:t xml:space="preserve">of </w:t>
      </w:r>
      <w:r w:rsidR="007044F7" w:rsidRPr="00BD0156">
        <w:t>0.</w:t>
      </w:r>
      <w:r w:rsidR="003356B4" w:rsidRPr="00BD0156">
        <w:t>7</w:t>
      </w:r>
      <w:r w:rsidR="007044F7" w:rsidRPr="00BD0156">
        <w:t xml:space="preserve"> </w:t>
      </w:r>
      <w:r w:rsidR="001E4B5D">
        <w:t xml:space="preserve">cases </w:t>
      </w:r>
      <w:r w:rsidR="007044F7" w:rsidRPr="00BD0156">
        <w:t>per 100,000</w:t>
      </w:r>
      <w:r w:rsidR="007044F7" w:rsidRPr="00313760">
        <w:t>)</w:t>
      </w:r>
      <w:r w:rsidR="002C7AF4">
        <w:t>.</w:t>
      </w:r>
      <w:hyperlink w:anchor="_ENREF_2" w:tooltip="Oligbu, 2017 #1259" w:history="1">
        <w:r w:rsidR="00341AE4" w:rsidRPr="00313760">
          <w:rPr>
            <w:bCs/>
          </w:rPr>
          <w:fldChar w:fldCharType="begin"/>
        </w:r>
        <w:r w:rsidR="00341AE4" w:rsidRPr="00313760">
          <w:instrText xml:space="preserve"> ADDIN EN.CITE &lt;EndNote&gt;&lt;Cite&gt;&lt;Author&gt;Oligbu&lt;/Author&gt;&lt;Year&gt;2017&lt;/Year&gt;&lt;RecNum&gt;1259&lt;/RecNum&gt;&lt;DisplayText&gt;&lt;style face="superscript"&gt;2&lt;/style&gt;&lt;/DisplayText&gt;&lt;record&gt;&lt;rec-number&gt;1259&lt;/rec-number&gt;&lt;foreign-keys&gt;&lt;key app="EN" db-id="e05e9rx03fdvrze5a555trdqz25tsfdstdpd"&gt;1259&lt;/key&gt;&lt;/foreign-keys&gt;&lt;ref-type name="Journal Article"&gt;17&lt;/ref-type&gt;&lt;contributors&gt;&lt;authors&gt;&lt;author&gt;Oligbu, G.&lt;/author&gt;&lt;author&gt;Collins, S.&lt;/author&gt;&lt;author&gt;Andrews, N.&lt;/author&gt;&lt;author&gt;Sheppard, C.&lt;/author&gt;&lt;author&gt;Fry, N.&lt;/author&gt;&lt;author&gt;Slack, M.&lt;/author&gt;&lt;author&gt;Burrow, R.&lt;/author&gt;&lt;author&gt;Ladhani, S. N.&lt;/author&gt;&lt;/authors&gt;&lt;/contributors&gt;&lt;titles&gt;&lt;title&gt;Characteristics and serotype distribution of childhood cases of invasive pneumococcal disease following pneumococcal conjugate vaccination in England and Wales, 2006-14&lt;/title&gt;&lt;secondary-title&gt;Clinical Infectious Diseases&lt;/secondary-title&gt;&lt;/titles&gt;&lt;periodical&gt;&lt;full-title&gt;Clinical Infectious Diseases&lt;/full-title&gt;&lt;abbr-1&gt;Clin. Infect. Dis.&lt;/abbr-1&gt;&lt;abbr-2&gt;Clin Infect Dis&lt;/abbr-2&gt;&lt;/periodical&gt;&lt;edition&gt;07 August 2017&lt;/edition&gt;&lt;dates&gt;&lt;year&gt;2017&lt;/year&gt;&lt;/dates&gt;&lt;urls&gt;&lt;/urls&gt;&lt;/record&gt;&lt;/Cite&gt;&lt;/EndNote&gt;</w:instrText>
        </w:r>
        <w:r w:rsidR="00341AE4" w:rsidRPr="00313760">
          <w:rPr>
            <w:bCs/>
          </w:rPr>
          <w:fldChar w:fldCharType="separate"/>
        </w:r>
        <w:r w:rsidR="00341AE4" w:rsidRPr="00313760">
          <w:rPr>
            <w:noProof/>
            <w:vertAlign w:val="superscript"/>
          </w:rPr>
          <w:t>2</w:t>
        </w:r>
        <w:r w:rsidR="00341AE4" w:rsidRPr="00313760">
          <w:rPr>
            <w:bCs/>
          </w:rPr>
          <w:fldChar w:fldCharType="end"/>
        </w:r>
      </w:hyperlink>
      <w:r w:rsidRPr="00313760">
        <w:t xml:space="preserve"> </w:t>
      </w:r>
      <w:r w:rsidR="00ED5D4F" w:rsidRPr="00313760">
        <w:t>E</w:t>
      </w:r>
      <w:r w:rsidR="0004502F" w:rsidRPr="00313760">
        <w:t>xtrapolation of 13vPCV breakthrough IPD case counts in the UK</w:t>
      </w:r>
      <w:r w:rsidR="00EA7CE2" w:rsidRPr="00313760">
        <w:t>,</w:t>
      </w:r>
      <w:r w:rsidR="00ED5D4F" w:rsidRPr="00313760">
        <w:t xml:space="preserve"> </w:t>
      </w:r>
      <w:r w:rsidR="00AC592A">
        <w:t>following</w:t>
      </w:r>
      <w:r w:rsidR="00AC592A" w:rsidRPr="00313760">
        <w:t xml:space="preserve"> </w:t>
      </w:r>
      <w:r w:rsidR="00ED5D4F" w:rsidRPr="00313760">
        <w:t>adjust</w:t>
      </w:r>
      <w:r w:rsidR="001F14C6">
        <w:t>ment</w:t>
      </w:r>
      <w:r w:rsidR="00ED5D4F" w:rsidRPr="00313760">
        <w:t xml:space="preserve"> for birth cohort size</w:t>
      </w:r>
      <w:r w:rsidR="00EA7CE2" w:rsidRPr="00313760">
        <w:t>,</w:t>
      </w:r>
      <w:r w:rsidR="00ED5D4F" w:rsidRPr="00313760">
        <w:t xml:space="preserve"> provides a crude </w:t>
      </w:r>
      <w:r w:rsidR="00B538F8" w:rsidRPr="00313760">
        <w:t>estimat</w:t>
      </w:r>
      <w:r w:rsidR="00A921DB">
        <w:t>e</w:t>
      </w:r>
      <w:r w:rsidR="00ED5D4F" w:rsidRPr="00313760">
        <w:t xml:space="preserve"> of </w:t>
      </w:r>
      <w:r w:rsidR="00B538F8" w:rsidRPr="00313760">
        <w:t xml:space="preserve">expected breakthrough cases if a 2+1 schedule </w:t>
      </w:r>
      <w:r w:rsidR="00A70F96">
        <w:t>were to be</w:t>
      </w:r>
      <w:r w:rsidR="00A70F96" w:rsidRPr="00313760">
        <w:t xml:space="preserve"> </w:t>
      </w:r>
      <w:r w:rsidR="00B538F8" w:rsidRPr="00313760">
        <w:t>used</w:t>
      </w:r>
      <w:r w:rsidR="001F14C6">
        <w:t>,</w:t>
      </w:r>
      <w:r w:rsidR="00ED5D4F" w:rsidRPr="00313760">
        <w:t xml:space="preserve"> instead of the </w:t>
      </w:r>
      <w:r w:rsidR="00A70F96">
        <w:t xml:space="preserve">current </w:t>
      </w:r>
      <w:r w:rsidR="00ED5D4F" w:rsidRPr="00313760">
        <w:t>3+0 schedule</w:t>
      </w:r>
      <w:r w:rsidR="001F14C6">
        <w:t>,</w:t>
      </w:r>
      <w:r w:rsidR="00406369" w:rsidRPr="00313760">
        <w:t xml:space="preserve"> in Australia</w:t>
      </w:r>
      <w:r w:rsidR="007C5E62">
        <w:t xml:space="preserve"> (Table 4)</w:t>
      </w:r>
      <w:r w:rsidR="00B538F8" w:rsidRPr="00313760">
        <w:t>.</w:t>
      </w:r>
    </w:p>
    <w:p w14:paraId="64523229" w14:textId="7E671E31" w:rsidR="007C5E62" w:rsidRPr="00CC3FCC" w:rsidRDefault="007C5E62" w:rsidP="00C27481">
      <w:pPr>
        <w:pStyle w:val="Tableheading"/>
      </w:pPr>
      <w:r w:rsidRPr="00CC3FCC">
        <w:rPr>
          <w:b/>
          <w:i/>
        </w:rPr>
        <w:t>Table 4</w:t>
      </w:r>
      <w:r w:rsidR="00C27481">
        <w:rPr>
          <w:b/>
          <w:i/>
        </w:rPr>
        <w:t>:</w:t>
      </w:r>
      <w:r w:rsidRPr="00CC3FCC">
        <w:rPr>
          <w:b/>
          <w:i/>
        </w:rPr>
        <w:t xml:space="preserve"> </w:t>
      </w:r>
      <w:r w:rsidRPr="00CC3FCC">
        <w:t>Breakthrough cases of 13vPCV IPD in the UK and Australia</w:t>
      </w:r>
      <w:r w:rsidR="00392945">
        <w:rPr>
          <w:rFonts w:cs="Times"/>
        </w:rPr>
        <w:t>*</w:t>
      </w:r>
      <w:r w:rsidR="002C7AF4">
        <w:t xml:space="preserve"> </w:t>
      </w:r>
      <w:r w:rsidR="00035123">
        <w:t>– o</w:t>
      </w:r>
      <w:r w:rsidRPr="00CC3FCC">
        <w:t>bserved case counts</w:t>
      </w:r>
      <w:r w:rsidR="001A7B84">
        <w:t xml:space="preserve"> from both populations, </w:t>
      </w:r>
      <w:r w:rsidR="00035123">
        <w:t>and</w:t>
      </w:r>
      <w:r w:rsidRPr="00CC3FCC">
        <w:t xml:space="preserve"> </w:t>
      </w:r>
      <w:r w:rsidR="003327E4" w:rsidRPr="00CC3FCC">
        <w:t>imputed</w:t>
      </w:r>
      <w:r w:rsidRPr="00CC3FCC">
        <w:t xml:space="preserve"> </w:t>
      </w:r>
      <w:r w:rsidR="00035123">
        <w:t>figures</w:t>
      </w:r>
      <w:r w:rsidR="00035123" w:rsidRPr="00CC3FCC">
        <w:t xml:space="preserve"> </w:t>
      </w:r>
      <w:r w:rsidR="003327E4" w:rsidRPr="00CC3FCC">
        <w:t>for</w:t>
      </w:r>
      <w:r w:rsidRPr="00CC3FCC">
        <w:t xml:space="preserve"> </w:t>
      </w:r>
      <w:r w:rsidR="001A7B84">
        <w:t xml:space="preserve">the anticipated </w:t>
      </w:r>
      <w:r w:rsidRPr="00CC3FCC">
        <w:t>Australia</w:t>
      </w:r>
      <w:r w:rsidR="001A7B84">
        <w:t>n experience</w:t>
      </w:r>
      <w:r w:rsidRPr="00CC3FCC">
        <w:t xml:space="preserve"> using </w:t>
      </w:r>
      <w:r w:rsidR="001A7B84">
        <w:t xml:space="preserve">a 2+1 schedule based on </w:t>
      </w:r>
      <w:r w:rsidRPr="00CC3FCC">
        <w:t xml:space="preserve">UK </w:t>
      </w:r>
      <w:r w:rsidR="001A7B84">
        <w:t xml:space="preserve">incidence </w:t>
      </w:r>
      <w:r w:rsidRPr="00CC3FCC">
        <w:t>data</w:t>
      </w:r>
      <w:r w:rsidR="001A7B84">
        <w:t xml:space="preserve"> </w:t>
      </w:r>
    </w:p>
    <w:tbl>
      <w:tblPr>
        <w:tblStyle w:val="TableGrid5"/>
        <w:tblW w:w="9445" w:type="dxa"/>
        <w:tblLayout w:type="fixed"/>
        <w:tblLook w:val="04A0" w:firstRow="1" w:lastRow="0" w:firstColumn="1" w:lastColumn="0" w:noHBand="0" w:noVBand="1"/>
        <w:tblCaption w:val="Table 4 - Breakthrough cases of 13vPCV IPD in the UK and Australia – observed case counts from both populations, and imputed figures for the anticipated Australian experience using a 2+1 schedule based on UK incidence data"/>
        <w:tblDescription w:val="This table shows the number of breakthrough cases or vaccine failures of 13vPCV IPD in the UK that uses a 2+1 schedule compared to that seen in Australia using the 3+0 schedule in a similar period of 13vPCV use. The table also shows the number of vaccine failures anticipated if numbers from the UK are imputed to Australia accounting for the difference in the sizes of birth cohorts in the two countries. The breakthrough cases are shown separately for those in children aged less than 12 months and in children 12 months and older. The total number of vaccine failures if the 2+1 schedule was used in Australia is 78 less than what was actually seen. The number that would have occurred in children 12 months or older is 89 cases less with 16 of them being sever IPD. Cases of pneumococcal meningitis and pneumonia with empyema are grouped as severe cases in the table. Among children less than 12 months there would be 11 more cases than what was actually seen.  &#10;"/>
      </w:tblPr>
      <w:tblGrid>
        <w:gridCol w:w="2976"/>
        <w:gridCol w:w="1078"/>
        <w:gridCol w:w="1078"/>
        <w:gridCol w:w="1078"/>
        <w:gridCol w:w="1078"/>
        <w:gridCol w:w="1078"/>
        <w:gridCol w:w="1079"/>
      </w:tblGrid>
      <w:tr w:rsidR="00E25EBD" w:rsidRPr="00E25EBD" w14:paraId="3D2A6BDE" w14:textId="77777777" w:rsidTr="009350E8">
        <w:trPr>
          <w:trHeight w:val="266"/>
          <w:tblHeader/>
        </w:trPr>
        <w:tc>
          <w:tcPr>
            <w:tcW w:w="2976" w:type="dxa"/>
            <w:vMerge w:val="restart"/>
            <w:tcBorders>
              <w:top w:val="single" w:sz="12" w:space="0" w:color="auto"/>
              <w:left w:val="nil"/>
              <w:right w:val="single" w:sz="4" w:space="0" w:color="auto"/>
            </w:tcBorders>
            <w:shd w:val="pct70" w:color="auto" w:fill="FFFFFF" w:themeFill="background1"/>
            <w:vAlign w:val="center"/>
          </w:tcPr>
          <w:p w14:paraId="17F0ED4F" w14:textId="77777777" w:rsidR="00E25EBD" w:rsidRPr="00E25EBD" w:rsidRDefault="00E25EBD" w:rsidP="00C27481">
            <w:pPr>
              <w:pStyle w:val="Tablecolumnheading"/>
            </w:pPr>
            <w:r w:rsidRPr="00E25EBD">
              <w:t xml:space="preserve">Schedule </w:t>
            </w:r>
          </w:p>
        </w:tc>
        <w:tc>
          <w:tcPr>
            <w:tcW w:w="2156" w:type="dxa"/>
            <w:gridSpan w:val="2"/>
            <w:tcBorders>
              <w:top w:val="single" w:sz="12" w:space="0" w:color="auto"/>
              <w:left w:val="single" w:sz="4" w:space="0" w:color="auto"/>
              <w:bottom w:val="single" w:sz="4" w:space="0" w:color="auto"/>
              <w:right w:val="single" w:sz="4" w:space="0" w:color="auto"/>
            </w:tcBorders>
            <w:shd w:val="pct70" w:color="auto" w:fill="FFFFFF" w:themeFill="background1"/>
            <w:vAlign w:val="center"/>
          </w:tcPr>
          <w:p w14:paraId="10CCBDED" w14:textId="54FE29B2" w:rsidR="00E25EBD" w:rsidRPr="00E25EBD" w:rsidRDefault="00E25EBD" w:rsidP="00C27481">
            <w:pPr>
              <w:pStyle w:val="Tablecolumnheading"/>
            </w:pPr>
            <w:r w:rsidRPr="00E25EBD">
              <w:t>Age &lt;12 months</w:t>
            </w:r>
          </w:p>
        </w:tc>
        <w:tc>
          <w:tcPr>
            <w:tcW w:w="2156" w:type="dxa"/>
            <w:gridSpan w:val="2"/>
            <w:tcBorders>
              <w:top w:val="single" w:sz="12" w:space="0" w:color="auto"/>
              <w:left w:val="single" w:sz="4" w:space="0" w:color="auto"/>
              <w:bottom w:val="single" w:sz="4" w:space="0" w:color="auto"/>
              <w:right w:val="single" w:sz="4" w:space="0" w:color="auto"/>
            </w:tcBorders>
            <w:shd w:val="pct70" w:color="auto" w:fill="FFFFFF" w:themeFill="background1"/>
            <w:vAlign w:val="center"/>
          </w:tcPr>
          <w:p w14:paraId="199EF8DA" w14:textId="77777777" w:rsidR="00E25EBD" w:rsidRPr="00E25EBD" w:rsidRDefault="00E25EBD" w:rsidP="00C27481">
            <w:pPr>
              <w:pStyle w:val="Tablecolumnheading"/>
            </w:pPr>
            <w:r w:rsidRPr="00E25EBD">
              <w:t>Age ≥12 months</w:t>
            </w:r>
          </w:p>
        </w:tc>
        <w:tc>
          <w:tcPr>
            <w:tcW w:w="2157" w:type="dxa"/>
            <w:gridSpan w:val="2"/>
            <w:tcBorders>
              <w:top w:val="single" w:sz="12" w:space="0" w:color="auto"/>
              <w:left w:val="single" w:sz="4" w:space="0" w:color="auto"/>
              <w:bottom w:val="single" w:sz="4" w:space="0" w:color="auto"/>
              <w:right w:val="nil"/>
            </w:tcBorders>
            <w:shd w:val="pct70" w:color="auto" w:fill="FFFFFF" w:themeFill="background1"/>
            <w:vAlign w:val="center"/>
          </w:tcPr>
          <w:p w14:paraId="02BD8F2D" w14:textId="77777777" w:rsidR="00E25EBD" w:rsidRPr="00E25EBD" w:rsidRDefault="00E25EBD" w:rsidP="00C27481">
            <w:pPr>
              <w:pStyle w:val="Tablecolumnheading"/>
            </w:pPr>
            <w:r w:rsidRPr="00E25EBD">
              <w:t>Total</w:t>
            </w:r>
          </w:p>
        </w:tc>
      </w:tr>
      <w:tr w:rsidR="00E25EBD" w:rsidRPr="00E25EBD" w14:paraId="57C0DCE8" w14:textId="77777777" w:rsidTr="0066400C">
        <w:trPr>
          <w:trHeight w:val="444"/>
        </w:trPr>
        <w:tc>
          <w:tcPr>
            <w:tcW w:w="2976" w:type="dxa"/>
            <w:vMerge/>
            <w:tcBorders>
              <w:left w:val="nil"/>
              <w:bottom w:val="single" w:sz="12" w:space="0" w:color="auto"/>
              <w:right w:val="single" w:sz="4" w:space="0" w:color="auto"/>
            </w:tcBorders>
            <w:shd w:val="pct70" w:color="auto" w:fill="FFFFFF" w:themeFill="background1"/>
          </w:tcPr>
          <w:p w14:paraId="1F78F82C" w14:textId="77777777" w:rsidR="00E25EBD" w:rsidRPr="00E25EBD" w:rsidRDefault="00E25EBD" w:rsidP="00C27481">
            <w:pPr>
              <w:pStyle w:val="Tablecolumnheading"/>
            </w:pPr>
          </w:p>
        </w:tc>
        <w:tc>
          <w:tcPr>
            <w:tcW w:w="1078" w:type="dxa"/>
            <w:tcBorders>
              <w:left w:val="single" w:sz="4" w:space="0" w:color="auto"/>
              <w:bottom w:val="single" w:sz="12" w:space="0" w:color="auto"/>
              <w:right w:val="nil"/>
            </w:tcBorders>
            <w:shd w:val="pct70" w:color="auto" w:fill="FFFFFF" w:themeFill="background1"/>
          </w:tcPr>
          <w:p w14:paraId="7ED57643" w14:textId="03B1444A" w:rsidR="00E25EBD" w:rsidRPr="00E25EBD" w:rsidRDefault="00E25EBD" w:rsidP="001020B2">
            <w:pPr>
              <w:pStyle w:val="Tablecolumnheading"/>
            </w:pPr>
            <w:r w:rsidRPr="00E25EBD">
              <w:t>Severe IPD</w:t>
            </w:r>
            <w:r w:rsidR="001020B2" w:rsidRPr="001E3A96">
              <w:rPr>
                <w:vertAlign w:val="superscript"/>
              </w:rPr>
              <w:t>†</w:t>
            </w:r>
          </w:p>
        </w:tc>
        <w:tc>
          <w:tcPr>
            <w:tcW w:w="1078" w:type="dxa"/>
            <w:tcBorders>
              <w:left w:val="nil"/>
              <w:bottom w:val="single" w:sz="12" w:space="0" w:color="auto"/>
              <w:right w:val="single" w:sz="4" w:space="0" w:color="auto"/>
            </w:tcBorders>
            <w:shd w:val="pct70" w:color="auto" w:fill="FFFFFF" w:themeFill="background1"/>
          </w:tcPr>
          <w:p w14:paraId="5E26F714" w14:textId="77777777" w:rsidR="00E25EBD" w:rsidRPr="00E25EBD" w:rsidRDefault="00E25EBD" w:rsidP="00C27481">
            <w:pPr>
              <w:pStyle w:val="Tablecolumnheading"/>
            </w:pPr>
            <w:r w:rsidRPr="00E25EBD">
              <w:t>All IPD</w:t>
            </w:r>
          </w:p>
        </w:tc>
        <w:tc>
          <w:tcPr>
            <w:tcW w:w="1078" w:type="dxa"/>
            <w:tcBorders>
              <w:left w:val="single" w:sz="4" w:space="0" w:color="auto"/>
              <w:bottom w:val="single" w:sz="12" w:space="0" w:color="auto"/>
              <w:right w:val="nil"/>
            </w:tcBorders>
            <w:shd w:val="pct70" w:color="auto" w:fill="FFFFFF" w:themeFill="background1"/>
          </w:tcPr>
          <w:p w14:paraId="17E19528" w14:textId="42957C7C" w:rsidR="00E25EBD" w:rsidRPr="00E25EBD" w:rsidRDefault="00E25EBD" w:rsidP="007D2BD4">
            <w:pPr>
              <w:pStyle w:val="Tablecolumnheading"/>
            </w:pPr>
            <w:r w:rsidRPr="00E25EBD">
              <w:t>Severe IPD</w:t>
            </w:r>
            <w:r w:rsidR="007D2BD4" w:rsidRPr="001E3A96">
              <w:rPr>
                <w:vertAlign w:val="superscript"/>
              </w:rPr>
              <w:t>†</w:t>
            </w:r>
          </w:p>
        </w:tc>
        <w:tc>
          <w:tcPr>
            <w:tcW w:w="1078" w:type="dxa"/>
            <w:tcBorders>
              <w:left w:val="nil"/>
              <w:bottom w:val="single" w:sz="12" w:space="0" w:color="auto"/>
              <w:right w:val="single" w:sz="4" w:space="0" w:color="auto"/>
            </w:tcBorders>
            <w:shd w:val="pct70" w:color="auto" w:fill="FFFFFF" w:themeFill="background1"/>
          </w:tcPr>
          <w:p w14:paraId="4423DFAC" w14:textId="77777777" w:rsidR="00E25EBD" w:rsidRPr="00E25EBD" w:rsidRDefault="00E25EBD" w:rsidP="00C27481">
            <w:pPr>
              <w:pStyle w:val="Tablecolumnheading"/>
            </w:pPr>
            <w:r w:rsidRPr="00E25EBD">
              <w:t>All IPD</w:t>
            </w:r>
          </w:p>
        </w:tc>
        <w:tc>
          <w:tcPr>
            <w:tcW w:w="1078" w:type="dxa"/>
            <w:tcBorders>
              <w:left w:val="single" w:sz="4" w:space="0" w:color="auto"/>
              <w:bottom w:val="single" w:sz="12" w:space="0" w:color="auto"/>
              <w:right w:val="nil"/>
            </w:tcBorders>
            <w:shd w:val="pct70" w:color="auto" w:fill="FFFFFF" w:themeFill="background1"/>
          </w:tcPr>
          <w:p w14:paraId="2F488F8B" w14:textId="7BD58453" w:rsidR="00E25EBD" w:rsidRPr="00E25EBD" w:rsidRDefault="00E25EBD" w:rsidP="007D2BD4">
            <w:pPr>
              <w:pStyle w:val="Tablecolumnheading"/>
            </w:pPr>
            <w:r w:rsidRPr="00E25EBD">
              <w:t>Severe IPD</w:t>
            </w:r>
            <w:r w:rsidR="007D2BD4" w:rsidRPr="001E3A96">
              <w:rPr>
                <w:vertAlign w:val="superscript"/>
              </w:rPr>
              <w:t>†</w:t>
            </w:r>
          </w:p>
        </w:tc>
        <w:tc>
          <w:tcPr>
            <w:tcW w:w="1079" w:type="dxa"/>
            <w:tcBorders>
              <w:left w:val="nil"/>
              <w:bottom w:val="single" w:sz="12" w:space="0" w:color="auto"/>
              <w:right w:val="nil"/>
            </w:tcBorders>
            <w:shd w:val="pct70" w:color="auto" w:fill="FFFFFF" w:themeFill="background1"/>
          </w:tcPr>
          <w:p w14:paraId="0DB79AF8" w14:textId="77777777" w:rsidR="00E25EBD" w:rsidRPr="00E25EBD" w:rsidRDefault="00E25EBD" w:rsidP="00C27481">
            <w:pPr>
              <w:pStyle w:val="Tablecolumnheading"/>
            </w:pPr>
            <w:r w:rsidRPr="00E25EBD">
              <w:t>All IPD</w:t>
            </w:r>
          </w:p>
        </w:tc>
      </w:tr>
      <w:tr w:rsidR="00E25EBD" w:rsidRPr="00E25EBD" w14:paraId="15CA4743" w14:textId="77777777" w:rsidTr="0066400C">
        <w:trPr>
          <w:trHeight w:val="431"/>
        </w:trPr>
        <w:tc>
          <w:tcPr>
            <w:tcW w:w="2976" w:type="dxa"/>
            <w:tcBorders>
              <w:top w:val="single" w:sz="12" w:space="0" w:color="auto"/>
              <w:left w:val="nil"/>
              <w:bottom w:val="nil"/>
              <w:right w:val="single" w:sz="4" w:space="0" w:color="auto"/>
            </w:tcBorders>
            <w:vAlign w:val="center"/>
          </w:tcPr>
          <w:p w14:paraId="1CE78EB2" w14:textId="16FE8990" w:rsidR="00E25EBD" w:rsidRPr="00E25EBD" w:rsidRDefault="00E25EBD" w:rsidP="00C27481">
            <w:pPr>
              <w:pStyle w:val="Tabletext"/>
            </w:pPr>
            <w:r w:rsidRPr="00E25EBD">
              <w:t>AUS (observed</w:t>
            </w:r>
            <w:r w:rsidR="001A7B84">
              <w:t>, 3+0 schedule</w:t>
            </w:r>
            <w:r w:rsidRPr="00E25EBD">
              <w:t>)</w:t>
            </w:r>
          </w:p>
        </w:tc>
        <w:tc>
          <w:tcPr>
            <w:tcW w:w="1078" w:type="dxa"/>
            <w:tcBorders>
              <w:top w:val="single" w:sz="12" w:space="0" w:color="auto"/>
              <w:left w:val="single" w:sz="4" w:space="0" w:color="auto"/>
              <w:bottom w:val="nil"/>
              <w:right w:val="nil"/>
            </w:tcBorders>
            <w:vAlign w:val="center"/>
          </w:tcPr>
          <w:p w14:paraId="7A59F10B" w14:textId="77777777" w:rsidR="00E25EBD" w:rsidRPr="00E25EBD" w:rsidRDefault="00E25EBD" w:rsidP="00C27481">
            <w:pPr>
              <w:pStyle w:val="Tabletext"/>
              <w:jc w:val="center"/>
            </w:pPr>
            <w:r w:rsidRPr="00E25EBD">
              <w:t>1</w:t>
            </w:r>
          </w:p>
        </w:tc>
        <w:tc>
          <w:tcPr>
            <w:tcW w:w="1078" w:type="dxa"/>
            <w:tcBorders>
              <w:top w:val="single" w:sz="12" w:space="0" w:color="auto"/>
              <w:left w:val="nil"/>
              <w:bottom w:val="nil"/>
              <w:right w:val="single" w:sz="4" w:space="0" w:color="auto"/>
            </w:tcBorders>
            <w:vAlign w:val="center"/>
          </w:tcPr>
          <w:p w14:paraId="67811D8B" w14:textId="77777777" w:rsidR="00E25EBD" w:rsidRPr="00E25EBD" w:rsidRDefault="00E25EBD" w:rsidP="00C27481">
            <w:pPr>
              <w:pStyle w:val="Tabletext"/>
              <w:jc w:val="center"/>
            </w:pPr>
            <w:r w:rsidRPr="00E25EBD">
              <w:t>7</w:t>
            </w:r>
          </w:p>
        </w:tc>
        <w:tc>
          <w:tcPr>
            <w:tcW w:w="1078" w:type="dxa"/>
            <w:tcBorders>
              <w:top w:val="single" w:sz="12" w:space="0" w:color="auto"/>
              <w:left w:val="single" w:sz="4" w:space="0" w:color="auto"/>
              <w:bottom w:val="nil"/>
              <w:right w:val="nil"/>
            </w:tcBorders>
            <w:vAlign w:val="center"/>
          </w:tcPr>
          <w:p w14:paraId="5F574293" w14:textId="77777777" w:rsidR="00E25EBD" w:rsidRPr="00E25EBD" w:rsidRDefault="00E25EBD" w:rsidP="00C27481">
            <w:pPr>
              <w:pStyle w:val="Tabletext"/>
              <w:jc w:val="center"/>
            </w:pPr>
            <w:r w:rsidRPr="00E25EBD">
              <w:t>24</w:t>
            </w:r>
          </w:p>
        </w:tc>
        <w:tc>
          <w:tcPr>
            <w:tcW w:w="1078" w:type="dxa"/>
            <w:tcBorders>
              <w:top w:val="single" w:sz="12" w:space="0" w:color="auto"/>
              <w:left w:val="nil"/>
              <w:bottom w:val="nil"/>
              <w:right w:val="single" w:sz="4" w:space="0" w:color="auto"/>
            </w:tcBorders>
            <w:vAlign w:val="center"/>
          </w:tcPr>
          <w:p w14:paraId="31A1DC84" w14:textId="77777777" w:rsidR="00E25EBD" w:rsidRPr="00E25EBD" w:rsidRDefault="00E25EBD" w:rsidP="00C27481">
            <w:pPr>
              <w:pStyle w:val="Tabletext"/>
              <w:jc w:val="center"/>
            </w:pPr>
            <w:r w:rsidRPr="00E25EBD">
              <w:t>101</w:t>
            </w:r>
          </w:p>
        </w:tc>
        <w:tc>
          <w:tcPr>
            <w:tcW w:w="1078" w:type="dxa"/>
            <w:tcBorders>
              <w:top w:val="single" w:sz="12" w:space="0" w:color="auto"/>
              <w:left w:val="single" w:sz="4" w:space="0" w:color="auto"/>
              <w:bottom w:val="nil"/>
              <w:right w:val="nil"/>
            </w:tcBorders>
            <w:vAlign w:val="center"/>
          </w:tcPr>
          <w:p w14:paraId="29958900" w14:textId="77777777" w:rsidR="00E25EBD" w:rsidRPr="00E25EBD" w:rsidRDefault="00E25EBD" w:rsidP="00C27481">
            <w:pPr>
              <w:pStyle w:val="Tabletext"/>
              <w:jc w:val="center"/>
            </w:pPr>
            <w:r w:rsidRPr="00E25EBD">
              <w:t>25</w:t>
            </w:r>
          </w:p>
        </w:tc>
        <w:tc>
          <w:tcPr>
            <w:tcW w:w="1079" w:type="dxa"/>
            <w:tcBorders>
              <w:top w:val="single" w:sz="12" w:space="0" w:color="auto"/>
              <w:left w:val="nil"/>
              <w:bottom w:val="nil"/>
              <w:right w:val="nil"/>
            </w:tcBorders>
            <w:vAlign w:val="center"/>
          </w:tcPr>
          <w:p w14:paraId="68B57EB1" w14:textId="77777777" w:rsidR="00E25EBD" w:rsidRPr="00E25EBD" w:rsidRDefault="00E25EBD" w:rsidP="00C27481">
            <w:pPr>
              <w:pStyle w:val="Tabletext"/>
              <w:jc w:val="center"/>
            </w:pPr>
            <w:r w:rsidRPr="00E25EBD">
              <w:t>108</w:t>
            </w:r>
          </w:p>
        </w:tc>
      </w:tr>
      <w:tr w:rsidR="00E25EBD" w:rsidRPr="00E25EBD" w14:paraId="1FB4E024" w14:textId="77777777" w:rsidTr="0066400C">
        <w:trPr>
          <w:trHeight w:val="444"/>
        </w:trPr>
        <w:tc>
          <w:tcPr>
            <w:tcW w:w="2976" w:type="dxa"/>
            <w:tcBorders>
              <w:top w:val="nil"/>
              <w:left w:val="nil"/>
              <w:bottom w:val="nil"/>
              <w:right w:val="single" w:sz="4" w:space="0" w:color="auto"/>
            </w:tcBorders>
            <w:vAlign w:val="center"/>
          </w:tcPr>
          <w:p w14:paraId="0C1C8B97" w14:textId="3DF00E4A" w:rsidR="00E25EBD" w:rsidRPr="00E25EBD" w:rsidRDefault="00E25EBD" w:rsidP="00C27481">
            <w:pPr>
              <w:pStyle w:val="Tabletext"/>
            </w:pPr>
            <w:r w:rsidRPr="00E25EBD">
              <w:t xml:space="preserve">UK (observed, </w:t>
            </w:r>
            <w:r w:rsidR="001A7B84">
              <w:t>2+1 schedule</w:t>
            </w:r>
            <w:r w:rsidRPr="00E25EBD">
              <w:t>)</w:t>
            </w:r>
          </w:p>
        </w:tc>
        <w:tc>
          <w:tcPr>
            <w:tcW w:w="1078" w:type="dxa"/>
            <w:tcBorders>
              <w:top w:val="nil"/>
              <w:left w:val="single" w:sz="4" w:space="0" w:color="auto"/>
              <w:bottom w:val="nil"/>
              <w:right w:val="nil"/>
            </w:tcBorders>
            <w:vAlign w:val="center"/>
          </w:tcPr>
          <w:p w14:paraId="3E23E6D0" w14:textId="77777777" w:rsidR="00E25EBD" w:rsidRPr="00E25EBD" w:rsidRDefault="00E25EBD" w:rsidP="00C27481">
            <w:pPr>
              <w:pStyle w:val="Tabletext"/>
              <w:jc w:val="center"/>
            </w:pPr>
            <w:r w:rsidRPr="00E25EBD">
              <w:t>19</w:t>
            </w:r>
          </w:p>
        </w:tc>
        <w:tc>
          <w:tcPr>
            <w:tcW w:w="1078" w:type="dxa"/>
            <w:tcBorders>
              <w:top w:val="nil"/>
              <w:left w:val="nil"/>
              <w:bottom w:val="nil"/>
              <w:right w:val="single" w:sz="4" w:space="0" w:color="auto"/>
            </w:tcBorders>
            <w:vAlign w:val="center"/>
          </w:tcPr>
          <w:p w14:paraId="025A93EE" w14:textId="77777777" w:rsidR="00E25EBD" w:rsidRPr="00E25EBD" w:rsidRDefault="00E25EBD" w:rsidP="00C27481">
            <w:pPr>
              <w:pStyle w:val="Tabletext"/>
              <w:jc w:val="center"/>
            </w:pPr>
            <w:r w:rsidRPr="00E25EBD">
              <w:t>41</w:t>
            </w:r>
          </w:p>
        </w:tc>
        <w:tc>
          <w:tcPr>
            <w:tcW w:w="1078" w:type="dxa"/>
            <w:tcBorders>
              <w:top w:val="nil"/>
              <w:left w:val="single" w:sz="4" w:space="0" w:color="auto"/>
              <w:bottom w:val="nil"/>
              <w:right w:val="nil"/>
            </w:tcBorders>
            <w:vAlign w:val="center"/>
          </w:tcPr>
          <w:p w14:paraId="67E9C72F" w14:textId="77777777" w:rsidR="00E25EBD" w:rsidRPr="00E25EBD" w:rsidRDefault="00E25EBD" w:rsidP="00C27481">
            <w:pPr>
              <w:pStyle w:val="Tabletext"/>
              <w:jc w:val="center"/>
            </w:pPr>
            <w:r w:rsidRPr="00E25EBD">
              <w:t>18</w:t>
            </w:r>
          </w:p>
        </w:tc>
        <w:tc>
          <w:tcPr>
            <w:tcW w:w="1078" w:type="dxa"/>
            <w:tcBorders>
              <w:top w:val="nil"/>
              <w:left w:val="nil"/>
              <w:bottom w:val="nil"/>
              <w:right w:val="single" w:sz="4" w:space="0" w:color="auto"/>
            </w:tcBorders>
            <w:vAlign w:val="center"/>
          </w:tcPr>
          <w:p w14:paraId="0E8B38FC" w14:textId="77777777" w:rsidR="00E25EBD" w:rsidRPr="00E25EBD" w:rsidRDefault="00E25EBD" w:rsidP="00C27481">
            <w:pPr>
              <w:pStyle w:val="Tabletext"/>
              <w:jc w:val="center"/>
            </w:pPr>
            <w:r w:rsidRPr="00E25EBD">
              <w:t>28</w:t>
            </w:r>
          </w:p>
        </w:tc>
        <w:tc>
          <w:tcPr>
            <w:tcW w:w="1078" w:type="dxa"/>
            <w:tcBorders>
              <w:top w:val="nil"/>
              <w:left w:val="single" w:sz="4" w:space="0" w:color="auto"/>
              <w:bottom w:val="nil"/>
              <w:right w:val="nil"/>
            </w:tcBorders>
            <w:vAlign w:val="center"/>
          </w:tcPr>
          <w:p w14:paraId="0E15DD0A" w14:textId="77777777" w:rsidR="00E25EBD" w:rsidRPr="00E25EBD" w:rsidRDefault="00E25EBD" w:rsidP="00C27481">
            <w:pPr>
              <w:pStyle w:val="Tabletext"/>
              <w:jc w:val="center"/>
            </w:pPr>
            <w:r w:rsidRPr="00E25EBD">
              <w:t>37</w:t>
            </w:r>
          </w:p>
        </w:tc>
        <w:tc>
          <w:tcPr>
            <w:tcW w:w="1079" w:type="dxa"/>
            <w:tcBorders>
              <w:top w:val="nil"/>
              <w:left w:val="nil"/>
              <w:bottom w:val="nil"/>
              <w:right w:val="nil"/>
            </w:tcBorders>
            <w:vAlign w:val="center"/>
          </w:tcPr>
          <w:p w14:paraId="77CD72AA" w14:textId="77777777" w:rsidR="00E25EBD" w:rsidRPr="00E25EBD" w:rsidRDefault="00E25EBD" w:rsidP="00C27481">
            <w:pPr>
              <w:pStyle w:val="Tabletext"/>
              <w:jc w:val="center"/>
            </w:pPr>
            <w:r w:rsidRPr="00E25EBD">
              <w:t>69</w:t>
            </w:r>
          </w:p>
        </w:tc>
      </w:tr>
      <w:tr w:rsidR="00E25EBD" w:rsidRPr="00E25EBD" w14:paraId="329C06C5" w14:textId="77777777" w:rsidTr="0066400C">
        <w:trPr>
          <w:trHeight w:val="444"/>
        </w:trPr>
        <w:tc>
          <w:tcPr>
            <w:tcW w:w="2976" w:type="dxa"/>
            <w:tcBorders>
              <w:top w:val="nil"/>
              <w:left w:val="nil"/>
              <w:bottom w:val="single" w:sz="4" w:space="0" w:color="auto"/>
              <w:right w:val="single" w:sz="4" w:space="0" w:color="auto"/>
            </w:tcBorders>
            <w:vAlign w:val="center"/>
          </w:tcPr>
          <w:p w14:paraId="79078CA2" w14:textId="494257D7" w:rsidR="00E25EBD" w:rsidRPr="00E25EBD" w:rsidRDefault="00E25EBD" w:rsidP="00C27481">
            <w:pPr>
              <w:pStyle w:val="Tabletext"/>
              <w:rPr>
                <w:bCs/>
              </w:rPr>
            </w:pPr>
            <w:r w:rsidRPr="00E25EBD">
              <w:rPr>
                <w:bCs/>
              </w:rPr>
              <w:t>AUS (</w:t>
            </w:r>
            <w:r w:rsidR="003327E4">
              <w:rPr>
                <w:bCs/>
              </w:rPr>
              <w:t>imputed</w:t>
            </w:r>
            <w:r w:rsidR="001A7B84">
              <w:t>, 2+1 schedule</w:t>
            </w:r>
            <w:r w:rsidR="001020B2" w:rsidRPr="007536FF">
              <w:rPr>
                <w:vertAlign w:val="superscript"/>
              </w:rPr>
              <w:t>‡</w:t>
            </w:r>
            <w:r w:rsidR="003327E4">
              <w:t>)</w:t>
            </w:r>
          </w:p>
        </w:tc>
        <w:tc>
          <w:tcPr>
            <w:tcW w:w="1078" w:type="dxa"/>
            <w:tcBorders>
              <w:top w:val="nil"/>
              <w:left w:val="single" w:sz="4" w:space="0" w:color="auto"/>
              <w:bottom w:val="single" w:sz="4" w:space="0" w:color="auto"/>
              <w:right w:val="nil"/>
            </w:tcBorders>
            <w:vAlign w:val="center"/>
          </w:tcPr>
          <w:p w14:paraId="31AB0E9A" w14:textId="77777777" w:rsidR="00E25EBD" w:rsidRPr="00E25EBD" w:rsidRDefault="00E25EBD" w:rsidP="00C27481">
            <w:pPr>
              <w:pStyle w:val="Tabletext"/>
              <w:jc w:val="center"/>
            </w:pPr>
            <w:r w:rsidRPr="00E25EBD">
              <w:t>8</w:t>
            </w:r>
          </w:p>
        </w:tc>
        <w:tc>
          <w:tcPr>
            <w:tcW w:w="1078" w:type="dxa"/>
            <w:tcBorders>
              <w:top w:val="nil"/>
              <w:left w:val="nil"/>
              <w:bottom w:val="single" w:sz="4" w:space="0" w:color="auto"/>
              <w:right w:val="single" w:sz="4" w:space="0" w:color="auto"/>
            </w:tcBorders>
            <w:vAlign w:val="center"/>
          </w:tcPr>
          <w:p w14:paraId="0A5BE511" w14:textId="77777777" w:rsidR="00E25EBD" w:rsidRPr="00E25EBD" w:rsidRDefault="00E25EBD" w:rsidP="00C27481">
            <w:pPr>
              <w:pStyle w:val="Tabletext"/>
              <w:jc w:val="center"/>
            </w:pPr>
            <w:r w:rsidRPr="00E25EBD">
              <w:t>18</w:t>
            </w:r>
          </w:p>
        </w:tc>
        <w:tc>
          <w:tcPr>
            <w:tcW w:w="1078" w:type="dxa"/>
            <w:tcBorders>
              <w:top w:val="nil"/>
              <w:left w:val="single" w:sz="4" w:space="0" w:color="auto"/>
              <w:bottom w:val="single" w:sz="4" w:space="0" w:color="auto"/>
              <w:right w:val="nil"/>
            </w:tcBorders>
            <w:vAlign w:val="center"/>
          </w:tcPr>
          <w:p w14:paraId="026F7CB8" w14:textId="77777777" w:rsidR="00E25EBD" w:rsidRPr="00E25EBD" w:rsidRDefault="00E25EBD" w:rsidP="00C27481">
            <w:pPr>
              <w:pStyle w:val="Tabletext"/>
              <w:jc w:val="center"/>
            </w:pPr>
            <w:r w:rsidRPr="00E25EBD">
              <w:t>8</w:t>
            </w:r>
          </w:p>
        </w:tc>
        <w:tc>
          <w:tcPr>
            <w:tcW w:w="1078" w:type="dxa"/>
            <w:tcBorders>
              <w:top w:val="nil"/>
              <w:left w:val="nil"/>
              <w:bottom w:val="single" w:sz="4" w:space="0" w:color="auto"/>
              <w:right w:val="single" w:sz="4" w:space="0" w:color="auto"/>
            </w:tcBorders>
            <w:vAlign w:val="center"/>
          </w:tcPr>
          <w:p w14:paraId="0A105386" w14:textId="77777777" w:rsidR="00E25EBD" w:rsidRPr="00E25EBD" w:rsidRDefault="00E25EBD" w:rsidP="00C27481">
            <w:pPr>
              <w:pStyle w:val="Tabletext"/>
              <w:jc w:val="center"/>
            </w:pPr>
            <w:r w:rsidRPr="00E25EBD">
              <w:t>12</w:t>
            </w:r>
          </w:p>
        </w:tc>
        <w:tc>
          <w:tcPr>
            <w:tcW w:w="1078" w:type="dxa"/>
            <w:tcBorders>
              <w:top w:val="nil"/>
              <w:left w:val="single" w:sz="4" w:space="0" w:color="auto"/>
              <w:bottom w:val="single" w:sz="4" w:space="0" w:color="auto"/>
              <w:right w:val="nil"/>
            </w:tcBorders>
            <w:vAlign w:val="center"/>
          </w:tcPr>
          <w:p w14:paraId="2F60E365" w14:textId="77777777" w:rsidR="00E25EBD" w:rsidRPr="00E25EBD" w:rsidRDefault="00E25EBD" w:rsidP="00C27481">
            <w:pPr>
              <w:pStyle w:val="Tabletext"/>
              <w:jc w:val="center"/>
            </w:pPr>
            <w:r w:rsidRPr="00E25EBD">
              <w:t>16</w:t>
            </w:r>
          </w:p>
        </w:tc>
        <w:tc>
          <w:tcPr>
            <w:tcW w:w="1079" w:type="dxa"/>
            <w:tcBorders>
              <w:top w:val="nil"/>
              <w:left w:val="nil"/>
              <w:bottom w:val="single" w:sz="4" w:space="0" w:color="auto"/>
              <w:right w:val="nil"/>
            </w:tcBorders>
            <w:vAlign w:val="center"/>
          </w:tcPr>
          <w:p w14:paraId="33006E81" w14:textId="77777777" w:rsidR="00E25EBD" w:rsidRPr="00E25EBD" w:rsidRDefault="00E25EBD" w:rsidP="00C27481">
            <w:pPr>
              <w:pStyle w:val="Tabletext"/>
              <w:jc w:val="center"/>
            </w:pPr>
            <w:r w:rsidRPr="00E25EBD">
              <w:t>30</w:t>
            </w:r>
          </w:p>
        </w:tc>
      </w:tr>
      <w:tr w:rsidR="00E25EBD" w:rsidRPr="00E25EBD" w14:paraId="41F45257" w14:textId="77777777" w:rsidTr="0066400C">
        <w:trPr>
          <w:trHeight w:val="444"/>
        </w:trPr>
        <w:tc>
          <w:tcPr>
            <w:tcW w:w="2976" w:type="dxa"/>
            <w:tcBorders>
              <w:top w:val="single" w:sz="4" w:space="0" w:color="auto"/>
              <w:left w:val="nil"/>
              <w:bottom w:val="double" w:sz="4" w:space="0" w:color="auto"/>
              <w:right w:val="single" w:sz="4" w:space="0" w:color="auto"/>
            </w:tcBorders>
            <w:vAlign w:val="center"/>
          </w:tcPr>
          <w:p w14:paraId="26BC82BB" w14:textId="35C9944B" w:rsidR="00E25EBD" w:rsidRPr="00E25EBD" w:rsidRDefault="00E25EBD" w:rsidP="00C27481">
            <w:pPr>
              <w:pStyle w:val="Tabletext"/>
            </w:pPr>
            <w:r w:rsidRPr="00E25EBD">
              <w:t>AUS (</w:t>
            </w:r>
            <w:r w:rsidR="003327E4">
              <w:t>difference between imputed and observed</w:t>
            </w:r>
            <w:r w:rsidRPr="00E25EBD">
              <w:t xml:space="preserve"> )</w:t>
            </w:r>
          </w:p>
        </w:tc>
        <w:tc>
          <w:tcPr>
            <w:tcW w:w="1078" w:type="dxa"/>
            <w:tcBorders>
              <w:top w:val="single" w:sz="4" w:space="0" w:color="auto"/>
              <w:left w:val="single" w:sz="4" w:space="0" w:color="auto"/>
              <w:bottom w:val="double" w:sz="4" w:space="0" w:color="auto"/>
              <w:right w:val="nil"/>
            </w:tcBorders>
            <w:vAlign w:val="center"/>
          </w:tcPr>
          <w:p w14:paraId="28F002E2" w14:textId="77777777" w:rsidR="00E25EBD" w:rsidRPr="00E25EBD" w:rsidRDefault="00E25EBD" w:rsidP="00C27481">
            <w:pPr>
              <w:pStyle w:val="Tabletext"/>
              <w:jc w:val="center"/>
            </w:pPr>
            <w:r w:rsidRPr="00E25EBD">
              <w:t>+7</w:t>
            </w:r>
          </w:p>
        </w:tc>
        <w:tc>
          <w:tcPr>
            <w:tcW w:w="1078" w:type="dxa"/>
            <w:tcBorders>
              <w:top w:val="single" w:sz="4" w:space="0" w:color="auto"/>
              <w:left w:val="nil"/>
              <w:bottom w:val="double" w:sz="4" w:space="0" w:color="auto"/>
              <w:right w:val="single" w:sz="4" w:space="0" w:color="auto"/>
            </w:tcBorders>
            <w:vAlign w:val="center"/>
          </w:tcPr>
          <w:p w14:paraId="1AAB6A1D" w14:textId="58BD5686" w:rsidR="00E25EBD" w:rsidRPr="00E25EBD" w:rsidRDefault="00E25EBD" w:rsidP="00C27481">
            <w:pPr>
              <w:pStyle w:val="Tabletext"/>
              <w:jc w:val="center"/>
            </w:pPr>
            <w:r w:rsidRPr="00E25EBD">
              <w:t>+11</w:t>
            </w:r>
          </w:p>
        </w:tc>
        <w:tc>
          <w:tcPr>
            <w:tcW w:w="1078" w:type="dxa"/>
            <w:tcBorders>
              <w:top w:val="single" w:sz="4" w:space="0" w:color="auto"/>
              <w:left w:val="single" w:sz="4" w:space="0" w:color="auto"/>
              <w:bottom w:val="double" w:sz="4" w:space="0" w:color="auto"/>
              <w:right w:val="nil"/>
            </w:tcBorders>
            <w:vAlign w:val="center"/>
          </w:tcPr>
          <w:p w14:paraId="3D1299BD" w14:textId="1130BE55" w:rsidR="00E25EBD" w:rsidRPr="00E25EBD" w:rsidRDefault="00035123" w:rsidP="00C27481">
            <w:pPr>
              <w:pStyle w:val="Tabletext"/>
              <w:jc w:val="center"/>
            </w:pPr>
            <w:r>
              <w:t>–</w:t>
            </w:r>
            <w:r w:rsidR="00E25EBD" w:rsidRPr="00E25EBD">
              <w:t>16</w:t>
            </w:r>
          </w:p>
        </w:tc>
        <w:tc>
          <w:tcPr>
            <w:tcW w:w="1078" w:type="dxa"/>
            <w:tcBorders>
              <w:top w:val="single" w:sz="4" w:space="0" w:color="auto"/>
              <w:left w:val="nil"/>
              <w:bottom w:val="double" w:sz="4" w:space="0" w:color="auto"/>
              <w:right w:val="single" w:sz="4" w:space="0" w:color="auto"/>
            </w:tcBorders>
            <w:vAlign w:val="center"/>
          </w:tcPr>
          <w:p w14:paraId="0DA0B687" w14:textId="16027396" w:rsidR="00E25EBD" w:rsidRPr="00E25EBD" w:rsidRDefault="00035123" w:rsidP="00C27481">
            <w:pPr>
              <w:pStyle w:val="Tabletext"/>
              <w:jc w:val="center"/>
            </w:pPr>
            <w:r>
              <w:t>–</w:t>
            </w:r>
            <w:r w:rsidR="00E25EBD" w:rsidRPr="00E25EBD">
              <w:t>89</w:t>
            </w:r>
          </w:p>
        </w:tc>
        <w:tc>
          <w:tcPr>
            <w:tcW w:w="1078" w:type="dxa"/>
            <w:tcBorders>
              <w:top w:val="single" w:sz="4" w:space="0" w:color="auto"/>
              <w:left w:val="single" w:sz="4" w:space="0" w:color="auto"/>
              <w:bottom w:val="double" w:sz="4" w:space="0" w:color="auto"/>
              <w:right w:val="nil"/>
            </w:tcBorders>
            <w:vAlign w:val="center"/>
          </w:tcPr>
          <w:p w14:paraId="69870027" w14:textId="7718F783" w:rsidR="00E25EBD" w:rsidRPr="00E25EBD" w:rsidRDefault="00035123" w:rsidP="00C27481">
            <w:pPr>
              <w:pStyle w:val="Tabletext"/>
              <w:jc w:val="center"/>
            </w:pPr>
            <w:r>
              <w:t>–</w:t>
            </w:r>
            <w:r w:rsidR="00E25EBD" w:rsidRPr="00E25EBD">
              <w:t>9</w:t>
            </w:r>
          </w:p>
        </w:tc>
        <w:tc>
          <w:tcPr>
            <w:tcW w:w="1079" w:type="dxa"/>
            <w:tcBorders>
              <w:top w:val="single" w:sz="4" w:space="0" w:color="auto"/>
              <w:left w:val="nil"/>
              <w:bottom w:val="double" w:sz="4" w:space="0" w:color="auto"/>
              <w:right w:val="nil"/>
            </w:tcBorders>
            <w:vAlign w:val="center"/>
          </w:tcPr>
          <w:p w14:paraId="7B1DD153" w14:textId="13DC5B5F" w:rsidR="00E25EBD" w:rsidRPr="00E25EBD" w:rsidRDefault="00035123" w:rsidP="00C27481">
            <w:pPr>
              <w:pStyle w:val="Tabletext"/>
              <w:jc w:val="center"/>
            </w:pPr>
            <w:r>
              <w:t>–</w:t>
            </w:r>
            <w:r w:rsidR="00E25EBD" w:rsidRPr="00E25EBD">
              <w:t>78</w:t>
            </w:r>
          </w:p>
        </w:tc>
      </w:tr>
    </w:tbl>
    <w:p w14:paraId="079C00FA" w14:textId="7EA9C522" w:rsidR="00392945" w:rsidRDefault="007C5E62" w:rsidP="00C27481">
      <w:pPr>
        <w:pStyle w:val="Tablefootnote"/>
      </w:pPr>
      <w:r w:rsidRPr="007C5E62">
        <w:t>*</w:t>
      </w:r>
      <w:r w:rsidR="00C27481">
        <w:tab/>
      </w:r>
      <w:r w:rsidR="00392945">
        <w:t>Observation periods</w:t>
      </w:r>
      <w:r w:rsidR="00035123">
        <w:t>:</w:t>
      </w:r>
      <w:r w:rsidR="00392945">
        <w:t xml:space="preserve"> for UK 2011</w:t>
      </w:r>
      <w:r w:rsidR="00035123">
        <w:t>–</w:t>
      </w:r>
      <w:r w:rsidR="00392945">
        <w:t>2014</w:t>
      </w:r>
      <w:r w:rsidR="00035123">
        <w:t>;</w:t>
      </w:r>
      <w:r w:rsidR="00392945">
        <w:t xml:space="preserve"> for Australia</w:t>
      </w:r>
      <w:r w:rsidR="001F14C6">
        <w:t xml:space="preserve"> </w:t>
      </w:r>
      <w:r w:rsidR="00392945">
        <w:t>2012</w:t>
      </w:r>
      <w:r w:rsidR="00035123">
        <w:t>–</w:t>
      </w:r>
      <w:r w:rsidR="00392945">
        <w:t xml:space="preserve">2015  </w:t>
      </w:r>
    </w:p>
    <w:p w14:paraId="5E64CCD8" w14:textId="77777777" w:rsidR="001020B2" w:rsidRDefault="00392945" w:rsidP="00C27481">
      <w:pPr>
        <w:pStyle w:val="Tablefootnote"/>
        <w:rPr>
          <w:rFonts w:cs="Times"/>
        </w:rPr>
      </w:pPr>
      <w:r w:rsidRPr="00246CBB">
        <w:rPr>
          <w:rFonts w:cs="Times"/>
        </w:rPr>
        <w:t>†</w:t>
      </w:r>
      <w:r w:rsidR="00C27481">
        <w:rPr>
          <w:rFonts w:cs="Times"/>
        </w:rPr>
        <w:tab/>
      </w:r>
      <w:r w:rsidR="001020B2" w:rsidRPr="007C5E62">
        <w:t>Includes pneumococcal meningitis and pneumonia with empyema/effusion</w:t>
      </w:r>
      <w:r w:rsidR="001020B2" w:rsidRPr="00246CBB">
        <w:rPr>
          <w:rFonts w:cs="Times"/>
        </w:rPr>
        <w:t xml:space="preserve"> </w:t>
      </w:r>
    </w:p>
    <w:p w14:paraId="010EC808" w14:textId="75EB1BE1" w:rsidR="007C5E62" w:rsidRPr="007C5E62" w:rsidRDefault="001020B2" w:rsidP="00C27481">
      <w:pPr>
        <w:pStyle w:val="Tablefootnote"/>
      </w:pPr>
      <w:r w:rsidRPr="003C4588">
        <w:t>‡</w:t>
      </w:r>
      <w:r w:rsidRPr="007536FF">
        <w:rPr>
          <w:b/>
        </w:rPr>
        <w:tab/>
      </w:r>
      <w:r w:rsidR="007C5E62" w:rsidRPr="00246CBB">
        <w:rPr>
          <w:rFonts w:cs="Times"/>
        </w:rPr>
        <w:t xml:space="preserve">Crude </w:t>
      </w:r>
      <w:r w:rsidR="007C5E62" w:rsidRPr="00246CBB">
        <w:t xml:space="preserve">extrapolation </w:t>
      </w:r>
      <w:r w:rsidR="003327E4" w:rsidRPr="00246CBB">
        <w:t xml:space="preserve">to estimate number expected if 2+1 </w:t>
      </w:r>
      <w:r w:rsidR="00035123">
        <w:t xml:space="preserve">schedule </w:t>
      </w:r>
      <w:r w:rsidR="003327E4" w:rsidRPr="00246CBB">
        <w:t xml:space="preserve">was used </w:t>
      </w:r>
      <w:r w:rsidR="001324B0" w:rsidRPr="00246CBB">
        <w:t xml:space="preserve">instead of 3+0 </w:t>
      </w:r>
      <w:r w:rsidR="00035123">
        <w:t xml:space="preserve">schedule </w:t>
      </w:r>
      <w:r w:rsidR="001324B0" w:rsidRPr="00246CBB">
        <w:t xml:space="preserve">in this period </w:t>
      </w:r>
      <w:r w:rsidR="007C5E62" w:rsidRPr="00246CBB">
        <w:t xml:space="preserve">by accounting for the difference in birth cohort sizes of 700,000 in the UK and 300,000 in </w:t>
      </w:r>
      <w:r w:rsidR="00972E1A" w:rsidRPr="00246CBB">
        <w:t>Australia</w:t>
      </w:r>
      <w:r w:rsidR="00035123">
        <w:t xml:space="preserve"> </w:t>
      </w:r>
      <m:oMath>
        <m:d>
          <m:dPr>
            <m:begChr m:val="["/>
            <m:endChr m:val="]"/>
            <m:ctrlPr>
              <w:rPr>
                <w:rFonts w:ascii="Cambria Math" w:hAnsi="Cambria Math"/>
                <w:i/>
                <w:szCs w:val="16"/>
              </w:rPr>
            </m:ctrlPr>
          </m:dPr>
          <m:e>
            <m:r>
              <w:rPr>
                <w:rFonts w:ascii="Cambria Math" w:hAnsi="Cambria Math"/>
                <w:szCs w:val="16"/>
              </w:rPr>
              <m:t>n</m:t>
            </m:r>
            <m:r>
              <w:rPr>
                <w:rFonts w:ascii="Cambria Math" w:hAnsi="Cambria Math" w:hint="eastAsia"/>
                <w:szCs w:val="16"/>
              </w:rPr>
              <m:t>×</m:t>
            </m:r>
            <m:f>
              <m:fPr>
                <m:type m:val="skw"/>
                <m:ctrlPr>
                  <w:rPr>
                    <w:rFonts w:ascii="Cambria Math" w:hAnsi="Cambria Math"/>
                    <w:i/>
                    <w:szCs w:val="16"/>
                  </w:rPr>
                </m:ctrlPr>
              </m:fPr>
              <m:num>
                <m:r>
                  <w:rPr>
                    <w:rFonts w:ascii="Cambria Math" w:hAnsi="Cambria Math"/>
                    <w:szCs w:val="16"/>
                  </w:rPr>
                  <m:t>3</m:t>
                </m:r>
              </m:num>
              <m:den>
                <m:r>
                  <w:rPr>
                    <w:rFonts w:ascii="Cambria Math" w:hAnsi="Cambria Math"/>
                    <w:szCs w:val="16"/>
                  </w:rPr>
                  <m:t>7</m:t>
                </m:r>
              </m:den>
            </m:f>
          </m:e>
        </m:d>
      </m:oMath>
      <w:r w:rsidR="001F14C6">
        <w:rPr>
          <w:sz w:val="18"/>
          <w:szCs w:val="18"/>
        </w:rPr>
        <w:t>,</w:t>
      </w:r>
      <w:r w:rsidR="007C5E62" w:rsidRPr="00246CBB">
        <w:rPr>
          <w:sz w:val="18"/>
          <w:szCs w:val="18"/>
        </w:rPr>
        <w:t xml:space="preserve"> </w:t>
      </w:r>
      <w:r w:rsidR="007C5E62" w:rsidRPr="00246CBB">
        <w:t>rounded to nearest whole number</w:t>
      </w:r>
    </w:p>
    <w:p w14:paraId="0676801C" w14:textId="1E721EDC" w:rsidR="0094769A" w:rsidRDefault="0094769A" w:rsidP="00C27481">
      <w:pPr>
        <w:pStyle w:val="Tablefootnote"/>
      </w:pPr>
    </w:p>
    <w:p w14:paraId="4AFDE8EC" w14:textId="6EAFB746" w:rsidR="00246CBB" w:rsidRDefault="00246CBB" w:rsidP="00C27481">
      <w:pPr>
        <w:spacing w:before="360"/>
      </w:pPr>
      <w:r>
        <w:t xml:space="preserve">Had a 2+1 schedule been used during the past </w:t>
      </w:r>
      <w:r w:rsidR="007D2BD4">
        <w:t xml:space="preserve">4 </w:t>
      </w:r>
      <w:r>
        <w:t>years for 13vPCV,</w:t>
      </w:r>
      <w:r w:rsidRPr="00313760">
        <w:t xml:space="preserve"> </w:t>
      </w:r>
      <w:r>
        <w:t>it is estimated that a total of 78 additional cases of IPD in vaccinated children would have been averted. A</w:t>
      </w:r>
      <w:r w:rsidRPr="00313760">
        <w:t>mong children aged ≥12</w:t>
      </w:r>
      <w:r w:rsidR="007D2BD4">
        <w:t> </w:t>
      </w:r>
      <w:r w:rsidRPr="00313760">
        <w:t>months</w:t>
      </w:r>
      <w:r>
        <w:t>,</w:t>
      </w:r>
      <w:r w:rsidRPr="00313760">
        <w:t xml:space="preserve"> </w:t>
      </w:r>
      <w:r>
        <w:t>8</w:t>
      </w:r>
      <w:r w:rsidRPr="00313760">
        <w:t>9 fewer cases of breakthrough IP</w:t>
      </w:r>
      <w:r>
        <w:t xml:space="preserve">D would have occurred over the </w:t>
      </w:r>
      <w:r w:rsidR="007D2BD4">
        <w:t>4-</w:t>
      </w:r>
      <w:r w:rsidRPr="00313760">
        <w:t>year period if</w:t>
      </w:r>
      <w:r>
        <w:t xml:space="preserve"> a</w:t>
      </w:r>
      <w:r w:rsidRPr="00313760">
        <w:t xml:space="preserve"> 2+1 schedule was used, with 16 (4 per year) being </w:t>
      </w:r>
      <w:r w:rsidR="00CB63FE">
        <w:t xml:space="preserve">more </w:t>
      </w:r>
      <w:r w:rsidRPr="00313760">
        <w:t>severe disease</w:t>
      </w:r>
      <w:r>
        <w:t xml:space="preserve"> </w:t>
      </w:r>
      <w:r w:rsidRPr="00313760">
        <w:t>(i.e. either pneumococcal meningitis or pneumonia with empyema).</w:t>
      </w:r>
    </w:p>
    <w:p w14:paraId="6C6DF0EC" w14:textId="38A3E6D7" w:rsidR="00CF1A9D" w:rsidRDefault="00D6041D" w:rsidP="007E7F73">
      <w:r>
        <w:t xml:space="preserve">Whereas a shift to a 2+1 schedule </w:t>
      </w:r>
      <w:r w:rsidR="00B61FBA">
        <w:t>could have averted an es</w:t>
      </w:r>
      <w:r>
        <w:t xml:space="preserve">timated 89 cases among children </w:t>
      </w:r>
      <w:r w:rsidR="00B61FBA">
        <w:t xml:space="preserve">aged </w:t>
      </w:r>
      <w:r w:rsidR="00B61FBA" w:rsidRPr="00313760">
        <w:t>≥12</w:t>
      </w:r>
      <w:r w:rsidR="007D2BD4">
        <w:t> </w:t>
      </w:r>
      <w:r w:rsidR="00B61FBA" w:rsidRPr="00313760">
        <w:t>months</w:t>
      </w:r>
      <w:r w:rsidR="00B61FBA">
        <w:t xml:space="preserve">, crude estimates suggest this may have been offset by </w:t>
      </w:r>
      <w:r w:rsidR="00B538F8" w:rsidRPr="00313760">
        <w:t>11 more breakthrough disease cases</w:t>
      </w:r>
      <w:r w:rsidR="00684571" w:rsidRPr="00313760">
        <w:t xml:space="preserve"> </w:t>
      </w:r>
      <w:r w:rsidR="00B61FBA">
        <w:t xml:space="preserve">in infants </w:t>
      </w:r>
      <w:r w:rsidR="00B61FBA" w:rsidRPr="00313760">
        <w:t>between the ages of 6 months and 12 months</w:t>
      </w:r>
      <w:r w:rsidR="00B61FBA">
        <w:t xml:space="preserve"> (</w:t>
      </w:r>
      <w:r w:rsidR="005B7D7D">
        <w:t>seven</w:t>
      </w:r>
      <w:r w:rsidR="00B538F8" w:rsidRPr="00313760">
        <w:t xml:space="preserve"> of these </w:t>
      </w:r>
      <w:r w:rsidR="00684571" w:rsidRPr="00313760">
        <w:t>being sever</w:t>
      </w:r>
      <w:r w:rsidR="00D7497C" w:rsidRPr="00313760">
        <w:t>e</w:t>
      </w:r>
      <w:r w:rsidR="00684571" w:rsidRPr="00313760">
        <w:t xml:space="preserve"> disease</w:t>
      </w:r>
      <w:r w:rsidR="00B61FBA">
        <w:t xml:space="preserve">) over </w:t>
      </w:r>
      <w:r w:rsidR="007D2BD4">
        <w:t xml:space="preserve">4 </w:t>
      </w:r>
      <w:r w:rsidR="00B61FBA">
        <w:t>years</w:t>
      </w:r>
      <w:r w:rsidR="005B7D7D">
        <w:t>.</w:t>
      </w:r>
      <w:r w:rsidR="00657A3D">
        <w:t xml:space="preserve"> </w:t>
      </w:r>
      <w:r w:rsidR="00657A3D" w:rsidRPr="000F66F7">
        <w:t xml:space="preserve">This translates to two additional cases of severe IPD per year </w:t>
      </w:r>
      <w:r w:rsidR="007D2BD4">
        <w:t>in children</w:t>
      </w:r>
      <w:r w:rsidR="007D2BD4" w:rsidRPr="000F66F7">
        <w:t xml:space="preserve"> </w:t>
      </w:r>
      <w:r w:rsidR="007D2BD4">
        <w:t>&lt;</w:t>
      </w:r>
      <w:r w:rsidR="00657A3D" w:rsidRPr="000F66F7">
        <w:t xml:space="preserve">12 months of age among 300,000 children who </w:t>
      </w:r>
      <w:r w:rsidR="00A70F96">
        <w:t xml:space="preserve">would </w:t>
      </w:r>
      <w:r w:rsidR="00657A3D" w:rsidRPr="000F66F7">
        <w:t>have received two doses by 6 months of age.</w:t>
      </w:r>
      <w:r w:rsidR="00657A3D" w:rsidRPr="00313760">
        <w:t xml:space="preserve"> </w:t>
      </w:r>
      <w:r w:rsidR="004C69F7">
        <w:t xml:space="preserve">It should be noted that </w:t>
      </w:r>
      <w:r w:rsidR="00AF2DDF">
        <w:t>these estimates do not consider the potential for improved herd protection following administration of a routine booster dose</w:t>
      </w:r>
      <w:r w:rsidR="005260FD">
        <w:t>, which would be anticipated to reduce transmission and hence the number of cases across the age spectrum</w:t>
      </w:r>
      <w:r w:rsidR="004C69F7">
        <w:t xml:space="preserve"> (see below)</w:t>
      </w:r>
      <w:r w:rsidR="005260FD">
        <w:t>.</w:t>
      </w:r>
    </w:p>
    <w:p w14:paraId="02DBA651" w14:textId="77777777" w:rsidR="00CF1A9D" w:rsidRDefault="00CF1A9D">
      <w:pPr>
        <w:spacing w:before="0" w:line="240" w:lineRule="auto"/>
      </w:pPr>
      <w:r>
        <w:br w:type="page"/>
      </w:r>
    </w:p>
    <w:p w14:paraId="2929BA60" w14:textId="59139FBF" w:rsidR="009E147F" w:rsidRPr="00CF1A9D" w:rsidRDefault="00461938" w:rsidP="00CF1A9D">
      <w:pPr>
        <w:pStyle w:val="Heading5"/>
      </w:pPr>
      <w:r w:rsidRPr="00CF1A9D">
        <w:lastRenderedPageBreak/>
        <w:t xml:space="preserve">Against </w:t>
      </w:r>
      <w:r w:rsidR="009E147F" w:rsidRPr="00CF1A9D">
        <w:t>population IPD incidence</w:t>
      </w:r>
    </w:p>
    <w:p w14:paraId="739DC0EE" w14:textId="0A547935" w:rsidR="00887315" w:rsidRDefault="00983CED" w:rsidP="00C27481">
      <w:r w:rsidRPr="004747C4">
        <w:t>Although t</w:t>
      </w:r>
      <w:r w:rsidR="007044F7" w:rsidRPr="004747C4">
        <w:t>he reductions in incidence of IPD</w:t>
      </w:r>
      <w:r w:rsidRPr="004747C4">
        <w:t xml:space="preserve"> due to vaccine serotypes </w:t>
      </w:r>
      <w:r w:rsidR="00ED5D4F" w:rsidRPr="004747C4">
        <w:t xml:space="preserve">at population level </w:t>
      </w:r>
      <w:r w:rsidRPr="004747C4">
        <w:t>following</w:t>
      </w:r>
      <w:r w:rsidR="00F42F4D" w:rsidRPr="004747C4">
        <w:t xml:space="preserve"> </w:t>
      </w:r>
      <w:r w:rsidRPr="004747C4">
        <w:t xml:space="preserve">13vPCV introduction </w:t>
      </w:r>
      <w:r w:rsidR="007044F7" w:rsidRPr="004747C4">
        <w:t xml:space="preserve">is </w:t>
      </w:r>
      <w:r w:rsidR="00612FF5" w:rsidRPr="004747C4">
        <w:t>considerable in Australia</w:t>
      </w:r>
      <w:r w:rsidR="005B7D7D">
        <w:t>,</w:t>
      </w:r>
      <w:r w:rsidR="00612FF5" w:rsidRPr="004747C4">
        <w:t xml:space="preserve"> </w:t>
      </w:r>
      <w:r w:rsidR="00B61FBA">
        <w:t xml:space="preserve">the impact in terms of proportional reduction in IPD incidence has been </w:t>
      </w:r>
      <w:r w:rsidR="007044F7" w:rsidRPr="004747C4">
        <w:t xml:space="preserve">substantially </w:t>
      </w:r>
      <w:r w:rsidR="00A921DB">
        <w:t>greater</w:t>
      </w:r>
      <w:r w:rsidR="00B61FBA" w:rsidRPr="004747C4">
        <w:t xml:space="preserve"> </w:t>
      </w:r>
      <w:r w:rsidR="007044F7" w:rsidRPr="004747C4">
        <w:t>in the UK</w:t>
      </w:r>
      <w:r w:rsidRPr="004747C4">
        <w:t xml:space="preserve"> </w:t>
      </w:r>
      <w:r w:rsidR="00AC592A">
        <w:t xml:space="preserve">(using a 2+1 schedule) </w:t>
      </w:r>
      <w:r w:rsidR="00335A3F">
        <w:t>over</w:t>
      </w:r>
      <w:r w:rsidR="00B61FBA">
        <w:t xml:space="preserve"> </w:t>
      </w:r>
      <w:r w:rsidRPr="004747C4">
        <w:t xml:space="preserve">a similar </w:t>
      </w:r>
      <w:r w:rsidR="00341AE4" w:rsidRPr="004747C4">
        <w:t>period of vaccine use</w:t>
      </w:r>
      <w:r w:rsidR="0067507E" w:rsidRPr="004747C4">
        <w:t xml:space="preserve">. </w:t>
      </w:r>
    </w:p>
    <w:p w14:paraId="30329016" w14:textId="6DDBB51C" w:rsidR="00887315" w:rsidRPr="004747C4" w:rsidRDefault="00F42F4D" w:rsidP="00C27481">
      <w:r w:rsidRPr="004747C4">
        <w:t>I</w:t>
      </w:r>
      <w:r w:rsidR="007044F7" w:rsidRPr="004747C4">
        <w:t xml:space="preserve">n the 2–4 years age group, the reduction in IPD due to 13v-non7v </w:t>
      </w:r>
      <w:r w:rsidR="0043707F">
        <w:t>sero</w:t>
      </w:r>
      <w:r w:rsidR="007044F7" w:rsidRPr="004747C4">
        <w:t xml:space="preserve">types in Australia </w:t>
      </w:r>
      <w:r w:rsidR="00A921DB">
        <w:t>was</w:t>
      </w:r>
      <w:r w:rsidRPr="004747C4">
        <w:t xml:space="preserve"> statistically significantly less</w:t>
      </w:r>
      <w:r w:rsidR="007044F7" w:rsidRPr="004747C4">
        <w:t xml:space="preserve"> than that</w:t>
      </w:r>
      <w:r w:rsidR="00A921DB">
        <w:t xml:space="preserve"> observed</w:t>
      </w:r>
      <w:r w:rsidR="007044F7" w:rsidRPr="004747C4">
        <w:t xml:space="preserve"> in the UK</w:t>
      </w:r>
      <w:r w:rsidR="00380EBE" w:rsidRPr="004747C4">
        <w:t>,</w:t>
      </w:r>
      <w:r w:rsidR="005B7D7D">
        <w:t xml:space="preserve"> after </w:t>
      </w:r>
      <w:r w:rsidR="0043707F">
        <w:t>5</w:t>
      </w:r>
      <w:r w:rsidR="0043707F" w:rsidRPr="004747C4">
        <w:t xml:space="preserve"> </w:t>
      </w:r>
      <w:r w:rsidR="00341AE4" w:rsidRPr="004747C4">
        <w:t xml:space="preserve">years of 13vPCV </w:t>
      </w:r>
      <w:r w:rsidR="004747C4">
        <w:t>use.</w:t>
      </w:r>
      <w:r w:rsidR="0067507E" w:rsidRPr="004747C4">
        <w:t xml:space="preserve"> </w:t>
      </w:r>
      <w:r w:rsidR="00F43C64" w:rsidRPr="00F43C64">
        <w:t xml:space="preserve">The decline in 13v-non7v </w:t>
      </w:r>
      <w:r w:rsidR="0043707F">
        <w:t>sero</w:t>
      </w:r>
      <w:r w:rsidR="00F43C64" w:rsidRPr="00F43C64">
        <w:t xml:space="preserve">types was </w:t>
      </w:r>
      <w:r w:rsidR="0043707F">
        <w:t xml:space="preserve">also </w:t>
      </w:r>
      <w:r w:rsidR="00F43C64" w:rsidRPr="00F43C64">
        <w:t>less in all adult age groups</w:t>
      </w:r>
      <w:r w:rsidR="00335A3F">
        <w:t xml:space="preserve">, </w:t>
      </w:r>
      <w:r w:rsidR="00A921DB">
        <w:t>especially</w:t>
      </w:r>
      <w:r w:rsidR="00335A3F">
        <w:t xml:space="preserve"> </w:t>
      </w:r>
      <w:r w:rsidR="00F43C64" w:rsidRPr="00F43C64">
        <w:t xml:space="preserve">in </w:t>
      </w:r>
      <w:r w:rsidR="00335A3F">
        <w:t xml:space="preserve">the </w:t>
      </w:r>
      <w:r w:rsidR="00F43C64" w:rsidRPr="00F43C64">
        <w:t>15</w:t>
      </w:r>
      <w:r w:rsidR="0043707F">
        <w:t>–</w:t>
      </w:r>
      <w:r w:rsidR="00F43C64" w:rsidRPr="00F43C64">
        <w:t>44</w:t>
      </w:r>
      <w:r w:rsidR="0043707F">
        <w:t> </w:t>
      </w:r>
      <w:r w:rsidR="00F43C64" w:rsidRPr="00F43C64">
        <w:t>year</w:t>
      </w:r>
      <w:r w:rsidR="0043707F">
        <w:t>s</w:t>
      </w:r>
      <w:r w:rsidR="00F43C64" w:rsidRPr="00F43C64">
        <w:t xml:space="preserve"> age group. </w:t>
      </w:r>
      <w:r w:rsidRPr="004747C4">
        <w:t>Among individual serotypes</w:t>
      </w:r>
      <w:r w:rsidR="0043707F">
        <w:t>,</w:t>
      </w:r>
      <w:r w:rsidRPr="004747C4">
        <w:t xml:space="preserve"> only 19A IPD had significant reductions across all age groups in Australia</w:t>
      </w:r>
      <w:r w:rsidR="0043707F">
        <w:t>,</w:t>
      </w:r>
      <w:r w:rsidRPr="004747C4">
        <w:t xml:space="preserve"> while in the UK</w:t>
      </w:r>
      <w:r w:rsidR="00FC4615" w:rsidRPr="004747C4">
        <w:t>,</w:t>
      </w:r>
      <w:r w:rsidR="00A921DB">
        <w:t xml:space="preserve"> significant</w:t>
      </w:r>
      <w:r w:rsidR="004747C4">
        <w:t xml:space="preserve"> reductions were</w:t>
      </w:r>
      <w:r w:rsidR="00246CBB">
        <w:t xml:space="preserve"> </w:t>
      </w:r>
      <w:r w:rsidR="00A921DB">
        <w:t>also</w:t>
      </w:r>
      <w:r w:rsidR="004747C4">
        <w:t xml:space="preserve"> seen in serotype</w:t>
      </w:r>
      <w:r w:rsidR="00F72109">
        <w:t>s</w:t>
      </w:r>
      <w:r w:rsidR="004747C4">
        <w:t xml:space="preserve"> 7F and 3</w:t>
      </w:r>
      <w:r w:rsidRPr="004747C4">
        <w:t xml:space="preserve">. </w:t>
      </w:r>
    </w:p>
    <w:p w14:paraId="380F777E" w14:textId="35FFFD05" w:rsidR="002F6DE1" w:rsidRDefault="002F6DE1" w:rsidP="00C27481">
      <w:r w:rsidRPr="004747C4">
        <w:t xml:space="preserve">When </w:t>
      </w:r>
      <w:r w:rsidR="00B538F8" w:rsidRPr="004747C4">
        <w:t xml:space="preserve">age-specific </w:t>
      </w:r>
      <w:r w:rsidRPr="004747C4">
        <w:t>reductions in IPD incidence rates</w:t>
      </w:r>
      <w:r w:rsidR="00B538F8" w:rsidRPr="004747C4">
        <w:t xml:space="preserve"> in the UK</w:t>
      </w:r>
      <w:r w:rsidR="00AC592A">
        <w:t xml:space="preserve"> (using a 2+1 schedule)</w:t>
      </w:r>
      <w:r w:rsidR="00B538F8" w:rsidRPr="004747C4">
        <w:t xml:space="preserve"> were </w:t>
      </w:r>
      <w:r w:rsidR="005A6F4A" w:rsidRPr="004747C4">
        <w:t>used</w:t>
      </w:r>
      <w:r w:rsidR="00B538F8" w:rsidRPr="004747C4">
        <w:t xml:space="preserve"> to</w:t>
      </w:r>
      <w:r w:rsidR="005A6F4A" w:rsidRPr="004747C4">
        <w:t xml:space="preserve"> impute</w:t>
      </w:r>
      <w:r w:rsidR="00B538F8" w:rsidRPr="004747C4">
        <w:t xml:space="preserve"> </w:t>
      </w:r>
      <w:r w:rsidRPr="004747C4">
        <w:t xml:space="preserve">incidence </w:t>
      </w:r>
      <w:r w:rsidR="00B538F8" w:rsidRPr="004747C4">
        <w:t>rates in Australia</w:t>
      </w:r>
      <w:r w:rsidR="00380EBE" w:rsidRPr="004747C4">
        <w:t>,</w:t>
      </w:r>
      <w:r w:rsidRPr="004747C4">
        <w:t xml:space="preserve"> it </w:t>
      </w:r>
      <w:r w:rsidR="00A921DB">
        <w:t>was estimated</w:t>
      </w:r>
      <w:r w:rsidRPr="004747C4">
        <w:t xml:space="preserve"> that</w:t>
      </w:r>
      <w:r w:rsidR="0043707F">
        <w:t>, had</w:t>
      </w:r>
      <w:r w:rsidRPr="004747C4">
        <w:t xml:space="preserve"> </w:t>
      </w:r>
      <w:r w:rsidR="0043707F" w:rsidRPr="004747C4">
        <w:t xml:space="preserve">the </w:t>
      </w:r>
      <w:r w:rsidR="0043707F">
        <w:t>2+1</w:t>
      </w:r>
      <w:r w:rsidR="0043707F" w:rsidRPr="004747C4">
        <w:t xml:space="preserve"> schedule</w:t>
      </w:r>
      <w:r w:rsidR="0043707F">
        <w:t xml:space="preserve"> been used in Australia over the same time period, </w:t>
      </w:r>
      <w:r w:rsidR="00A921DB">
        <w:t>a</w:t>
      </w:r>
      <w:r w:rsidRPr="004747C4">
        <w:t xml:space="preserve"> total of </w:t>
      </w:r>
      <w:r w:rsidR="00335A3F" w:rsidRPr="004747C4">
        <w:t xml:space="preserve">approximately </w:t>
      </w:r>
      <w:r w:rsidR="00B538F8" w:rsidRPr="004747C4">
        <w:t>270 fewer cas</w:t>
      </w:r>
      <w:r w:rsidR="005B7D7D">
        <w:t xml:space="preserve">es of 13vPCV </w:t>
      </w:r>
      <w:r w:rsidR="0043707F">
        <w:t>sero</w:t>
      </w:r>
      <w:r w:rsidR="005B7D7D">
        <w:t xml:space="preserve">type IPD </w:t>
      </w:r>
      <w:r w:rsidR="0043707F">
        <w:t xml:space="preserve">would have been observed </w:t>
      </w:r>
      <w:r w:rsidR="005B7D7D">
        <w:t>in the fifth</w:t>
      </w:r>
      <w:r w:rsidR="00B538F8" w:rsidRPr="004747C4">
        <w:t xml:space="preserve"> year </w:t>
      </w:r>
      <w:r w:rsidR="0043707F">
        <w:t>after</w:t>
      </w:r>
      <w:r w:rsidR="0043707F" w:rsidRPr="004747C4">
        <w:t xml:space="preserve"> </w:t>
      </w:r>
      <w:r w:rsidR="00B538F8" w:rsidRPr="004747C4">
        <w:t>13vPCV</w:t>
      </w:r>
      <w:r w:rsidR="00AC592A">
        <w:t xml:space="preserve"> </w:t>
      </w:r>
      <w:r w:rsidR="0043707F">
        <w:t>introduction</w:t>
      </w:r>
      <w:r w:rsidR="00B538F8" w:rsidRPr="004747C4">
        <w:t>.</w:t>
      </w:r>
      <w:r w:rsidR="00B538F8">
        <w:t xml:space="preserve"> </w:t>
      </w:r>
    </w:p>
    <w:p w14:paraId="06AC0FE7" w14:textId="355D55B0" w:rsidR="00E536B7" w:rsidRPr="00737664" w:rsidRDefault="00E536B7" w:rsidP="00CF1A9D">
      <w:pPr>
        <w:pStyle w:val="Heading3"/>
      </w:pPr>
      <w:r w:rsidRPr="00737664">
        <w:t>Recommendation 2: 13vPCV catch</w:t>
      </w:r>
      <w:r w:rsidR="00E039D5" w:rsidRPr="00737664">
        <w:t>-</w:t>
      </w:r>
      <w:r w:rsidRPr="00737664">
        <w:t xml:space="preserve">up schedule </w:t>
      </w:r>
    </w:p>
    <w:p w14:paraId="0C761F15" w14:textId="18ADE09C" w:rsidR="00581938" w:rsidRDefault="00B81ACB" w:rsidP="00E039D5">
      <w:r w:rsidRPr="008925B4">
        <w:t>The</w:t>
      </w:r>
      <w:r w:rsidR="00206EA1" w:rsidRPr="008925B4">
        <w:t xml:space="preserve"> </w:t>
      </w:r>
      <w:r w:rsidR="00581938">
        <w:t>recommended</w:t>
      </w:r>
      <w:r w:rsidR="00206EA1" w:rsidRPr="008925B4">
        <w:t xml:space="preserve"> </w:t>
      </w:r>
      <w:r w:rsidR="00581938">
        <w:t xml:space="preserve">catch-up </w:t>
      </w:r>
      <w:r w:rsidR="00206EA1" w:rsidRPr="008925B4">
        <w:t xml:space="preserve">schedules for </w:t>
      </w:r>
      <w:r w:rsidR="00581938" w:rsidRPr="008925B4">
        <w:t xml:space="preserve">13vPCV </w:t>
      </w:r>
      <w:r w:rsidR="00206EA1" w:rsidRPr="008925B4">
        <w:t>vaccination</w:t>
      </w:r>
      <w:r w:rsidRPr="008925B4">
        <w:t>s</w:t>
      </w:r>
      <w:r w:rsidR="00206EA1" w:rsidRPr="008925B4">
        <w:t xml:space="preserve"> for children </w:t>
      </w:r>
      <w:r w:rsidR="00581938">
        <w:t xml:space="preserve">who are </w:t>
      </w:r>
      <w:r w:rsidR="00206EA1" w:rsidRPr="008925B4">
        <w:t>unvaccinated or only partially vaccinated</w:t>
      </w:r>
      <w:r w:rsidRPr="008925B4">
        <w:t xml:space="preserve"> were revised </w:t>
      </w:r>
      <w:r w:rsidR="003F73C6" w:rsidRPr="008925B4">
        <w:t xml:space="preserve">using the same principles as for </w:t>
      </w:r>
      <w:r w:rsidRPr="008925B4">
        <w:t>routine vaccination</w:t>
      </w:r>
      <w:r w:rsidR="003F73C6" w:rsidRPr="008925B4">
        <w:t>s</w:t>
      </w:r>
      <w:r w:rsidRPr="008925B4">
        <w:t xml:space="preserve"> (i.e</w:t>
      </w:r>
      <w:r w:rsidR="003F73C6" w:rsidRPr="008925B4">
        <w:t>. using</w:t>
      </w:r>
      <w:r w:rsidRPr="008925B4">
        <w:t xml:space="preserve"> 2+1</w:t>
      </w:r>
      <w:r w:rsidR="003F73C6" w:rsidRPr="008925B4">
        <w:t xml:space="preserve"> or</w:t>
      </w:r>
      <w:r w:rsidRPr="008925B4">
        <w:t xml:space="preserve"> </w:t>
      </w:r>
      <w:r w:rsidR="003F73C6" w:rsidRPr="008925B4">
        <w:t>3+1</w:t>
      </w:r>
      <w:r w:rsidR="00581938">
        <w:t xml:space="preserve"> schedules</w:t>
      </w:r>
      <w:r w:rsidR="003F73C6" w:rsidRPr="008925B4">
        <w:t xml:space="preserve"> in respective populations). ATAGI </w:t>
      </w:r>
      <w:r w:rsidR="00581938">
        <w:t xml:space="preserve">has </w:t>
      </w:r>
      <w:r w:rsidR="003F73C6" w:rsidRPr="008925B4">
        <w:t>focused on simplifying catch</w:t>
      </w:r>
      <w:r w:rsidR="00B657A3">
        <w:t>-</w:t>
      </w:r>
      <w:r w:rsidR="003F73C6" w:rsidRPr="008925B4">
        <w:t xml:space="preserve">up schedules, </w:t>
      </w:r>
      <w:r w:rsidR="00B26FBE" w:rsidRPr="008925B4">
        <w:t>considering</w:t>
      </w:r>
      <w:r w:rsidR="003F73C6" w:rsidRPr="008925B4">
        <w:t xml:space="preserve"> feedback received from providers, in order to </w:t>
      </w:r>
      <w:r w:rsidR="001F14C6">
        <w:t xml:space="preserve">improve </w:t>
      </w:r>
      <w:r w:rsidR="003F73C6" w:rsidRPr="008925B4">
        <w:t xml:space="preserve">compliance. </w:t>
      </w:r>
    </w:p>
    <w:p w14:paraId="5E4BF65B" w14:textId="3D572B51" w:rsidR="00E536B7" w:rsidRPr="002677FD" w:rsidRDefault="00B26FBE" w:rsidP="00E039D5">
      <w:r w:rsidRPr="008925B4">
        <w:t xml:space="preserve">In </w:t>
      </w:r>
      <w:r w:rsidR="00CB63FE">
        <w:t xml:space="preserve">clinical </w:t>
      </w:r>
      <w:r w:rsidRPr="008925B4">
        <w:t>trial</w:t>
      </w:r>
      <w:r w:rsidR="00CB63FE">
        <w:t>s</w:t>
      </w:r>
      <w:r w:rsidRPr="008925B4">
        <w:t>, among pneumococcal vaccine naïve toddlers</w:t>
      </w:r>
      <w:r w:rsidR="00937320">
        <w:t>,</w:t>
      </w:r>
      <w:r w:rsidRPr="008925B4">
        <w:t xml:space="preserve"> a single dose of 13vPCV at</w:t>
      </w:r>
      <w:r w:rsidR="001F14C6">
        <w:t xml:space="preserve"> age</w:t>
      </w:r>
      <w:r w:rsidRPr="008925B4">
        <w:t xml:space="preserve"> 24</w:t>
      </w:r>
      <w:r w:rsidR="00581938">
        <w:t>–</w:t>
      </w:r>
      <w:r w:rsidRPr="008925B4">
        <w:t>72</w:t>
      </w:r>
      <w:r w:rsidR="00581938">
        <w:t> </w:t>
      </w:r>
      <w:r w:rsidRPr="008925B4">
        <w:t>months provided sufficient antibody re</w:t>
      </w:r>
      <w:r w:rsidR="00937320">
        <w:t>s</w:t>
      </w:r>
      <w:r w:rsidRPr="008925B4">
        <w:t>po</w:t>
      </w:r>
      <w:r w:rsidR="00937320">
        <w:t>n</w:t>
      </w:r>
      <w:r w:rsidRPr="008925B4">
        <w:t xml:space="preserve">ses for protection against IPD for each individual 13vPCV type. It is expected that toddlers </w:t>
      </w:r>
      <w:r w:rsidR="00E221C7" w:rsidRPr="008925B4">
        <w:t>aged 12</w:t>
      </w:r>
      <w:r w:rsidR="00E221C7">
        <w:t>–</w:t>
      </w:r>
      <w:r w:rsidR="00E221C7" w:rsidRPr="008925B4">
        <w:t>24</w:t>
      </w:r>
      <w:r w:rsidR="00E221C7">
        <w:t> </w:t>
      </w:r>
      <w:r w:rsidR="00E221C7" w:rsidRPr="008925B4">
        <w:t xml:space="preserve">months </w:t>
      </w:r>
      <w:r w:rsidRPr="008925B4">
        <w:t>without at</w:t>
      </w:r>
      <w:r w:rsidR="001F7663">
        <w:t>-</w:t>
      </w:r>
      <w:r w:rsidRPr="008925B4">
        <w:t xml:space="preserve">risk conditions would also </w:t>
      </w:r>
      <w:r w:rsidR="00937320">
        <w:t>develop</w:t>
      </w:r>
      <w:r w:rsidRPr="008925B4">
        <w:t xml:space="preserve"> adequate levels of antibodies</w:t>
      </w:r>
      <w:r w:rsidR="006442E2" w:rsidRPr="008925B4">
        <w:t xml:space="preserve"> for protection against vaccine</w:t>
      </w:r>
      <w:r w:rsidR="001F7663">
        <w:t>-</w:t>
      </w:r>
      <w:r w:rsidR="006442E2" w:rsidRPr="008925B4">
        <w:t>type IPD following a single 13vPCV dose. For children with increased risk of IPD</w:t>
      </w:r>
      <w:r w:rsidR="00E221C7">
        <w:t>,</w:t>
      </w:r>
      <w:r w:rsidR="006442E2" w:rsidRPr="008925B4">
        <w:t xml:space="preserve"> including Aboriginal and Torres Strait Islander children in NT, QLD, SA and WA</w:t>
      </w:r>
      <w:r w:rsidR="00E221C7">
        <w:t>,</w:t>
      </w:r>
      <w:r w:rsidR="006442E2" w:rsidRPr="008925B4">
        <w:t xml:space="preserve"> an additional dose is recommended due to the higher disease burden and </w:t>
      </w:r>
      <w:r w:rsidR="00937320">
        <w:t xml:space="preserve">the </w:t>
      </w:r>
      <w:r w:rsidR="006442E2" w:rsidRPr="008925B4">
        <w:t>possib</w:t>
      </w:r>
      <w:r w:rsidR="00937320">
        <w:t>i</w:t>
      </w:r>
      <w:r w:rsidR="006442E2" w:rsidRPr="008925B4">
        <w:t>l</w:t>
      </w:r>
      <w:r w:rsidR="00937320">
        <w:t>ity of</w:t>
      </w:r>
      <w:r w:rsidR="006442E2" w:rsidRPr="008925B4">
        <w:t xml:space="preserve"> lower antibody responses</w:t>
      </w:r>
      <w:r w:rsidR="00937320">
        <w:t>.</w:t>
      </w:r>
    </w:p>
    <w:p w14:paraId="029D074F" w14:textId="631FF75C" w:rsidR="008C4EF9" w:rsidRPr="00B33DF2" w:rsidRDefault="00EA25BE" w:rsidP="00CF1A9D">
      <w:pPr>
        <w:pStyle w:val="Heading2"/>
      </w:pPr>
      <w:r w:rsidRPr="002677FD">
        <w:t>A</w:t>
      </w:r>
      <w:r w:rsidR="00825B92" w:rsidRPr="002677FD">
        <w:t>dditional k</w:t>
      </w:r>
      <w:r w:rsidR="008C4EF9" w:rsidRPr="002677FD">
        <w:t>ey information</w:t>
      </w:r>
    </w:p>
    <w:p w14:paraId="5D2E0C2F" w14:textId="77777777" w:rsidR="008C4EF9" w:rsidRPr="00737664" w:rsidRDefault="008C4EF9" w:rsidP="00CF1A9D">
      <w:pPr>
        <w:pStyle w:val="Heading3"/>
      </w:pPr>
      <w:r w:rsidRPr="00737664">
        <w:t>Benefits/Harms</w:t>
      </w:r>
    </w:p>
    <w:p w14:paraId="59E632B5" w14:textId="4F83D8FC" w:rsidR="00887315" w:rsidRPr="00D96AA9" w:rsidRDefault="00B83548" w:rsidP="00C27481">
      <w:pPr>
        <w:spacing w:after="120"/>
      </w:pPr>
      <w:r w:rsidRPr="00D96AA9">
        <w:t>There are two key benefits from the proposed changes to the infant pneumococcal schedule</w:t>
      </w:r>
      <w:r w:rsidR="00887315" w:rsidRPr="00D96AA9">
        <w:t>:</w:t>
      </w:r>
    </w:p>
    <w:p w14:paraId="0C42DF34" w14:textId="12DB095F" w:rsidR="00887315" w:rsidRPr="00D96AA9" w:rsidRDefault="00887315" w:rsidP="00C27481">
      <w:pPr>
        <w:pStyle w:val="Bodytext-numberedlist"/>
        <w:numPr>
          <w:ilvl w:val="0"/>
          <w:numId w:val="30"/>
        </w:numPr>
      </w:pPr>
      <w:r w:rsidRPr="00D96AA9">
        <w:t>M</w:t>
      </w:r>
      <w:r w:rsidR="00B83548" w:rsidRPr="00D96AA9">
        <w:t xml:space="preserve">oving the third dose to 12 months of age will </w:t>
      </w:r>
      <w:r w:rsidR="002F6DE1" w:rsidRPr="00D96AA9">
        <w:t>lead to an even</w:t>
      </w:r>
      <w:r w:rsidR="00712898" w:rsidRPr="00D96AA9">
        <w:t xml:space="preserve"> greater reduction in</w:t>
      </w:r>
      <w:r w:rsidR="00B83548" w:rsidRPr="00D96AA9">
        <w:t xml:space="preserve"> </w:t>
      </w:r>
      <w:r w:rsidR="002F6DE1" w:rsidRPr="00D96AA9">
        <w:t>IPD incidence</w:t>
      </w:r>
      <w:r w:rsidR="00B83548" w:rsidRPr="00D96AA9">
        <w:t xml:space="preserve"> in the second year of life</w:t>
      </w:r>
      <w:r w:rsidR="00712898" w:rsidRPr="00D96AA9">
        <w:t xml:space="preserve"> with substantially </w:t>
      </w:r>
      <w:r w:rsidR="00722CB0">
        <w:t>fewer</w:t>
      </w:r>
      <w:r w:rsidR="00722CB0" w:rsidRPr="00D96AA9">
        <w:t xml:space="preserve"> </w:t>
      </w:r>
      <w:r w:rsidR="00722CB0">
        <w:t>cases</w:t>
      </w:r>
      <w:r w:rsidR="00722CB0" w:rsidRPr="00D96AA9">
        <w:t xml:space="preserve"> </w:t>
      </w:r>
      <w:r w:rsidR="00712898" w:rsidRPr="00D96AA9">
        <w:t xml:space="preserve">of breakthrough </w:t>
      </w:r>
      <w:r w:rsidR="00406369" w:rsidRPr="00D96AA9">
        <w:t>IPD</w:t>
      </w:r>
      <w:r w:rsidR="00CB63FE">
        <w:t xml:space="preserve"> overall</w:t>
      </w:r>
      <w:r w:rsidR="00B83548" w:rsidRPr="00D96AA9">
        <w:t xml:space="preserve">.  </w:t>
      </w:r>
    </w:p>
    <w:p w14:paraId="588F6C8C" w14:textId="26B3D645" w:rsidR="005D5D94" w:rsidRPr="00D96AA9" w:rsidRDefault="00887315" w:rsidP="00C27481">
      <w:pPr>
        <w:pStyle w:val="Bodytext-numberedlist"/>
        <w:numPr>
          <w:ilvl w:val="0"/>
          <w:numId w:val="30"/>
        </w:numPr>
      </w:pPr>
      <w:r w:rsidRPr="00D96AA9">
        <w:t>A</w:t>
      </w:r>
      <w:r w:rsidR="005B7D7D">
        <w:t xml:space="preserve"> nationally consistent </w:t>
      </w:r>
      <w:r w:rsidR="00E221C7">
        <w:t>four</w:t>
      </w:r>
      <w:r w:rsidR="005B7D7D">
        <w:t>-</w:t>
      </w:r>
      <w:r w:rsidR="00B83548" w:rsidRPr="00D96AA9">
        <w:t xml:space="preserve">dose schedule </w:t>
      </w:r>
      <w:r w:rsidR="00712898" w:rsidRPr="00D96AA9">
        <w:t xml:space="preserve">for those with increased risk of IPD </w:t>
      </w:r>
      <w:r w:rsidR="00B83548" w:rsidRPr="00D96AA9">
        <w:t>will support program delivery by enabling nationally consistent messaging and promotion for eligible cohorts</w:t>
      </w:r>
      <w:r w:rsidR="00EC0C7F" w:rsidRPr="00D96AA9">
        <w:t xml:space="preserve"> </w:t>
      </w:r>
      <w:r w:rsidR="00E221C7">
        <w:t>and</w:t>
      </w:r>
      <w:r w:rsidR="00E221C7" w:rsidRPr="00D96AA9">
        <w:t xml:space="preserve"> </w:t>
      </w:r>
      <w:r w:rsidR="00EC0C7F" w:rsidRPr="00D96AA9">
        <w:t>d</w:t>
      </w:r>
      <w:r w:rsidR="00643275" w:rsidRPr="00D96AA9">
        <w:t>ecreasing varia</w:t>
      </w:r>
      <w:r w:rsidR="00EC0C7F" w:rsidRPr="00D96AA9">
        <w:t>tion</w:t>
      </w:r>
      <w:r w:rsidR="00643275" w:rsidRPr="00D96AA9">
        <w:t xml:space="preserve"> in practice in </w:t>
      </w:r>
      <w:r w:rsidR="00406369" w:rsidRPr="00D96AA9">
        <w:t xml:space="preserve">the </w:t>
      </w:r>
      <w:r w:rsidR="00643275" w:rsidRPr="00D96AA9">
        <w:t>national program</w:t>
      </w:r>
      <w:r w:rsidR="00EC0C7F" w:rsidRPr="00D96AA9">
        <w:t>.</w:t>
      </w:r>
    </w:p>
    <w:p w14:paraId="3F7898D5" w14:textId="77777777" w:rsidR="00887315" w:rsidRPr="00D96AA9" w:rsidRDefault="00B83548" w:rsidP="00C27481">
      <w:pPr>
        <w:spacing w:after="120"/>
      </w:pPr>
      <w:r w:rsidRPr="00D96AA9">
        <w:t xml:space="preserve">There are two potential </w:t>
      </w:r>
      <w:r w:rsidR="00643275" w:rsidRPr="00D96AA9">
        <w:t>concerns</w:t>
      </w:r>
      <w:r w:rsidRPr="00D96AA9">
        <w:t xml:space="preserve"> that </w:t>
      </w:r>
      <w:r w:rsidR="00643275" w:rsidRPr="00D96AA9">
        <w:t>may</w:t>
      </w:r>
      <w:r w:rsidRPr="00D96AA9">
        <w:t xml:space="preserve"> arise from the proposed amendments to the infant pneumococcal </w:t>
      </w:r>
      <w:r w:rsidR="00406369" w:rsidRPr="00D96AA9">
        <w:t xml:space="preserve">vaccine </w:t>
      </w:r>
      <w:r w:rsidRPr="00D96AA9">
        <w:t>schedule</w:t>
      </w:r>
      <w:r w:rsidR="00887315" w:rsidRPr="00D96AA9">
        <w:t>:</w:t>
      </w:r>
    </w:p>
    <w:p w14:paraId="1A984A24" w14:textId="4C8827E6" w:rsidR="00E44C80" w:rsidRPr="007E4949" w:rsidRDefault="00E44C80" w:rsidP="00C27481">
      <w:pPr>
        <w:pStyle w:val="Bodytext-numberedlist"/>
        <w:numPr>
          <w:ilvl w:val="0"/>
          <w:numId w:val="31"/>
        </w:numPr>
      </w:pPr>
      <w:r w:rsidRPr="007E4949">
        <w:t xml:space="preserve">While there would be </w:t>
      </w:r>
      <w:r w:rsidR="00E221C7">
        <w:t xml:space="preserve">an </w:t>
      </w:r>
      <w:r w:rsidRPr="007E4949">
        <w:t xml:space="preserve">overall decrease in breakthrough cases, there is a potential risk </w:t>
      </w:r>
      <w:r w:rsidR="00937320">
        <w:t>of vaccine</w:t>
      </w:r>
      <w:r w:rsidR="00E221C7">
        <w:t>-</w:t>
      </w:r>
      <w:r w:rsidR="00937320">
        <w:t xml:space="preserve">type IPD </w:t>
      </w:r>
      <w:r w:rsidRPr="007E4949">
        <w:t xml:space="preserve">in children </w:t>
      </w:r>
      <w:r w:rsidR="00E221C7">
        <w:t xml:space="preserve">aged </w:t>
      </w:r>
      <w:r w:rsidRPr="007E4949">
        <w:t xml:space="preserve">6 to 12 months </w:t>
      </w:r>
      <w:r w:rsidR="004B1DF1">
        <w:t xml:space="preserve">due to these children </w:t>
      </w:r>
      <w:r w:rsidRPr="007E4949">
        <w:t>having received only two doses</w:t>
      </w:r>
      <w:r w:rsidR="00937320">
        <w:t xml:space="preserve"> at 2 and 4 months</w:t>
      </w:r>
      <w:r w:rsidRPr="007E4949">
        <w:t xml:space="preserve"> (down from three</w:t>
      </w:r>
      <w:r w:rsidR="004B1DF1">
        <w:t xml:space="preserve"> doses</w:t>
      </w:r>
      <w:r w:rsidRPr="007E4949">
        <w:t>)</w:t>
      </w:r>
      <w:r w:rsidR="007E4949" w:rsidRPr="007E4949">
        <w:t>.</w:t>
      </w:r>
      <w:r w:rsidRPr="007E4949">
        <w:t xml:space="preserve"> </w:t>
      </w:r>
      <w:r w:rsidR="007E4949" w:rsidRPr="000F66F7">
        <w:t>T</w:t>
      </w:r>
      <w:r w:rsidR="00657A3D" w:rsidRPr="000F66F7">
        <w:t xml:space="preserve">his risk is estimated to be small when considering the UK </w:t>
      </w:r>
      <w:r w:rsidR="007E4949" w:rsidRPr="000F66F7">
        <w:t>data; however</w:t>
      </w:r>
      <w:r w:rsidR="004B1DF1">
        <w:t>,</w:t>
      </w:r>
      <w:r w:rsidR="007E4949" w:rsidRPr="000F66F7">
        <w:t xml:space="preserve"> it is acknowledged that there are limitations in simplistic imputation of UK data to the Australian context</w:t>
      </w:r>
      <w:r w:rsidR="00657A3D" w:rsidRPr="000F66F7">
        <w:t>.</w:t>
      </w:r>
      <w:r w:rsidRPr="007E4949">
        <w:t xml:space="preserve"> </w:t>
      </w:r>
    </w:p>
    <w:p w14:paraId="5F6101F8" w14:textId="382347EC" w:rsidR="00E44C80" w:rsidRPr="00C24353" w:rsidRDefault="00E44C80" w:rsidP="00C27481">
      <w:pPr>
        <w:pStyle w:val="Bodytext-numberedlist"/>
        <w:numPr>
          <w:ilvl w:val="0"/>
          <w:numId w:val="31"/>
        </w:numPr>
      </w:pPr>
      <w:r w:rsidRPr="007E4949">
        <w:lastRenderedPageBreak/>
        <w:t xml:space="preserve">While it is possible that children who are recommended </w:t>
      </w:r>
      <w:r w:rsidR="00722CB0" w:rsidRPr="007E4949">
        <w:t xml:space="preserve">to receive </w:t>
      </w:r>
      <w:r w:rsidR="00160E18" w:rsidRPr="007E4949">
        <w:t>four</w:t>
      </w:r>
      <w:r w:rsidRPr="007E4949">
        <w:t xml:space="preserve"> doses (</w:t>
      </w:r>
      <w:r w:rsidR="00160E18" w:rsidRPr="007E4949">
        <w:t>i.e.</w:t>
      </w:r>
      <w:r w:rsidR="00722CB0" w:rsidRPr="007E4949">
        <w:t xml:space="preserve"> a 3+1 </w:t>
      </w:r>
      <w:r w:rsidR="00722CB0" w:rsidRPr="00C24353">
        <w:t xml:space="preserve">schedule that maintains a </w:t>
      </w:r>
      <w:r w:rsidRPr="00C24353">
        <w:t>three</w:t>
      </w:r>
      <w:r w:rsidR="004B1DF1">
        <w:t>-</w:t>
      </w:r>
      <w:r w:rsidRPr="00C24353">
        <w:t xml:space="preserve">dose primary course in infancy) may miss the third dose provided at 6 months of age, it is not possible to quantify this risk. </w:t>
      </w:r>
      <w:r w:rsidR="001A688D" w:rsidRPr="00C24353">
        <w:t>Moreover, this potential risk should be balanced against the existing risk that such children do not receive their currently recommended booster dose.</w:t>
      </w:r>
    </w:p>
    <w:p w14:paraId="738F3949" w14:textId="77777777" w:rsidR="00C24353" w:rsidRDefault="00937320" w:rsidP="00C27481">
      <w:r w:rsidRPr="00C24353">
        <w:t xml:space="preserve">ATAGI recommends maintaining a 3+1 schedule for those children at highest risk of IPD and considers this is the best strategy to mitigate the risk of breakthrough IPD at the population level. </w:t>
      </w:r>
    </w:p>
    <w:p w14:paraId="3B959868" w14:textId="20661FF8" w:rsidR="00937320" w:rsidRPr="00C24353" w:rsidRDefault="00937320" w:rsidP="00C27481">
      <w:r w:rsidRPr="00C24353">
        <w:t xml:space="preserve">Overall, ATAGI’s review of the evidence showed that the incremental benefit for all children of a 3+1 schedule over a 2+1 schedule in preventing vaccine-type disease would be </w:t>
      </w:r>
      <w:r w:rsidRPr="00BD61FA">
        <w:t xml:space="preserve">low and </w:t>
      </w:r>
      <w:r w:rsidR="00737664" w:rsidRPr="00BD61FA">
        <w:t xml:space="preserve">the longer process </w:t>
      </w:r>
      <w:r w:rsidR="00576468" w:rsidRPr="00BD61FA">
        <w:t>required to change</w:t>
      </w:r>
      <w:r w:rsidR="00737664" w:rsidRPr="00BD61FA">
        <w:t xml:space="preserve"> </w:t>
      </w:r>
      <w:r w:rsidR="00576468" w:rsidRPr="00BD61FA">
        <w:t xml:space="preserve">from a 3+0 </w:t>
      </w:r>
      <w:r w:rsidR="00737664" w:rsidRPr="00BD61FA">
        <w:t>to</w:t>
      </w:r>
      <w:r w:rsidR="00E17A09" w:rsidRPr="00BD61FA">
        <w:t xml:space="preserve"> a</w:t>
      </w:r>
      <w:r w:rsidR="00737664" w:rsidRPr="00BD61FA">
        <w:t xml:space="preserve"> 3+1 schedule would </w:t>
      </w:r>
      <w:r w:rsidRPr="00BD61FA">
        <w:t xml:space="preserve">lead to </w:t>
      </w:r>
      <w:r w:rsidR="0019704C" w:rsidRPr="00BD61FA">
        <w:t xml:space="preserve">significant </w:t>
      </w:r>
      <w:r w:rsidRPr="00BD61FA">
        <w:t xml:space="preserve">delays in timely implementation of </w:t>
      </w:r>
      <w:r w:rsidR="00576468" w:rsidRPr="00BD61FA">
        <w:t>the</w:t>
      </w:r>
      <w:r w:rsidRPr="00BD61FA">
        <w:t xml:space="preserve"> booster dose.</w:t>
      </w:r>
      <w:r w:rsidR="00B657A3" w:rsidRPr="00BD61FA">
        <w:t xml:space="preserve"> </w:t>
      </w:r>
      <w:r w:rsidRPr="00BD61FA">
        <w:t>ATAGI will continue to closely monitor IPD su</w:t>
      </w:r>
      <w:r w:rsidRPr="00C24353">
        <w:t xml:space="preserve">rveillance data to </w:t>
      </w:r>
      <w:r w:rsidR="004B1DF1">
        <w:t>identify</w:t>
      </w:r>
      <w:r w:rsidR="004B1DF1" w:rsidRPr="00C24353">
        <w:t xml:space="preserve"> </w:t>
      </w:r>
      <w:r w:rsidRPr="00C24353">
        <w:t>any trends.</w:t>
      </w:r>
    </w:p>
    <w:p w14:paraId="4543E8C1" w14:textId="348C127D" w:rsidR="00B83548" w:rsidRPr="00C24353" w:rsidRDefault="00F25650" w:rsidP="00C27481">
      <w:r w:rsidRPr="00C24353">
        <w:t xml:space="preserve">ATAGI has </w:t>
      </w:r>
      <w:r w:rsidR="00B83548" w:rsidRPr="00C24353">
        <w:t xml:space="preserve">also </w:t>
      </w:r>
      <w:r w:rsidRPr="00C24353">
        <w:t>considered the impl</w:t>
      </w:r>
      <w:r w:rsidR="00B83548" w:rsidRPr="00C24353">
        <w:t xml:space="preserve">ication </w:t>
      </w:r>
      <w:r w:rsidRPr="00C24353">
        <w:t xml:space="preserve">of adding </w:t>
      </w:r>
      <w:r w:rsidR="00B83548" w:rsidRPr="00C24353">
        <w:t xml:space="preserve">a vaccination </w:t>
      </w:r>
      <w:r w:rsidRPr="00C24353">
        <w:t xml:space="preserve">at </w:t>
      </w:r>
      <w:r w:rsidR="00B83548" w:rsidRPr="00C24353">
        <w:t>the 12 month schedule point, where:</w:t>
      </w:r>
    </w:p>
    <w:p w14:paraId="59451179" w14:textId="7DF39BCD" w:rsidR="00B83548" w:rsidRPr="00D96AA9" w:rsidRDefault="00F72109" w:rsidP="00C27481">
      <w:pPr>
        <w:pStyle w:val="ListParagraph"/>
        <w:numPr>
          <w:ilvl w:val="0"/>
          <w:numId w:val="32"/>
        </w:numPr>
      </w:pPr>
      <w:r>
        <w:t>T</w:t>
      </w:r>
      <w:r w:rsidR="00B83548" w:rsidRPr="00C24353">
        <w:t>wo vaccinations</w:t>
      </w:r>
      <w:r w:rsidR="00B83548" w:rsidRPr="00D96AA9">
        <w:t xml:space="preserve"> are currently administered to</w:t>
      </w:r>
      <w:r w:rsidR="0076686B" w:rsidRPr="00D96AA9">
        <w:t xml:space="preserve"> children without underlying </w:t>
      </w:r>
      <w:r w:rsidR="0076686B" w:rsidRPr="000F66F7">
        <w:t xml:space="preserve">risk </w:t>
      </w:r>
      <w:r w:rsidR="007E4949" w:rsidRPr="000F66F7">
        <w:t>factors (including both Aboriginal and Torres Strait Islander children and non-Indigenous children</w:t>
      </w:r>
      <w:r w:rsidR="0076686B" w:rsidRPr="00D96AA9">
        <w:t xml:space="preserve"> </w:t>
      </w:r>
      <w:r w:rsidR="006F3631" w:rsidRPr="00D96AA9">
        <w:t>in some state</w:t>
      </w:r>
      <w:r w:rsidR="005B7D7D">
        <w:t xml:space="preserve">s </w:t>
      </w:r>
      <w:r w:rsidR="0010353D">
        <w:t>[</w:t>
      </w:r>
      <w:r w:rsidR="005B7D7D">
        <w:t>ACT, NSW, VIC, and TAS</w:t>
      </w:r>
      <w:r w:rsidR="0010353D">
        <w:t>]</w:t>
      </w:r>
      <w:r w:rsidR="005B7D7D">
        <w:t>)</w:t>
      </w:r>
      <w:r w:rsidR="007E4949">
        <w:t>;</w:t>
      </w:r>
    </w:p>
    <w:p w14:paraId="39964B3E" w14:textId="53AEC22C" w:rsidR="00643275" w:rsidRPr="00D96AA9" w:rsidRDefault="00F72109" w:rsidP="00C27481">
      <w:pPr>
        <w:pStyle w:val="ListParagraph"/>
        <w:numPr>
          <w:ilvl w:val="0"/>
          <w:numId w:val="32"/>
        </w:numPr>
      </w:pPr>
      <w:r>
        <w:t>T</w:t>
      </w:r>
      <w:r w:rsidR="005B7D7D">
        <w:t>hree</w:t>
      </w:r>
      <w:r w:rsidR="00643275" w:rsidRPr="00D96AA9">
        <w:t xml:space="preserve"> vaccin</w:t>
      </w:r>
      <w:r w:rsidR="00971DD4" w:rsidRPr="00D96AA9">
        <w:t>a</w:t>
      </w:r>
      <w:r w:rsidR="00643275" w:rsidRPr="00D96AA9">
        <w:t xml:space="preserve">tions </w:t>
      </w:r>
      <w:r w:rsidR="009660AD">
        <w:t xml:space="preserve">are administered </w:t>
      </w:r>
      <w:r w:rsidR="00643275" w:rsidRPr="00D96AA9">
        <w:t xml:space="preserve">in </w:t>
      </w:r>
      <w:r w:rsidR="00971DD4" w:rsidRPr="00D96AA9">
        <w:t>Aboriginal and Torres Strait Islander children in NT, QLD, SA and WA</w:t>
      </w:r>
      <w:r w:rsidR="007E4949">
        <w:t>; and</w:t>
      </w:r>
    </w:p>
    <w:p w14:paraId="49BC353C" w14:textId="45FE861D" w:rsidR="00B83548" w:rsidRPr="00D96AA9" w:rsidRDefault="00F72109" w:rsidP="00C27481">
      <w:pPr>
        <w:pStyle w:val="ListParagraph"/>
        <w:numPr>
          <w:ilvl w:val="0"/>
          <w:numId w:val="32"/>
        </w:numPr>
      </w:pPr>
      <w:r>
        <w:t>Up</w:t>
      </w:r>
      <w:r w:rsidR="005B7D7D">
        <w:t xml:space="preserve"> to six</w:t>
      </w:r>
      <w:r w:rsidR="00B83548" w:rsidRPr="00D96AA9">
        <w:t xml:space="preserve"> vaccinations are administered to children in specific </w:t>
      </w:r>
      <w:r w:rsidR="006F3631" w:rsidRPr="00D96AA9">
        <w:t>locations</w:t>
      </w:r>
      <w:r w:rsidR="00B83548" w:rsidRPr="00D96AA9">
        <w:t xml:space="preserve"> of Australia</w:t>
      </w:r>
      <w:r w:rsidR="002E598C">
        <w:t xml:space="preserve"> (e.g.</w:t>
      </w:r>
      <w:r w:rsidR="009660AD">
        <w:t> F</w:t>
      </w:r>
      <w:r w:rsidR="002E598C">
        <w:t xml:space="preserve">ar North </w:t>
      </w:r>
      <w:r w:rsidR="009660AD">
        <w:t>Queensland</w:t>
      </w:r>
      <w:r w:rsidR="002E598C">
        <w:t>)</w:t>
      </w:r>
      <w:r w:rsidR="00B83548" w:rsidRPr="00D96AA9">
        <w:t xml:space="preserve"> and </w:t>
      </w:r>
      <w:r w:rsidR="006F3631" w:rsidRPr="00D96AA9">
        <w:t xml:space="preserve">children with </w:t>
      </w:r>
      <w:r w:rsidR="00577AC4" w:rsidRPr="00D96AA9">
        <w:t>underlying at</w:t>
      </w:r>
      <w:r w:rsidR="009660AD">
        <w:t>-</w:t>
      </w:r>
      <w:r w:rsidR="00B83548" w:rsidRPr="00D96AA9">
        <w:t xml:space="preserve">risk </w:t>
      </w:r>
      <w:r w:rsidR="006F3631" w:rsidRPr="00D96AA9">
        <w:t>conditions</w:t>
      </w:r>
      <w:r w:rsidR="00B83548" w:rsidRPr="00D96AA9">
        <w:t>.</w:t>
      </w:r>
    </w:p>
    <w:p w14:paraId="69DED3F3" w14:textId="6300D01F" w:rsidR="00C24353" w:rsidRDefault="006F3631" w:rsidP="007E7F73">
      <w:pPr>
        <w:rPr>
          <w:rFonts w:cs="Arial"/>
        </w:rPr>
      </w:pPr>
      <w:r w:rsidRPr="00D96AA9">
        <w:t xml:space="preserve">The proposed move to a </w:t>
      </w:r>
      <w:r w:rsidR="008D5B4F" w:rsidRPr="00D96AA9">
        <w:t>2+1</w:t>
      </w:r>
      <w:r w:rsidRPr="00D96AA9">
        <w:t xml:space="preserve"> schedule would affect those children currently receiving two vaccinations at the 12 month schedule point</w:t>
      </w:r>
      <w:r w:rsidR="009660AD">
        <w:t>.</w:t>
      </w:r>
      <w:r w:rsidRPr="00D96AA9">
        <w:t xml:space="preserve"> </w:t>
      </w:r>
      <w:r w:rsidR="009660AD">
        <w:t xml:space="preserve">Children in </w:t>
      </w:r>
      <w:r w:rsidRPr="00D96AA9">
        <w:t xml:space="preserve">the other cohorts </w:t>
      </w:r>
      <w:r w:rsidR="009660AD">
        <w:t xml:space="preserve">above </w:t>
      </w:r>
      <w:r w:rsidRPr="00D96AA9">
        <w:t>already receiv</w:t>
      </w:r>
      <w:r w:rsidR="009660AD">
        <w:t>e</w:t>
      </w:r>
      <w:r w:rsidRPr="00D96AA9">
        <w:t xml:space="preserve"> a dose of 13vPCV at the 12 or 18 month schedule point.</w:t>
      </w:r>
    </w:p>
    <w:p w14:paraId="1A59693F" w14:textId="7E2EF0F5" w:rsidR="008C4EF9" w:rsidRPr="00D96AA9" w:rsidRDefault="008C4EF9" w:rsidP="00CF1A9D">
      <w:pPr>
        <w:pStyle w:val="Heading2"/>
      </w:pPr>
      <w:r w:rsidRPr="00D96AA9">
        <w:t>Preference and values</w:t>
      </w:r>
    </w:p>
    <w:p w14:paraId="7327587F" w14:textId="313D0EE1" w:rsidR="006F3631" w:rsidRPr="00D96AA9" w:rsidRDefault="00F25650" w:rsidP="00EE2F00">
      <w:r w:rsidRPr="00D96AA9">
        <w:t xml:space="preserve">Over 90% of children </w:t>
      </w:r>
      <w:r w:rsidR="006F3631" w:rsidRPr="00D96AA9">
        <w:t xml:space="preserve">aged 12 months of age </w:t>
      </w:r>
      <w:r w:rsidRPr="00D96AA9">
        <w:t>are fully vaccinated which shows that parents value immunisation as a means of protecting their chi</w:t>
      </w:r>
      <w:r w:rsidR="006F3631" w:rsidRPr="00D96AA9">
        <w:t>l</w:t>
      </w:r>
      <w:r w:rsidRPr="00D96AA9">
        <w:t>dren’s health.</w:t>
      </w:r>
      <w:r w:rsidR="006F3631" w:rsidRPr="00D96AA9">
        <w:t xml:space="preserve"> Parents place a high value on preserving their children’s health and wellbeing and also to contributing to protecting the community’s wellbeing through ‘community immunity</w:t>
      </w:r>
      <w:r w:rsidR="009660AD">
        <w:t>’</w:t>
      </w:r>
      <w:r w:rsidR="006F3631" w:rsidRPr="00D96AA9">
        <w:t>.</w:t>
      </w:r>
    </w:p>
    <w:p w14:paraId="51C95DCE" w14:textId="64767E94" w:rsidR="008C4EF9" w:rsidRPr="00D96AA9" w:rsidRDefault="006F3631" w:rsidP="00EE2F00">
      <w:r w:rsidRPr="00D96AA9">
        <w:t xml:space="preserve">Amending the infant pneumococcal </w:t>
      </w:r>
      <w:r w:rsidR="009660AD">
        <w:t xml:space="preserve">vaccination </w:t>
      </w:r>
      <w:r w:rsidRPr="00D96AA9">
        <w:t xml:space="preserve">schedule is anticipated to result in additional protection for individuals and the </w:t>
      </w:r>
      <w:r w:rsidR="00971DD4" w:rsidRPr="00D96AA9">
        <w:t xml:space="preserve">wider </w:t>
      </w:r>
      <w:r w:rsidRPr="00D96AA9">
        <w:t>community</w:t>
      </w:r>
      <w:r w:rsidR="009660AD">
        <w:t>,</w:t>
      </w:r>
      <w:r w:rsidR="00643275" w:rsidRPr="00D96AA9">
        <w:t xml:space="preserve"> including those who are not vaccinated</w:t>
      </w:r>
      <w:r w:rsidRPr="00D96AA9">
        <w:t xml:space="preserve">, which is considered consistent with parental and societal expectations of the </w:t>
      </w:r>
      <w:r w:rsidR="00186A97" w:rsidRPr="00D96AA9">
        <w:t>NIP</w:t>
      </w:r>
      <w:r w:rsidRPr="00D96AA9">
        <w:t>.</w:t>
      </w:r>
    </w:p>
    <w:p w14:paraId="35209B60" w14:textId="77777777" w:rsidR="008C4EF9" w:rsidRPr="00D96AA9" w:rsidRDefault="008C4EF9" w:rsidP="00CF1A9D">
      <w:pPr>
        <w:pStyle w:val="Heading2"/>
      </w:pPr>
      <w:r w:rsidRPr="00D96AA9">
        <w:t xml:space="preserve">Resources and other </w:t>
      </w:r>
      <w:r w:rsidRPr="00EE2F00">
        <w:t>considerations</w:t>
      </w:r>
    </w:p>
    <w:p w14:paraId="3EF58F29" w14:textId="0E708A82" w:rsidR="00825130" w:rsidRPr="00D96AA9" w:rsidRDefault="00825130" w:rsidP="00EE2F00">
      <w:r w:rsidRPr="00D96AA9">
        <w:t xml:space="preserve">Product </w:t>
      </w:r>
      <w:r w:rsidR="009660AD">
        <w:t>i</w:t>
      </w:r>
      <w:r w:rsidRPr="00D96AA9">
        <w:t xml:space="preserve">nformation for 13vPCV is available at:  </w:t>
      </w:r>
      <w:hyperlink r:id="rId15" w:history="1">
        <w:r w:rsidRPr="00D96AA9">
          <w:rPr>
            <w:rStyle w:val="Hyperlink"/>
            <w:sz w:val="24"/>
          </w:rPr>
          <w:t>https://www.ebs.tga.gov.au/ebs/picmi/picmirepository.nsf/pdf?OpenAgent&amp;id=CP-2010-PI-07066-3&amp;d=2017080816114622483</w:t>
        </w:r>
      </w:hyperlink>
      <w:r w:rsidRPr="00D96AA9">
        <w:t xml:space="preserve"> </w:t>
      </w:r>
    </w:p>
    <w:p w14:paraId="2DF56188" w14:textId="6E6542C8" w:rsidR="0079567C" w:rsidRPr="00D96AA9" w:rsidRDefault="009660AD" w:rsidP="00EE2F00">
      <w:r>
        <w:t>The Pharmaceutical Benefits Advisory Committee (</w:t>
      </w:r>
      <w:r w:rsidR="00F25650" w:rsidRPr="00D96AA9">
        <w:t>PBAC</w:t>
      </w:r>
      <w:r>
        <w:t>)</w:t>
      </w:r>
      <w:r w:rsidR="00F25650" w:rsidRPr="00D96AA9">
        <w:t xml:space="preserve"> has considered the use of </w:t>
      </w:r>
      <w:r w:rsidR="006F3631" w:rsidRPr="00D96AA9">
        <w:t>13</w:t>
      </w:r>
      <w:r w:rsidR="00FC4615" w:rsidRPr="00D96AA9">
        <w:t>v</w:t>
      </w:r>
      <w:r w:rsidR="006F3631" w:rsidRPr="00D96AA9">
        <w:t xml:space="preserve">PCV </w:t>
      </w:r>
      <w:r w:rsidR="00F25650" w:rsidRPr="00D96AA9">
        <w:t>in infants</w:t>
      </w:r>
      <w:r w:rsidR="006F3631" w:rsidRPr="00D96AA9">
        <w:t xml:space="preserve">, including safety, efficacy and cost effectiveness: </w:t>
      </w:r>
      <w:hyperlink r:id="rId16" w:history="1">
        <w:r w:rsidR="0079567C" w:rsidRPr="00D96AA9">
          <w:rPr>
            <w:rStyle w:val="Hyperlink"/>
            <w:sz w:val="24"/>
          </w:rPr>
          <w:t>http://www.pbs.gov.au/industry/listing/elements/pbac-meetings/psd/2010-07/Pneumococcal_PREVENAR-13_PSD_Wyeth.pdf</w:t>
        </w:r>
      </w:hyperlink>
      <w:r w:rsidR="0079567C" w:rsidRPr="00D96AA9">
        <w:t xml:space="preserve"> </w:t>
      </w:r>
    </w:p>
    <w:p w14:paraId="285C4242" w14:textId="77777777" w:rsidR="00CF1A9D" w:rsidRDefault="00CF1A9D">
      <w:pPr>
        <w:spacing w:before="0" w:line="240" w:lineRule="auto"/>
        <w:rPr>
          <w:b/>
        </w:rPr>
      </w:pPr>
      <w:r>
        <w:br w:type="page"/>
      </w:r>
    </w:p>
    <w:p w14:paraId="57512102" w14:textId="3D05F386" w:rsidR="008C4EF9" w:rsidRPr="00D96AA9" w:rsidRDefault="008C4EF9" w:rsidP="00CF1A9D">
      <w:pPr>
        <w:pStyle w:val="Heading3"/>
      </w:pPr>
      <w:r w:rsidRPr="00D96AA9">
        <w:lastRenderedPageBreak/>
        <w:t xml:space="preserve">Practical </w:t>
      </w:r>
      <w:r w:rsidRPr="00EE2F00">
        <w:t>information</w:t>
      </w:r>
    </w:p>
    <w:p w14:paraId="5E6C347F" w14:textId="24D188A5" w:rsidR="00825130" w:rsidRPr="00D96AA9" w:rsidRDefault="00BB7086" w:rsidP="00EE2F00">
      <w:r w:rsidRPr="00D96AA9">
        <w:t>The</w:t>
      </w:r>
      <w:r w:rsidR="00825130" w:rsidRPr="00D96AA9">
        <w:t xml:space="preserve"> </w:t>
      </w:r>
      <w:r w:rsidR="00E44C80">
        <w:t>third</w:t>
      </w:r>
      <w:r w:rsidR="00825130" w:rsidRPr="00D96AA9">
        <w:t xml:space="preserve"> </w:t>
      </w:r>
      <w:r w:rsidRPr="00D96AA9">
        <w:t xml:space="preserve">dose of 13vPCV could be administered concomitantly with </w:t>
      </w:r>
      <w:r w:rsidR="00722CB0">
        <w:t xml:space="preserve">the </w:t>
      </w:r>
      <w:r w:rsidRPr="00D96AA9">
        <w:t>other two NIP</w:t>
      </w:r>
      <w:r w:rsidR="00F52311">
        <w:t>-</w:t>
      </w:r>
      <w:r w:rsidRPr="00D96AA9">
        <w:t>funded vaccines given at 12 months</w:t>
      </w:r>
      <w:r w:rsidR="00F52311">
        <w:t xml:space="preserve"> of age:</w:t>
      </w:r>
      <w:r w:rsidRPr="00D96AA9">
        <w:t xml:space="preserve"> the first dose of mumps</w:t>
      </w:r>
      <w:r w:rsidR="00F52311">
        <w:t>-</w:t>
      </w:r>
      <w:r w:rsidRPr="00D96AA9">
        <w:t>measles</w:t>
      </w:r>
      <w:r w:rsidR="00F52311">
        <w:t>-</w:t>
      </w:r>
      <w:r w:rsidRPr="00D96AA9">
        <w:t xml:space="preserve">rubella (MMR) vaccine and </w:t>
      </w:r>
      <w:r w:rsidR="00F52311">
        <w:t xml:space="preserve">the </w:t>
      </w:r>
      <w:r w:rsidRPr="00160E18">
        <w:rPr>
          <w:i/>
        </w:rPr>
        <w:t xml:space="preserve">Haemophilus </w:t>
      </w:r>
      <w:proofErr w:type="spellStart"/>
      <w:r w:rsidRPr="00160E18">
        <w:rPr>
          <w:i/>
        </w:rPr>
        <w:t>influenzae</w:t>
      </w:r>
      <w:proofErr w:type="spellEnd"/>
      <w:r w:rsidRPr="00D96AA9">
        <w:t xml:space="preserve"> b</w:t>
      </w:r>
      <w:r w:rsidR="00F52311">
        <w:t>–</w:t>
      </w:r>
      <w:r w:rsidR="00B657A3">
        <w:t>m</w:t>
      </w:r>
      <w:r w:rsidRPr="00D96AA9">
        <w:t>eningococcal C (Hib</w:t>
      </w:r>
      <w:r w:rsidR="00F52311">
        <w:t>-</w:t>
      </w:r>
      <w:proofErr w:type="spellStart"/>
      <w:r w:rsidRPr="00D96AA9">
        <w:t>MenC</w:t>
      </w:r>
      <w:proofErr w:type="spellEnd"/>
      <w:r w:rsidRPr="00D96AA9">
        <w:t>)</w:t>
      </w:r>
      <w:r w:rsidR="00825130" w:rsidRPr="00D96AA9">
        <w:t xml:space="preserve"> combined vaccine.</w:t>
      </w:r>
    </w:p>
    <w:p w14:paraId="07570204" w14:textId="321EF7A6" w:rsidR="00BB7086" w:rsidRPr="00D96AA9" w:rsidRDefault="00BB7086" w:rsidP="00EE2F00">
      <w:r w:rsidRPr="00D96AA9">
        <w:t>It is important to ensure timeliness of the 13vPCV booster dose at age 12 months to avoid any potential compromise to protection by length</w:t>
      </w:r>
      <w:r w:rsidR="00E44C80">
        <w:t>ening the window between the second</w:t>
      </w:r>
      <w:r w:rsidRPr="00D96AA9">
        <w:t xml:space="preserve"> dose and the booster dose.</w:t>
      </w:r>
    </w:p>
    <w:p w14:paraId="658DB057" w14:textId="1573DAD1" w:rsidR="00BB7086" w:rsidRPr="00D96AA9" w:rsidRDefault="00F52311" w:rsidP="00EE2F00">
      <w:r>
        <w:t>E</w:t>
      </w:r>
      <w:r w:rsidR="00BB7086" w:rsidRPr="00D96AA9">
        <w:t>ducation and communication to providers need</w:t>
      </w:r>
      <w:r w:rsidR="00722CB0">
        <w:t>s</w:t>
      </w:r>
      <w:r w:rsidR="00BB7086" w:rsidRPr="00D96AA9">
        <w:t xml:space="preserve"> to be managed carefully to ensure a smooth transition and </w:t>
      </w:r>
      <w:r w:rsidR="00722CB0">
        <w:t xml:space="preserve">to </w:t>
      </w:r>
      <w:r w:rsidR="00BB7086" w:rsidRPr="00D96AA9">
        <w:t>minimise any confusion around the new schedule requirements. The change needs to be communicated to the public with the rationale clearly explained.</w:t>
      </w:r>
    </w:p>
    <w:p w14:paraId="64B9443D" w14:textId="189E323C" w:rsidR="00956566" w:rsidRPr="00D96AA9" w:rsidRDefault="00BB7086" w:rsidP="00EE2F00">
      <w:r w:rsidRPr="00D96AA9">
        <w:t xml:space="preserve">The eligibility </w:t>
      </w:r>
      <w:r w:rsidR="00722CB0">
        <w:t xml:space="preserve">for a </w:t>
      </w:r>
      <w:r w:rsidRPr="00D96AA9">
        <w:t>2+1 schedule would be defined as all children that reach 6 months of age after the schedule change comes into effect. Accordingly a cut</w:t>
      </w:r>
      <w:r w:rsidR="00F52311">
        <w:t>-</w:t>
      </w:r>
      <w:r w:rsidRPr="00D96AA9">
        <w:t>off birth date would be specified to identify eligible children.</w:t>
      </w:r>
    </w:p>
    <w:p w14:paraId="7D9E4A6F" w14:textId="2837FB46" w:rsidR="00E44C80" w:rsidRDefault="00BB7086" w:rsidP="00EE2F00">
      <w:r w:rsidRPr="00737664">
        <w:rPr>
          <w:i/>
        </w:rPr>
        <w:t xml:space="preserve">The </w:t>
      </w:r>
      <w:r w:rsidR="00825130" w:rsidRPr="00737664">
        <w:rPr>
          <w:i/>
        </w:rPr>
        <w:t>Australian Immunisation Handbook</w:t>
      </w:r>
      <w:r w:rsidRPr="00D96AA9">
        <w:t xml:space="preserve"> would be updated</w:t>
      </w:r>
      <w:r w:rsidR="00F52311">
        <w:t xml:space="preserve"> in 2018</w:t>
      </w:r>
      <w:r w:rsidRPr="00D96AA9">
        <w:t xml:space="preserve"> with </w:t>
      </w:r>
      <w:r w:rsidR="0010353D">
        <w:t xml:space="preserve">the </w:t>
      </w:r>
      <w:r w:rsidRPr="00D96AA9">
        <w:t>revised recommendations for catch</w:t>
      </w:r>
      <w:r w:rsidR="00B657A3">
        <w:t>-</w:t>
      </w:r>
      <w:r w:rsidRPr="00D96AA9">
        <w:t>up d</w:t>
      </w:r>
      <w:r w:rsidRPr="0019704C">
        <w:t>oses in children who present without having completed the age appropriate course of 13vPCV.</w:t>
      </w:r>
      <w:r w:rsidR="00971DD4" w:rsidRPr="0019704C">
        <w:t xml:space="preserve"> For t</w:t>
      </w:r>
      <w:r w:rsidR="00643275" w:rsidRPr="00AC592A">
        <w:t xml:space="preserve">hose </w:t>
      </w:r>
      <w:r w:rsidR="00971DD4" w:rsidRPr="00AC592A">
        <w:t xml:space="preserve">children </w:t>
      </w:r>
      <w:r w:rsidR="00F52311">
        <w:t xml:space="preserve">at </w:t>
      </w:r>
      <w:r w:rsidR="00971DD4" w:rsidRPr="00AC592A">
        <w:t xml:space="preserve">increased risk of IPD </w:t>
      </w:r>
      <w:r w:rsidR="00F52311">
        <w:t xml:space="preserve">due to </w:t>
      </w:r>
      <w:r w:rsidR="00F52311" w:rsidRPr="00AC592A">
        <w:t xml:space="preserve">underlying medical conditions </w:t>
      </w:r>
      <w:r w:rsidR="00F52311">
        <w:t>who</w:t>
      </w:r>
      <w:r w:rsidR="00971DD4" w:rsidRPr="00AC592A">
        <w:t xml:space="preserve"> are </w:t>
      </w:r>
      <w:r w:rsidR="00643275" w:rsidRPr="00AC592A">
        <w:t>identified after 6 months</w:t>
      </w:r>
      <w:r w:rsidR="00F52311">
        <w:t xml:space="preserve"> of age,</w:t>
      </w:r>
      <w:r w:rsidR="00643275" w:rsidRPr="00AC592A">
        <w:t xml:space="preserve"> </w:t>
      </w:r>
      <w:r w:rsidR="00577AC4" w:rsidRPr="00AC592A">
        <w:t xml:space="preserve">a </w:t>
      </w:r>
      <w:r w:rsidR="00643275" w:rsidRPr="00AC592A">
        <w:t xml:space="preserve">corresponding 3+1 schedule </w:t>
      </w:r>
      <w:r w:rsidR="00577AC4" w:rsidRPr="00AC592A">
        <w:t>would still be</w:t>
      </w:r>
      <w:r w:rsidR="00643275" w:rsidRPr="00AC592A">
        <w:t xml:space="preserve"> recommended.</w:t>
      </w:r>
    </w:p>
    <w:p w14:paraId="7666AB00" w14:textId="77777777" w:rsidR="00CF1A9D" w:rsidRPr="00AC592A" w:rsidRDefault="00CF1A9D" w:rsidP="00EE2F00">
      <w:bookmarkStart w:id="1" w:name="_GoBack"/>
      <w:bookmarkEnd w:id="1"/>
    </w:p>
    <w:p w14:paraId="43C0574A" w14:textId="77777777" w:rsidR="008C4EF9" w:rsidRPr="00AC592A" w:rsidRDefault="008C4EF9" w:rsidP="00CF1A9D">
      <w:pPr>
        <w:pStyle w:val="Heading3"/>
      </w:pPr>
      <w:r w:rsidRPr="00EE2F00">
        <w:t>References</w:t>
      </w:r>
    </w:p>
    <w:p w14:paraId="049B13B7" w14:textId="720E6AA4" w:rsidR="00341AE4" w:rsidRPr="00C24353" w:rsidRDefault="00BB7086" w:rsidP="00EE2F00">
      <w:pPr>
        <w:pStyle w:val="References"/>
      </w:pPr>
      <w:r w:rsidRPr="00AC592A">
        <w:rPr>
          <w:szCs w:val="22"/>
        </w:rPr>
        <w:fldChar w:fldCharType="begin"/>
      </w:r>
      <w:r w:rsidRPr="00AC592A">
        <w:rPr>
          <w:szCs w:val="22"/>
        </w:rPr>
        <w:instrText xml:space="preserve"> ADDIN EN.REFLIST </w:instrText>
      </w:r>
      <w:r w:rsidRPr="00AC592A">
        <w:rPr>
          <w:szCs w:val="22"/>
        </w:rPr>
        <w:fldChar w:fldCharType="separate"/>
      </w:r>
      <w:bookmarkStart w:id="2" w:name="_ENREF_1"/>
      <w:r w:rsidR="00341AE4" w:rsidRPr="00C24353">
        <w:t>1.</w:t>
      </w:r>
      <w:r w:rsidR="00341AE4" w:rsidRPr="00C24353">
        <w:tab/>
        <w:t xml:space="preserve">Jayasinghe S, Menzies R, Chiu C, Toms C, Blyth CC, Krause V, McIntyre P. Long-term </w:t>
      </w:r>
      <w:r w:rsidR="00862DE2">
        <w:t>i</w:t>
      </w:r>
      <w:r w:rsidR="00341AE4" w:rsidRPr="00C24353">
        <w:t xml:space="preserve">mpact of a “3 + 0” </w:t>
      </w:r>
      <w:r w:rsidR="00862DE2">
        <w:t>s</w:t>
      </w:r>
      <w:r w:rsidR="00341AE4" w:rsidRPr="00C24353">
        <w:t>chedule for 7- and 13-</w:t>
      </w:r>
      <w:r w:rsidR="00862DE2">
        <w:t>v</w:t>
      </w:r>
      <w:r w:rsidR="00341AE4" w:rsidRPr="00C24353">
        <w:t xml:space="preserve">alent </w:t>
      </w:r>
      <w:r w:rsidR="00862DE2">
        <w:t>p</w:t>
      </w:r>
      <w:r w:rsidR="00341AE4" w:rsidRPr="00C24353">
        <w:t xml:space="preserve">neumococcal </w:t>
      </w:r>
      <w:r w:rsidR="00862DE2">
        <w:t>c</w:t>
      </w:r>
      <w:r w:rsidR="00341AE4" w:rsidRPr="00C24353">
        <w:t xml:space="preserve">onjugate </w:t>
      </w:r>
      <w:r w:rsidR="00862DE2">
        <w:t>v</w:t>
      </w:r>
      <w:r w:rsidR="00341AE4" w:rsidRPr="00C24353">
        <w:t xml:space="preserve">accines on </w:t>
      </w:r>
      <w:r w:rsidR="00862DE2">
        <w:t>i</w:t>
      </w:r>
      <w:r w:rsidR="00341AE4" w:rsidRPr="00C24353">
        <w:t xml:space="preserve">nvasive </w:t>
      </w:r>
      <w:r w:rsidR="00862DE2">
        <w:t>p</w:t>
      </w:r>
      <w:r w:rsidR="00341AE4" w:rsidRPr="00C24353">
        <w:t xml:space="preserve">neumococcal </w:t>
      </w:r>
      <w:r w:rsidR="00862DE2">
        <w:t>d</w:t>
      </w:r>
      <w:r w:rsidR="00341AE4" w:rsidRPr="00C24353">
        <w:t xml:space="preserve">isease in Australia, 2002–2014. </w:t>
      </w:r>
      <w:r w:rsidR="00341AE4" w:rsidRPr="00C24353">
        <w:rPr>
          <w:i/>
        </w:rPr>
        <w:t>Clinical Infectious Diseases</w:t>
      </w:r>
      <w:r w:rsidR="00341AE4" w:rsidRPr="00C24353">
        <w:t xml:space="preserve"> 2017;64:175-83.</w:t>
      </w:r>
      <w:bookmarkEnd w:id="2"/>
      <w:r w:rsidR="00862DE2">
        <w:t xml:space="preserve"> [</w:t>
      </w:r>
      <w:r w:rsidR="00576468" w:rsidRPr="00576468">
        <w:t>Abstract</w:t>
      </w:r>
      <w:r w:rsidR="00E17A09">
        <w:t>:</w:t>
      </w:r>
      <w:hyperlink r:id="rId17" w:history="1">
        <w:r w:rsidR="00E17A09" w:rsidRPr="00F1774B">
          <w:rPr>
            <w:rStyle w:val="Hyperlink"/>
            <w:sz w:val="20"/>
          </w:rPr>
          <w:t>https://academic.oup.com/cid/article-abstract/64/2/175/2698919/Long-term-Impact-of-a-3-0-Schedule-for-7-and-13</w:t>
        </w:r>
      </w:hyperlink>
      <w:r w:rsidR="00862DE2">
        <w:t>]</w:t>
      </w:r>
    </w:p>
    <w:p w14:paraId="14D592D4" w14:textId="18122AFC" w:rsidR="00341AE4" w:rsidRPr="00C24353" w:rsidRDefault="00341AE4" w:rsidP="00EE2F00">
      <w:pPr>
        <w:pStyle w:val="References"/>
      </w:pPr>
      <w:bookmarkStart w:id="3" w:name="_ENREF_2"/>
      <w:r w:rsidRPr="00C24353">
        <w:t>2.</w:t>
      </w:r>
      <w:r w:rsidRPr="00C24353">
        <w:tab/>
        <w:t>Oligbu G, Collins S, Andrews N, Sheppard C, Fry N, Slack M, Burrow R, Ladhani SN. Characteristics and serotype distribution of childhood cases of invasive pneumococcal disease following pneumococcal conjugate vaccination in England and Wales, 2006</w:t>
      </w:r>
      <w:r w:rsidR="00862DE2">
        <w:t>–</w:t>
      </w:r>
      <w:r w:rsidRPr="00C24353">
        <w:t xml:space="preserve">14. </w:t>
      </w:r>
      <w:r w:rsidRPr="00C24353">
        <w:rPr>
          <w:i/>
        </w:rPr>
        <w:t>Clinical Infectious Diseases</w:t>
      </w:r>
      <w:r w:rsidRPr="00C24353">
        <w:t xml:space="preserve"> </w:t>
      </w:r>
      <w:r w:rsidR="00385285">
        <w:t>August</w:t>
      </w:r>
      <w:r w:rsidR="00C005BD" w:rsidRPr="00C24353">
        <w:t xml:space="preserve"> 2017</w:t>
      </w:r>
      <w:r w:rsidR="00862DE2">
        <w:t>; E</w:t>
      </w:r>
      <w:r w:rsidR="00862DE2" w:rsidRPr="00C24353">
        <w:t>pub</w:t>
      </w:r>
      <w:r w:rsidR="00862DE2">
        <w:t xml:space="preserve"> ahead of print</w:t>
      </w:r>
      <w:r w:rsidR="00385285">
        <w:t>. doi:</w:t>
      </w:r>
      <w:hyperlink r:id="rId18" w:history="1">
        <w:r w:rsidR="00385285" w:rsidRPr="00385285">
          <w:rPr>
            <w:rStyle w:val="Hyperlink"/>
          </w:rPr>
          <w:t>10.1093/cid/cix418</w:t>
        </w:r>
      </w:hyperlink>
      <w:r w:rsidRPr="00C24353">
        <w:t>.</w:t>
      </w:r>
      <w:bookmarkEnd w:id="3"/>
      <w:r w:rsidR="00385285">
        <w:t xml:space="preserve"> </w:t>
      </w:r>
      <w:r w:rsidR="00E17A09">
        <w:t>[Abstract:</w:t>
      </w:r>
      <w:hyperlink r:id="rId19" w:history="1">
        <w:r w:rsidR="00E17A09" w:rsidRPr="00F1774B">
          <w:rPr>
            <w:rStyle w:val="Hyperlink"/>
            <w:sz w:val="20"/>
          </w:rPr>
          <w:t>https://academic.oup.com/cid/article-abstract/4077000/Characteristics-and-Serotype-Distribution-of</w:t>
        </w:r>
      </w:hyperlink>
      <w:r w:rsidR="00E17A09">
        <w:rPr>
          <w:rStyle w:val="Hyperlink"/>
          <w:sz w:val="20"/>
        </w:rPr>
        <w:t>]</w:t>
      </w:r>
    </w:p>
    <w:p w14:paraId="4BCC9F11" w14:textId="1695CE8B" w:rsidR="00DF7437" w:rsidRDefault="00BB7086" w:rsidP="007E7F73">
      <w:r w:rsidRPr="00AC592A">
        <w:rPr>
          <w:sz w:val="22"/>
          <w:szCs w:val="22"/>
        </w:rPr>
        <w:fldChar w:fldCharType="end"/>
      </w:r>
      <w:r w:rsidR="00DF7437">
        <w:br w:type="page"/>
      </w:r>
    </w:p>
    <w:p w14:paraId="03FF2A25" w14:textId="77777777" w:rsidR="00DF7437" w:rsidRPr="00E44C80" w:rsidRDefault="00DF7437" w:rsidP="00EE2F00">
      <w:pPr>
        <w:jc w:val="right"/>
        <w:rPr>
          <w:rStyle w:val="Strong"/>
          <w:color w:val="222222"/>
          <w:sz w:val="22"/>
          <w:szCs w:val="22"/>
          <w:u w:val="single"/>
        </w:rPr>
      </w:pPr>
      <w:bookmarkStart w:id="4" w:name="list-4-13-1"/>
      <w:bookmarkEnd w:id="4"/>
      <w:r w:rsidRPr="00E44C80">
        <w:rPr>
          <w:rStyle w:val="Strong"/>
          <w:color w:val="222222"/>
          <w:sz w:val="22"/>
          <w:szCs w:val="22"/>
          <w:u w:val="single"/>
        </w:rPr>
        <w:lastRenderedPageBreak/>
        <w:t>Attachment A</w:t>
      </w:r>
    </w:p>
    <w:p w14:paraId="7E8FE95F" w14:textId="68B45997" w:rsidR="00DF7437" w:rsidRDefault="00DF7437" w:rsidP="00EE2F00">
      <w:pPr>
        <w:jc w:val="center"/>
      </w:pPr>
      <w:r w:rsidRPr="00DF7437">
        <w:rPr>
          <w:rStyle w:val="Strong"/>
          <w:color w:val="222222"/>
          <w:sz w:val="22"/>
          <w:szCs w:val="22"/>
        </w:rPr>
        <w:t>Conditions associated with an increased risk of invasive pneumococcal disease (IPD)</w:t>
      </w:r>
      <w:r w:rsidR="00EE2F00">
        <w:rPr>
          <w:rStyle w:val="Strong"/>
          <w:color w:val="222222"/>
          <w:sz w:val="22"/>
          <w:szCs w:val="22"/>
        </w:rPr>
        <w:br/>
      </w:r>
      <w:r w:rsidRPr="00DF7437">
        <w:rPr>
          <w:rStyle w:val="Strong"/>
          <w:color w:val="222222"/>
          <w:sz w:val="22"/>
          <w:szCs w:val="22"/>
        </w:rPr>
        <w:t>in children and adults, by severity of risk</w:t>
      </w:r>
    </w:p>
    <w:p w14:paraId="73120592" w14:textId="77777777" w:rsidR="00DF7437" w:rsidRPr="00DF7437" w:rsidRDefault="00DF7437" w:rsidP="00385285">
      <w:pPr>
        <w:spacing w:before="360"/>
      </w:pPr>
      <w:r w:rsidRPr="00DF7437">
        <w:rPr>
          <w:rStyle w:val="Strong"/>
          <w:color w:val="222222"/>
          <w:sz w:val="22"/>
          <w:szCs w:val="22"/>
        </w:rPr>
        <w:t xml:space="preserve">Category A: Conditions associated with the </w:t>
      </w:r>
      <w:r w:rsidRPr="00DF7437">
        <w:rPr>
          <w:rStyle w:val="Emphasis"/>
          <w:b/>
          <w:bCs/>
          <w:color w:val="222222"/>
          <w:sz w:val="22"/>
          <w:szCs w:val="22"/>
        </w:rPr>
        <w:t>highest</w:t>
      </w:r>
      <w:r w:rsidRPr="00DF7437">
        <w:rPr>
          <w:rStyle w:val="Strong"/>
          <w:color w:val="222222"/>
          <w:sz w:val="22"/>
          <w:szCs w:val="22"/>
        </w:rPr>
        <w:t xml:space="preserve"> increased risk of IPD</w:t>
      </w:r>
    </w:p>
    <w:p w14:paraId="156CA941" w14:textId="77777777" w:rsidR="00DF7437" w:rsidRPr="00EE2F00" w:rsidRDefault="00DF7437" w:rsidP="00EE2F00">
      <w:pPr>
        <w:pStyle w:val="ListParagraph"/>
        <w:numPr>
          <w:ilvl w:val="0"/>
          <w:numId w:val="11"/>
        </w:numPr>
        <w:ind w:hanging="357"/>
        <w:rPr>
          <w:sz w:val="22"/>
          <w:szCs w:val="22"/>
        </w:rPr>
      </w:pPr>
      <w:r w:rsidRPr="00EE2F00">
        <w:rPr>
          <w:sz w:val="22"/>
          <w:szCs w:val="22"/>
        </w:rPr>
        <w:t xml:space="preserve">functional or anatomical </w:t>
      </w:r>
      <w:proofErr w:type="spellStart"/>
      <w:r w:rsidRPr="00EE2F00">
        <w:rPr>
          <w:sz w:val="22"/>
          <w:szCs w:val="22"/>
        </w:rPr>
        <w:t>asplenia</w:t>
      </w:r>
      <w:proofErr w:type="spellEnd"/>
      <w:r w:rsidRPr="00EE2F00">
        <w:rPr>
          <w:sz w:val="22"/>
          <w:szCs w:val="22"/>
        </w:rPr>
        <w:t xml:space="preserve">, including: </w:t>
      </w:r>
    </w:p>
    <w:p w14:paraId="04A5D5CB" w14:textId="77777777" w:rsidR="00DF7437" w:rsidRPr="00EE2F00" w:rsidRDefault="00DF7437" w:rsidP="00EE2F00">
      <w:pPr>
        <w:pStyle w:val="ListParagraph"/>
        <w:numPr>
          <w:ilvl w:val="1"/>
          <w:numId w:val="11"/>
        </w:numPr>
        <w:ind w:left="1077" w:hanging="357"/>
        <w:rPr>
          <w:sz w:val="22"/>
          <w:szCs w:val="22"/>
        </w:rPr>
      </w:pPr>
      <w:r w:rsidRPr="00EE2F00">
        <w:rPr>
          <w:sz w:val="22"/>
          <w:szCs w:val="22"/>
        </w:rPr>
        <w:t xml:space="preserve">sickle cell disease or other </w:t>
      </w:r>
      <w:proofErr w:type="spellStart"/>
      <w:r w:rsidRPr="00EE2F00">
        <w:rPr>
          <w:sz w:val="22"/>
          <w:szCs w:val="22"/>
        </w:rPr>
        <w:t>haemoglobinopathies</w:t>
      </w:r>
      <w:proofErr w:type="spellEnd"/>
      <w:r w:rsidRPr="00EE2F00">
        <w:rPr>
          <w:sz w:val="22"/>
          <w:szCs w:val="22"/>
        </w:rPr>
        <w:t xml:space="preserve"> </w:t>
      </w:r>
    </w:p>
    <w:p w14:paraId="6907828B" w14:textId="77777777" w:rsidR="00DF7437" w:rsidRPr="00EE2F00" w:rsidRDefault="00DF7437" w:rsidP="00EE2F00">
      <w:pPr>
        <w:pStyle w:val="ListParagraph"/>
        <w:numPr>
          <w:ilvl w:val="1"/>
          <w:numId w:val="11"/>
        </w:numPr>
        <w:ind w:left="1077" w:hanging="357"/>
        <w:rPr>
          <w:sz w:val="22"/>
          <w:szCs w:val="22"/>
        </w:rPr>
      </w:pPr>
      <w:r w:rsidRPr="00EE2F00">
        <w:rPr>
          <w:sz w:val="22"/>
          <w:szCs w:val="22"/>
        </w:rPr>
        <w:t xml:space="preserve">congenital or acquired </w:t>
      </w:r>
      <w:proofErr w:type="spellStart"/>
      <w:r w:rsidRPr="00EE2F00">
        <w:rPr>
          <w:sz w:val="22"/>
          <w:szCs w:val="22"/>
        </w:rPr>
        <w:t>asplenia</w:t>
      </w:r>
      <w:proofErr w:type="spellEnd"/>
      <w:r w:rsidRPr="00EE2F00">
        <w:rPr>
          <w:sz w:val="22"/>
          <w:szCs w:val="22"/>
        </w:rPr>
        <w:t xml:space="preserve"> (e.g. splenectomy), splenic dysfunction</w:t>
      </w:r>
    </w:p>
    <w:p w14:paraId="6027F85E" w14:textId="77777777" w:rsidR="00DF7437" w:rsidRPr="00EE2F00" w:rsidRDefault="00DF7437" w:rsidP="00EE2F00">
      <w:pPr>
        <w:pStyle w:val="ListParagraph"/>
        <w:numPr>
          <w:ilvl w:val="0"/>
          <w:numId w:val="11"/>
        </w:numPr>
        <w:ind w:hanging="357"/>
        <w:rPr>
          <w:sz w:val="22"/>
          <w:szCs w:val="22"/>
        </w:rPr>
      </w:pPr>
      <w:r w:rsidRPr="00EE2F00">
        <w:rPr>
          <w:sz w:val="22"/>
          <w:szCs w:val="22"/>
        </w:rPr>
        <w:t xml:space="preserve">immunocompromising conditions, including: </w:t>
      </w:r>
    </w:p>
    <w:p w14:paraId="7870213C" w14:textId="77777777" w:rsidR="00DF7437" w:rsidRPr="00EE2F00" w:rsidRDefault="00DF7437" w:rsidP="00EE2F00">
      <w:pPr>
        <w:pStyle w:val="ListParagraph"/>
        <w:numPr>
          <w:ilvl w:val="1"/>
          <w:numId w:val="11"/>
        </w:numPr>
        <w:ind w:left="1077" w:hanging="357"/>
        <w:rPr>
          <w:sz w:val="22"/>
          <w:szCs w:val="22"/>
        </w:rPr>
      </w:pPr>
      <w:r w:rsidRPr="00EE2F00">
        <w:rPr>
          <w:sz w:val="22"/>
          <w:szCs w:val="22"/>
        </w:rPr>
        <w:t>congenital or acquired immune deficiency, including symptomatic IgG subclass or isolated IgA deficiency (Note: children who require monthly immunoglobulin infusion are unlikely to benefit from vaccination)</w:t>
      </w:r>
    </w:p>
    <w:p w14:paraId="00B7FB01" w14:textId="77777777" w:rsidR="00DF7437" w:rsidRPr="00EE2F00" w:rsidRDefault="00DF7437" w:rsidP="00EE2F00">
      <w:pPr>
        <w:pStyle w:val="ListParagraph"/>
        <w:numPr>
          <w:ilvl w:val="1"/>
          <w:numId w:val="11"/>
        </w:numPr>
        <w:ind w:left="1077" w:hanging="357"/>
        <w:rPr>
          <w:sz w:val="22"/>
          <w:szCs w:val="22"/>
        </w:rPr>
      </w:pPr>
      <w:r w:rsidRPr="00EE2F00">
        <w:rPr>
          <w:sz w:val="22"/>
          <w:szCs w:val="22"/>
        </w:rPr>
        <w:t>immunosuppressive therapy (including corticosteroid therapy ≥2 mg/kg per day of prednisolone or equivalent for more than 1 week) or radiation therapy, where there is sufficient immune reconstitution for vaccine response to be expected</w:t>
      </w:r>
    </w:p>
    <w:p w14:paraId="2D2500C0" w14:textId="77777777" w:rsidR="00DF7437" w:rsidRPr="00EE2F00" w:rsidRDefault="00DF7437" w:rsidP="00EE2F00">
      <w:pPr>
        <w:pStyle w:val="ListParagraph"/>
        <w:numPr>
          <w:ilvl w:val="1"/>
          <w:numId w:val="11"/>
        </w:numPr>
        <w:ind w:left="1077" w:hanging="357"/>
        <w:rPr>
          <w:sz w:val="22"/>
          <w:szCs w:val="22"/>
        </w:rPr>
      </w:pPr>
      <w:r w:rsidRPr="00EE2F00">
        <w:rPr>
          <w:sz w:val="22"/>
          <w:szCs w:val="22"/>
        </w:rPr>
        <w:t xml:space="preserve">haematological and other malignancies </w:t>
      </w:r>
    </w:p>
    <w:p w14:paraId="7F9A7FBE" w14:textId="77777777" w:rsidR="00DF7437" w:rsidRPr="00EE2F00" w:rsidRDefault="00DF7437" w:rsidP="00EE2F00">
      <w:pPr>
        <w:pStyle w:val="ListParagraph"/>
        <w:numPr>
          <w:ilvl w:val="1"/>
          <w:numId w:val="11"/>
        </w:numPr>
        <w:ind w:left="1077" w:hanging="357"/>
        <w:rPr>
          <w:sz w:val="22"/>
          <w:szCs w:val="22"/>
        </w:rPr>
      </w:pPr>
      <w:r w:rsidRPr="00EE2F00">
        <w:rPr>
          <w:sz w:val="22"/>
          <w:szCs w:val="22"/>
        </w:rPr>
        <w:t xml:space="preserve">solid organ transplant </w:t>
      </w:r>
    </w:p>
    <w:p w14:paraId="652397FE" w14:textId="2826013B" w:rsidR="00DF7437" w:rsidRPr="00EE2F00" w:rsidRDefault="00DF7437" w:rsidP="00EE2F00">
      <w:pPr>
        <w:pStyle w:val="ListParagraph"/>
        <w:numPr>
          <w:ilvl w:val="1"/>
          <w:numId w:val="11"/>
        </w:numPr>
        <w:ind w:left="1077" w:hanging="357"/>
        <w:rPr>
          <w:sz w:val="22"/>
          <w:szCs w:val="22"/>
        </w:rPr>
      </w:pPr>
      <w:r w:rsidRPr="00EE2F00">
        <w:rPr>
          <w:sz w:val="22"/>
          <w:szCs w:val="22"/>
        </w:rPr>
        <w:t>haematopoietic stem cell transplant (HSCT)</w:t>
      </w:r>
    </w:p>
    <w:p w14:paraId="218AC62A" w14:textId="77777777" w:rsidR="00DF7437" w:rsidRPr="00EE2F00" w:rsidRDefault="00DF7437" w:rsidP="00EE2F00">
      <w:pPr>
        <w:pStyle w:val="ListParagraph"/>
        <w:numPr>
          <w:ilvl w:val="1"/>
          <w:numId w:val="11"/>
        </w:numPr>
        <w:ind w:left="1077" w:hanging="357"/>
        <w:rPr>
          <w:sz w:val="22"/>
          <w:szCs w:val="22"/>
        </w:rPr>
      </w:pPr>
      <w:r w:rsidRPr="00EE2F00">
        <w:rPr>
          <w:sz w:val="22"/>
          <w:szCs w:val="22"/>
        </w:rPr>
        <w:t>HIV infection (including AIDS)</w:t>
      </w:r>
    </w:p>
    <w:p w14:paraId="63E0F965" w14:textId="77777777" w:rsidR="00DF7437" w:rsidRPr="00EE2F00" w:rsidRDefault="00DF7437" w:rsidP="00EE2F00">
      <w:pPr>
        <w:pStyle w:val="ListParagraph"/>
        <w:numPr>
          <w:ilvl w:val="1"/>
          <w:numId w:val="11"/>
        </w:numPr>
        <w:ind w:left="1077" w:hanging="357"/>
        <w:rPr>
          <w:sz w:val="22"/>
          <w:szCs w:val="22"/>
        </w:rPr>
      </w:pPr>
      <w:r w:rsidRPr="00EE2F00">
        <w:rPr>
          <w:sz w:val="22"/>
          <w:szCs w:val="22"/>
        </w:rPr>
        <w:t>chronic renal failure, or relapsing or persistent nephrotic syndrome</w:t>
      </w:r>
    </w:p>
    <w:p w14:paraId="48CC841D" w14:textId="77777777" w:rsidR="00DF7437" w:rsidRPr="00EE2F00" w:rsidRDefault="00DF7437" w:rsidP="00EE2F00">
      <w:pPr>
        <w:pStyle w:val="ListParagraph"/>
        <w:numPr>
          <w:ilvl w:val="0"/>
          <w:numId w:val="11"/>
        </w:numPr>
        <w:ind w:hanging="357"/>
        <w:rPr>
          <w:sz w:val="22"/>
          <w:szCs w:val="22"/>
        </w:rPr>
      </w:pPr>
      <w:r w:rsidRPr="00EE2F00">
        <w:rPr>
          <w:sz w:val="22"/>
          <w:szCs w:val="22"/>
        </w:rPr>
        <w:t>proven or presumptive cerebrospinal fluid (CSF) leak</w:t>
      </w:r>
    </w:p>
    <w:p w14:paraId="68F52001" w14:textId="77777777" w:rsidR="00DF7437" w:rsidRPr="00EE2F00" w:rsidRDefault="00DF7437" w:rsidP="00EE2F00">
      <w:pPr>
        <w:pStyle w:val="ListParagraph"/>
        <w:numPr>
          <w:ilvl w:val="0"/>
          <w:numId w:val="11"/>
        </w:numPr>
        <w:ind w:hanging="357"/>
        <w:rPr>
          <w:sz w:val="22"/>
          <w:szCs w:val="22"/>
        </w:rPr>
      </w:pPr>
      <w:r w:rsidRPr="00EE2F00">
        <w:rPr>
          <w:sz w:val="22"/>
          <w:szCs w:val="22"/>
        </w:rPr>
        <w:t>cochlear implants</w:t>
      </w:r>
    </w:p>
    <w:p w14:paraId="1ED9AD8B" w14:textId="77777777" w:rsidR="00DF7437" w:rsidRPr="00EE2F00" w:rsidRDefault="00DF7437" w:rsidP="00EE2F00">
      <w:pPr>
        <w:pStyle w:val="ListParagraph"/>
        <w:numPr>
          <w:ilvl w:val="0"/>
          <w:numId w:val="11"/>
        </w:numPr>
        <w:ind w:hanging="357"/>
        <w:rPr>
          <w:sz w:val="22"/>
          <w:szCs w:val="22"/>
        </w:rPr>
      </w:pPr>
      <w:r w:rsidRPr="00EE2F00">
        <w:rPr>
          <w:sz w:val="22"/>
          <w:szCs w:val="22"/>
        </w:rPr>
        <w:t xml:space="preserve">intracranial shunts </w:t>
      </w:r>
    </w:p>
    <w:p w14:paraId="71BB5A3D" w14:textId="77777777" w:rsidR="00DF7437" w:rsidRPr="00DF7437" w:rsidRDefault="00DF7437" w:rsidP="007E7F73">
      <w:r w:rsidRPr="00DF7437">
        <w:rPr>
          <w:rStyle w:val="Strong"/>
          <w:color w:val="222222"/>
          <w:sz w:val="22"/>
          <w:szCs w:val="22"/>
        </w:rPr>
        <w:t>Category B: Conditions associated with an increased risk of IPD</w:t>
      </w:r>
    </w:p>
    <w:p w14:paraId="3B81C0B5" w14:textId="77777777" w:rsidR="00DF7437" w:rsidRPr="00EE2F00" w:rsidRDefault="00DF7437" w:rsidP="007E7F73">
      <w:pPr>
        <w:pStyle w:val="ListParagraph"/>
        <w:numPr>
          <w:ilvl w:val="0"/>
          <w:numId w:val="11"/>
        </w:numPr>
        <w:rPr>
          <w:sz w:val="22"/>
          <w:szCs w:val="22"/>
        </w:rPr>
      </w:pPr>
      <w:r w:rsidRPr="00EE2F00">
        <w:rPr>
          <w:sz w:val="22"/>
          <w:szCs w:val="22"/>
        </w:rPr>
        <w:t xml:space="preserve">chronic cardiac disease </w:t>
      </w:r>
    </w:p>
    <w:p w14:paraId="7BCAC4FB" w14:textId="77777777" w:rsidR="00DF7437" w:rsidRPr="00EE2F00" w:rsidRDefault="00DF7437" w:rsidP="00EE2F00">
      <w:pPr>
        <w:pStyle w:val="ListParagraph"/>
        <w:numPr>
          <w:ilvl w:val="1"/>
          <w:numId w:val="11"/>
        </w:numPr>
        <w:ind w:left="1077" w:hanging="357"/>
        <w:rPr>
          <w:sz w:val="22"/>
          <w:szCs w:val="22"/>
        </w:rPr>
      </w:pPr>
      <w:r w:rsidRPr="00EE2F00">
        <w:rPr>
          <w:sz w:val="22"/>
          <w:szCs w:val="22"/>
        </w:rPr>
        <w:t>particularly cyanotic heart disease or cardiac failure in children</w:t>
      </w:r>
    </w:p>
    <w:p w14:paraId="2CF3BA3C" w14:textId="77777777" w:rsidR="00DF7437" w:rsidRPr="00EE2F00" w:rsidRDefault="00DF7437" w:rsidP="00EE2F00">
      <w:pPr>
        <w:pStyle w:val="ListParagraph"/>
        <w:numPr>
          <w:ilvl w:val="1"/>
          <w:numId w:val="11"/>
        </w:numPr>
        <w:ind w:left="1077" w:hanging="357"/>
        <w:rPr>
          <w:sz w:val="22"/>
          <w:szCs w:val="22"/>
        </w:rPr>
      </w:pPr>
      <w:r w:rsidRPr="00EE2F00">
        <w:rPr>
          <w:sz w:val="22"/>
          <w:szCs w:val="22"/>
        </w:rPr>
        <w:t>excluding hypertension only (in adults)</w:t>
      </w:r>
    </w:p>
    <w:p w14:paraId="1D3C5CC0" w14:textId="77777777" w:rsidR="00DF7437" w:rsidRPr="00EE2F00" w:rsidRDefault="00DF7437" w:rsidP="007E7F73">
      <w:pPr>
        <w:pStyle w:val="ListParagraph"/>
        <w:numPr>
          <w:ilvl w:val="0"/>
          <w:numId w:val="11"/>
        </w:numPr>
        <w:rPr>
          <w:sz w:val="22"/>
          <w:szCs w:val="22"/>
        </w:rPr>
      </w:pPr>
      <w:r w:rsidRPr="00EE2F00">
        <w:rPr>
          <w:sz w:val="22"/>
          <w:szCs w:val="22"/>
        </w:rPr>
        <w:t xml:space="preserve">chronic lung disease, including: </w:t>
      </w:r>
    </w:p>
    <w:p w14:paraId="2FBEFA22" w14:textId="77777777" w:rsidR="00DF7437" w:rsidRPr="00EE2F00" w:rsidRDefault="00DF7437" w:rsidP="00EE2F00">
      <w:pPr>
        <w:pStyle w:val="ListParagraph"/>
        <w:numPr>
          <w:ilvl w:val="1"/>
          <w:numId w:val="11"/>
        </w:numPr>
        <w:ind w:left="1077" w:hanging="357"/>
        <w:rPr>
          <w:sz w:val="22"/>
          <w:szCs w:val="22"/>
        </w:rPr>
      </w:pPr>
      <w:r w:rsidRPr="00EE2F00">
        <w:rPr>
          <w:sz w:val="22"/>
          <w:szCs w:val="22"/>
        </w:rPr>
        <w:t>chronic lung disease in preterm infants</w:t>
      </w:r>
    </w:p>
    <w:p w14:paraId="4C8EAFA9" w14:textId="77777777" w:rsidR="00DF7437" w:rsidRPr="00EE2F00" w:rsidRDefault="00DF7437" w:rsidP="00EE2F00">
      <w:pPr>
        <w:pStyle w:val="ListParagraph"/>
        <w:numPr>
          <w:ilvl w:val="1"/>
          <w:numId w:val="11"/>
        </w:numPr>
        <w:ind w:left="1077" w:hanging="357"/>
        <w:rPr>
          <w:sz w:val="22"/>
          <w:szCs w:val="22"/>
        </w:rPr>
      </w:pPr>
      <w:r w:rsidRPr="00EE2F00">
        <w:rPr>
          <w:sz w:val="22"/>
          <w:szCs w:val="22"/>
        </w:rPr>
        <w:t>cystic fibrosis</w:t>
      </w:r>
    </w:p>
    <w:p w14:paraId="18F5C0E9" w14:textId="77777777" w:rsidR="00DF7437" w:rsidRPr="00EE2F00" w:rsidRDefault="00DF7437" w:rsidP="00EE2F00">
      <w:pPr>
        <w:pStyle w:val="ListParagraph"/>
        <w:numPr>
          <w:ilvl w:val="1"/>
          <w:numId w:val="11"/>
        </w:numPr>
        <w:ind w:left="1077" w:hanging="357"/>
        <w:rPr>
          <w:sz w:val="22"/>
          <w:szCs w:val="22"/>
        </w:rPr>
      </w:pPr>
      <w:r w:rsidRPr="00EE2F00">
        <w:rPr>
          <w:sz w:val="22"/>
          <w:szCs w:val="22"/>
        </w:rPr>
        <w:t>severe asthma in adults (requiring frequent hospital visits and use of multiple medications)</w:t>
      </w:r>
    </w:p>
    <w:p w14:paraId="26F66E4E" w14:textId="77777777" w:rsidR="00DF7437" w:rsidRPr="00EE2F00" w:rsidRDefault="00DF7437" w:rsidP="007E7F73">
      <w:pPr>
        <w:pStyle w:val="ListParagraph"/>
        <w:numPr>
          <w:ilvl w:val="0"/>
          <w:numId w:val="11"/>
        </w:numPr>
        <w:rPr>
          <w:sz w:val="22"/>
          <w:szCs w:val="22"/>
        </w:rPr>
      </w:pPr>
      <w:r w:rsidRPr="00EE2F00">
        <w:rPr>
          <w:sz w:val="22"/>
          <w:szCs w:val="22"/>
        </w:rPr>
        <w:t>diabetes mellitus</w:t>
      </w:r>
    </w:p>
    <w:p w14:paraId="56F28100" w14:textId="77777777" w:rsidR="00DF7437" w:rsidRPr="00EE2F00" w:rsidRDefault="00DF7437" w:rsidP="007E7F73">
      <w:pPr>
        <w:pStyle w:val="ListParagraph"/>
        <w:numPr>
          <w:ilvl w:val="0"/>
          <w:numId w:val="11"/>
        </w:numPr>
        <w:rPr>
          <w:sz w:val="22"/>
          <w:szCs w:val="22"/>
        </w:rPr>
      </w:pPr>
      <w:r w:rsidRPr="00EE2F00">
        <w:rPr>
          <w:sz w:val="22"/>
          <w:szCs w:val="22"/>
        </w:rPr>
        <w:t>Down syndrome</w:t>
      </w:r>
    </w:p>
    <w:p w14:paraId="304BAE99" w14:textId="77777777" w:rsidR="00DF7437" w:rsidRPr="00EE2F00" w:rsidRDefault="00DF7437" w:rsidP="007E7F73">
      <w:pPr>
        <w:pStyle w:val="ListParagraph"/>
        <w:numPr>
          <w:ilvl w:val="0"/>
          <w:numId w:val="11"/>
        </w:numPr>
        <w:rPr>
          <w:sz w:val="22"/>
          <w:szCs w:val="22"/>
        </w:rPr>
      </w:pPr>
      <w:r w:rsidRPr="00EE2F00">
        <w:rPr>
          <w:sz w:val="22"/>
          <w:szCs w:val="22"/>
        </w:rPr>
        <w:t>alcoholism</w:t>
      </w:r>
    </w:p>
    <w:p w14:paraId="6275F600" w14:textId="77777777" w:rsidR="00DF7437" w:rsidRPr="00EE2F00" w:rsidRDefault="00DF7437" w:rsidP="007E7F73">
      <w:pPr>
        <w:pStyle w:val="ListParagraph"/>
        <w:numPr>
          <w:ilvl w:val="0"/>
          <w:numId w:val="11"/>
        </w:numPr>
        <w:rPr>
          <w:sz w:val="22"/>
          <w:szCs w:val="22"/>
        </w:rPr>
      </w:pPr>
      <w:r w:rsidRPr="00EE2F00">
        <w:rPr>
          <w:sz w:val="22"/>
          <w:szCs w:val="22"/>
        </w:rPr>
        <w:t>chronic liver disease</w:t>
      </w:r>
    </w:p>
    <w:p w14:paraId="626B56B5" w14:textId="550A0D5F" w:rsidR="00DF7437" w:rsidRPr="00EE2F00" w:rsidRDefault="00DF7437" w:rsidP="007E7F73">
      <w:pPr>
        <w:pStyle w:val="ListParagraph"/>
        <w:numPr>
          <w:ilvl w:val="0"/>
          <w:numId w:val="11"/>
        </w:numPr>
        <w:rPr>
          <w:sz w:val="22"/>
          <w:szCs w:val="22"/>
        </w:rPr>
      </w:pPr>
      <w:r w:rsidRPr="00EE2F00">
        <w:rPr>
          <w:sz w:val="22"/>
          <w:szCs w:val="22"/>
        </w:rPr>
        <w:t>preterm birth at &lt;28 weeks gestation</w:t>
      </w:r>
    </w:p>
    <w:p w14:paraId="4AEA4F7F" w14:textId="7DAFE6A6" w:rsidR="00DF7437" w:rsidRPr="00EE2F00" w:rsidRDefault="00DF7437" w:rsidP="007E7F73">
      <w:pPr>
        <w:pStyle w:val="ListParagraph"/>
        <w:numPr>
          <w:ilvl w:val="0"/>
          <w:numId w:val="11"/>
        </w:numPr>
        <w:rPr>
          <w:sz w:val="22"/>
          <w:szCs w:val="22"/>
        </w:rPr>
      </w:pPr>
      <w:r w:rsidRPr="00EE2F00">
        <w:rPr>
          <w:sz w:val="22"/>
          <w:szCs w:val="22"/>
        </w:rPr>
        <w:t>tobacco smoking</w:t>
      </w:r>
    </w:p>
    <w:p w14:paraId="6EEB5E56" w14:textId="08C34D4E" w:rsidR="008D5B4F" w:rsidRPr="00EE2F00" w:rsidRDefault="008D5B4F" w:rsidP="00EE2F00">
      <w:pPr>
        <w:pStyle w:val="Tablefootnote"/>
        <w:rPr>
          <w:sz w:val="20"/>
        </w:rPr>
      </w:pPr>
      <w:r w:rsidRPr="00EE2F00">
        <w:rPr>
          <w:sz w:val="20"/>
        </w:rPr>
        <w:t xml:space="preserve">Source: </w:t>
      </w:r>
      <w:r w:rsidRPr="00E17A09">
        <w:rPr>
          <w:i/>
          <w:sz w:val="20"/>
        </w:rPr>
        <w:t>The Australian Immunisation Handbook</w:t>
      </w:r>
      <w:r w:rsidRPr="00EE2F00">
        <w:rPr>
          <w:sz w:val="20"/>
        </w:rPr>
        <w:t xml:space="preserve">, Chapter 4.13 </w:t>
      </w:r>
      <w:hyperlink r:id="rId20" w:history="1">
        <w:r w:rsidR="00A6557E" w:rsidRPr="00A6557E">
          <w:rPr>
            <w:rStyle w:val="Hyperlink"/>
            <w:sz w:val="20"/>
          </w:rPr>
          <w:t>P</w:t>
        </w:r>
        <w:r w:rsidRPr="00A6557E">
          <w:rPr>
            <w:rStyle w:val="Hyperlink"/>
            <w:sz w:val="20"/>
          </w:rPr>
          <w:t>neumococcal</w:t>
        </w:r>
        <w:r w:rsidR="002154C8" w:rsidRPr="00A6557E">
          <w:rPr>
            <w:rStyle w:val="Hyperlink"/>
            <w:sz w:val="20"/>
          </w:rPr>
          <w:t xml:space="preserve"> disease</w:t>
        </w:r>
      </w:hyperlink>
      <w:r w:rsidR="002154C8" w:rsidRPr="00EE2F00">
        <w:rPr>
          <w:sz w:val="20"/>
        </w:rPr>
        <w:t xml:space="preserve"> (p</w:t>
      </w:r>
      <w:r w:rsidR="00A6557E">
        <w:rPr>
          <w:sz w:val="20"/>
        </w:rPr>
        <w:t>age</w:t>
      </w:r>
      <w:r w:rsidR="002154C8" w:rsidRPr="00EE2F00">
        <w:rPr>
          <w:sz w:val="20"/>
        </w:rPr>
        <w:t>s 326</w:t>
      </w:r>
      <w:r w:rsidR="00A6557E">
        <w:rPr>
          <w:sz w:val="20"/>
        </w:rPr>
        <w:t>–</w:t>
      </w:r>
      <w:r w:rsidR="002154C8" w:rsidRPr="00EE2F00">
        <w:rPr>
          <w:sz w:val="20"/>
        </w:rPr>
        <w:t>327 in hard copy</w:t>
      </w:r>
      <w:r w:rsidR="00A6557E">
        <w:rPr>
          <w:sz w:val="20"/>
        </w:rPr>
        <w:t>, 10th edition 2013</w:t>
      </w:r>
      <w:r w:rsidR="002154C8" w:rsidRPr="00EE2F00">
        <w:rPr>
          <w:sz w:val="20"/>
        </w:rPr>
        <w:t>)</w:t>
      </w:r>
    </w:p>
    <w:sectPr w:rsidR="008D5B4F" w:rsidRPr="00EE2F00" w:rsidSect="00DF7437">
      <w:footerReference w:type="default" r:id="rId21"/>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FAF97C" w16cid:durableId="1D487273"/>
  <w16cid:commentId w16cid:paraId="3A5FCD1C" w16cid:durableId="1D4871D7"/>
  <w16cid:commentId w16cid:paraId="68B19149" w16cid:durableId="1D4874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C0941" w14:textId="77777777" w:rsidR="00B75829" w:rsidRDefault="00B75829" w:rsidP="007E7F73">
      <w:r>
        <w:separator/>
      </w:r>
    </w:p>
  </w:endnote>
  <w:endnote w:type="continuationSeparator" w:id="0">
    <w:p w14:paraId="7A85EEF5" w14:textId="77777777" w:rsidR="00B75829" w:rsidRDefault="00B75829" w:rsidP="007E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skoola Pota">
    <w:panose1 w:val="020B0502040204020203"/>
    <w:charset w:val="00"/>
    <w:family w:val="swiss"/>
    <w:pitch w:val="variable"/>
    <w:sig w:usb0="00000003" w:usb1="00000000" w:usb2="000002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500382"/>
      <w:docPartObj>
        <w:docPartGallery w:val="Page Numbers (Bottom of Page)"/>
        <w:docPartUnique/>
      </w:docPartObj>
    </w:sdtPr>
    <w:sdtEndPr>
      <w:rPr>
        <w:noProof/>
      </w:rPr>
    </w:sdtEndPr>
    <w:sdtContent>
      <w:p w14:paraId="5F174608" w14:textId="69D506B1" w:rsidR="00B75829" w:rsidRDefault="00B75829" w:rsidP="008509E6">
        <w:pPr>
          <w:pStyle w:val="Footer"/>
          <w:jc w:val="right"/>
        </w:pPr>
        <w:r>
          <w:fldChar w:fldCharType="begin"/>
        </w:r>
        <w:r>
          <w:instrText xml:space="preserve"> PAGE   \* MERGEFORMAT </w:instrText>
        </w:r>
        <w:r>
          <w:fldChar w:fldCharType="separate"/>
        </w:r>
        <w:r w:rsidR="00CF1A9D">
          <w:rPr>
            <w:noProof/>
          </w:rPr>
          <w:t>10</w:t>
        </w:r>
        <w:r>
          <w:rPr>
            <w:noProof/>
          </w:rPr>
          <w:fldChar w:fldCharType="end"/>
        </w:r>
      </w:p>
    </w:sdtContent>
  </w:sdt>
  <w:p w14:paraId="777DD360" w14:textId="36123E33" w:rsidR="00B75829" w:rsidRDefault="00B75829" w:rsidP="008509E6">
    <w:pPr>
      <w:pStyle w:val="Footer"/>
    </w:pPr>
    <w:r>
      <w:t>Public-consul</w:t>
    </w:r>
    <w:r w:rsidR="002327E6">
      <w:t>tation-document-infant-pneumococcal-vaccination-</w:t>
    </w:r>
    <w:r>
      <w:t>schedule</w:t>
    </w:r>
    <w:r w:rsidR="002327E6">
      <w:t>-recommendations-</w:t>
    </w:r>
    <w:r>
      <w:t>Aug-2017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35EF7" w14:textId="77777777" w:rsidR="00B75829" w:rsidRDefault="00B75829" w:rsidP="007E7F73">
      <w:r>
        <w:separator/>
      </w:r>
    </w:p>
  </w:footnote>
  <w:footnote w:type="continuationSeparator" w:id="0">
    <w:p w14:paraId="0695ADC8" w14:textId="77777777" w:rsidR="00B75829" w:rsidRDefault="00B75829" w:rsidP="007E7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614"/>
    <w:multiLevelType w:val="hybridMultilevel"/>
    <w:tmpl w:val="601215F0"/>
    <w:lvl w:ilvl="0" w:tplc="3460D556">
      <w:start w:val="1"/>
      <w:numFmt w:val="bullet"/>
      <w:pStyle w:val="Summaryboxbullettex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
    <w:nsid w:val="05D20AA1"/>
    <w:multiLevelType w:val="hybridMultilevel"/>
    <w:tmpl w:val="C20842E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
    <w:nsid w:val="0EFA51D4"/>
    <w:multiLevelType w:val="hybridMultilevel"/>
    <w:tmpl w:val="7542FED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61A0D6B"/>
    <w:multiLevelType w:val="hybridMultilevel"/>
    <w:tmpl w:val="F61E6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007DD3"/>
    <w:multiLevelType w:val="multilevel"/>
    <w:tmpl w:val="41ACBA0E"/>
    <w:styleLink w:val="WPReportTemplate"/>
    <w:lvl w:ilvl="0">
      <w:start w:val="1"/>
      <w:numFmt w:val="decimal"/>
      <w:lvlText w:val="%1."/>
      <w:lvlJc w:val="left"/>
      <w:pPr>
        <w:ind w:left="1516" w:hanging="360"/>
      </w:pPr>
      <w:rPr>
        <w:rFonts w:ascii="Arial" w:hAnsi="Arial" w:hint="default"/>
        <w:b/>
        <w:color w:val="0099CC"/>
        <w:sz w:val="28"/>
      </w:rPr>
    </w:lvl>
    <w:lvl w:ilvl="1">
      <w:start w:val="1"/>
      <w:numFmt w:val="decimal"/>
      <w:lvlRestart w:val="0"/>
      <w:lvlText w:val="%1.%2."/>
      <w:lvlJc w:val="left"/>
      <w:pPr>
        <w:ind w:left="1440" w:hanging="360"/>
      </w:pPr>
      <w:rPr>
        <w:rFonts w:ascii="Arial" w:hAnsi="Arial" w:hint="default"/>
        <w:b/>
        <w:color w:val="0099CC"/>
        <w:sz w:val="24"/>
      </w:rPr>
    </w:lvl>
    <w:lvl w:ilvl="2">
      <w:start w:val="1"/>
      <w:numFmt w:val="decimal"/>
      <w:lvlRestart w:val="0"/>
      <w:lvlText w:val="%3.1.1"/>
      <w:lvlJc w:val="right"/>
      <w:pPr>
        <w:ind w:left="1772" w:hanging="180"/>
      </w:pPr>
      <w:rPr>
        <w:rFonts w:ascii="Arial" w:hAnsi="Arial" w:hint="default"/>
        <w:b/>
        <w:i w:val="0"/>
        <w:color w:val="0099CC"/>
        <w:sz w:val="22"/>
      </w:rPr>
    </w:lvl>
    <w:lvl w:ilvl="3">
      <w:start w:val="1"/>
      <w:numFmt w:val="decimal"/>
      <w:lvlText w:val="%4."/>
      <w:lvlJc w:val="left"/>
      <w:pPr>
        <w:ind w:left="3676" w:hanging="360"/>
      </w:pPr>
      <w:rPr>
        <w:rFonts w:hint="default"/>
      </w:rPr>
    </w:lvl>
    <w:lvl w:ilvl="4">
      <w:start w:val="1"/>
      <w:numFmt w:val="lowerLetter"/>
      <w:lvlText w:val="%5."/>
      <w:lvlJc w:val="left"/>
      <w:pPr>
        <w:ind w:left="4396" w:hanging="360"/>
      </w:pPr>
      <w:rPr>
        <w:rFonts w:hint="default"/>
      </w:rPr>
    </w:lvl>
    <w:lvl w:ilvl="5">
      <w:start w:val="1"/>
      <w:numFmt w:val="lowerRoman"/>
      <w:lvlText w:val="%6."/>
      <w:lvlJc w:val="right"/>
      <w:pPr>
        <w:ind w:left="5116" w:hanging="180"/>
      </w:pPr>
      <w:rPr>
        <w:rFonts w:hint="default"/>
      </w:rPr>
    </w:lvl>
    <w:lvl w:ilvl="6">
      <w:start w:val="1"/>
      <w:numFmt w:val="decimal"/>
      <w:lvlText w:val="%7."/>
      <w:lvlJc w:val="left"/>
      <w:pPr>
        <w:ind w:left="5836" w:hanging="360"/>
      </w:pPr>
      <w:rPr>
        <w:rFonts w:hint="default"/>
      </w:rPr>
    </w:lvl>
    <w:lvl w:ilvl="7">
      <w:start w:val="1"/>
      <w:numFmt w:val="lowerLetter"/>
      <w:lvlText w:val="%8."/>
      <w:lvlJc w:val="left"/>
      <w:pPr>
        <w:ind w:left="6556" w:hanging="360"/>
      </w:pPr>
      <w:rPr>
        <w:rFonts w:hint="default"/>
      </w:rPr>
    </w:lvl>
    <w:lvl w:ilvl="8">
      <w:start w:val="1"/>
      <w:numFmt w:val="lowerRoman"/>
      <w:lvlText w:val="%9."/>
      <w:lvlJc w:val="right"/>
      <w:pPr>
        <w:ind w:left="7276" w:hanging="180"/>
      </w:pPr>
      <w:rPr>
        <w:rFonts w:hint="default"/>
      </w:rPr>
    </w:lvl>
  </w:abstractNum>
  <w:abstractNum w:abstractNumId="5">
    <w:nsid w:val="22B07D38"/>
    <w:multiLevelType w:val="hybridMultilevel"/>
    <w:tmpl w:val="7F0ECC92"/>
    <w:lvl w:ilvl="0" w:tplc="7C70622A">
      <w:start w:val="1"/>
      <w:numFmt w:val="lowerLetter"/>
      <w:pStyle w:val="Heading5"/>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5FD1D91"/>
    <w:multiLevelType w:val="multilevel"/>
    <w:tmpl w:val="57CCA226"/>
    <w:styleLink w:val="Style12"/>
    <w:lvl w:ilvl="0">
      <w:start w:val="1"/>
      <w:numFmt w:val="decimal"/>
      <w:lvlText w:val="%1"/>
      <w:lvlJc w:val="left"/>
      <w:pPr>
        <w:tabs>
          <w:tab w:val="num" w:pos="3698"/>
        </w:tabs>
        <w:ind w:left="3718" w:hanging="360"/>
      </w:pPr>
      <w:rPr>
        <w:rFonts w:ascii="Arial" w:hAnsi="Arial" w:hint="default"/>
        <w:b/>
        <w:i w:val="0"/>
        <w:sz w:val="24"/>
        <w:szCs w:val="24"/>
      </w:rPr>
    </w:lvl>
    <w:lvl w:ilvl="1">
      <w:start w:val="1"/>
      <w:numFmt w:val="decimal"/>
      <w:lvlText w:val="%1.%2"/>
      <w:lvlJc w:val="left"/>
      <w:pPr>
        <w:tabs>
          <w:tab w:val="num" w:pos="1142"/>
        </w:tabs>
        <w:ind w:left="1142" w:hanging="432"/>
      </w:pPr>
      <w:rPr>
        <w:rFonts w:ascii="Arial" w:hAnsi="Arial" w:hint="default"/>
        <w:b/>
        <w:i w:val="0"/>
        <w:sz w:val="24"/>
        <w:szCs w:val="24"/>
      </w:rPr>
    </w:lvl>
    <w:lvl w:ilvl="2">
      <w:start w:val="1"/>
      <w:numFmt w:val="decimal"/>
      <w:lvlText w:val="%1.%2.%3"/>
      <w:lvlJc w:val="left"/>
      <w:pPr>
        <w:tabs>
          <w:tab w:val="num" w:pos="1430"/>
        </w:tabs>
        <w:ind w:left="1214" w:hanging="504"/>
      </w:pPr>
      <w:rPr>
        <w:rFonts w:hint="default"/>
        <w:b/>
      </w:rPr>
    </w:lvl>
    <w:lvl w:ilvl="3">
      <w:start w:val="1"/>
      <w:numFmt w:val="decimal"/>
      <w:lvlText w:val="%1.%2.%3.%4"/>
      <w:lvlJc w:val="left"/>
      <w:pPr>
        <w:tabs>
          <w:tab w:val="num" w:pos="5475"/>
        </w:tabs>
        <w:ind w:left="5043" w:hanging="648"/>
      </w:pPr>
      <w:rPr>
        <w:rFonts w:hint="default"/>
      </w:rPr>
    </w:lvl>
    <w:lvl w:ilvl="4">
      <w:start w:val="1"/>
      <w:numFmt w:val="decimal"/>
      <w:suff w:val="space"/>
      <w:lvlText w:val="%1.%2.%3.%4.%5"/>
      <w:lvlJc w:val="left"/>
      <w:pPr>
        <w:ind w:left="4798" w:firstLine="0"/>
      </w:pPr>
      <w:rPr>
        <w:rFonts w:hint="default"/>
      </w:rPr>
    </w:lvl>
    <w:lvl w:ilvl="5">
      <w:start w:val="1"/>
      <w:numFmt w:val="decimal"/>
      <w:lvlText w:val="%1.%2.%3.%4.%5.%6."/>
      <w:lvlJc w:val="left"/>
      <w:pPr>
        <w:tabs>
          <w:tab w:val="num" w:pos="6598"/>
        </w:tabs>
        <w:ind w:left="6094" w:hanging="936"/>
      </w:pPr>
      <w:rPr>
        <w:rFonts w:hint="default"/>
      </w:rPr>
    </w:lvl>
    <w:lvl w:ilvl="6">
      <w:start w:val="1"/>
      <w:numFmt w:val="decimal"/>
      <w:lvlText w:val="%1.%2.%3.%4.%5.%6.%7."/>
      <w:lvlJc w:val="left"/>
      <w:pPr>
        <w:tabs>
          <w:tab w:val="num" w:pos="6958"/>
        </w:tabs>
        <w:ind w:left="6598" w:hanging="1080"/>
      </w:pPr>
      <w:rPr>
        <w:rFonts w:hint="default"/>
      </w:rPr>
    </w:lvl>
    <w:lvl w:ilvl="7">
      <w:start w:val="1"/>
      <w:numFmt w:val="decimal"/>
      <w:lvlText w:val="%1.%2.%3.%4.%5.%6.%7.%8."/>
      <w:lvlJc w:val="left"/>
      <w:pPr>
        <w:tabs>
          <w:tab w:val="num" w:pos="7678"/>
        </w:tabs>
        <w:ind w:left="7102" w:hanging="1224"/>
      </w:pPr>
      <w:rPr>
        <w:rFonts w:hint="default"/>
      </w:rPr>
    </w:lvl>
    <w:lvl w:ilvl="8">
      <w:start w:val="1"/>
      <w:numFmt w:val="decimal"/>
      <w:lvlText w:val="%1.%2.%3.%4.%5.%6.%7.%8.%9."/>
      <w:lvlJc w:val="left"/>
      <w:pPr>
        <w:tabs>
          <w:tab w:val="num" w:pos="8038"/>
        </w:tabs>
        <w:ind w:left="7678" w:hanging="1440"/>
      </w:pPr>
      <w:rPr>
        <w:rFonts w:hint="default"/>
      </w:rPr>
    </w:lvl>
  </w:abstractNum>
  <w:abstractNum w:abstractNumId="7">
    <w:nsid w:val="2DCE6EDA"/>
    <w:multiLevelType w:val="hybridMultilevel"/>
    <w:tmpl w:val="6FEAD66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1413DCB"/>
    <w:multiLevelType w:val="multilevel"/>
    <w:tmpl w:val="3CDC5276"/>
    <w:styleLink w:val="111ATAGIWPreportheading3"/>
    <w:lvl w:ilvl="0">
      <w:start w:val="1"/>
      <w:numFmt w:val="decimal"/>
      <w:lvlText w:val="%1"/>
      <w:lvlJc w:val="left"/>
      <w:pPr>
        <w:tabs>
          <w:tab w:val="num" w:pos="3698"/>
        </w:tabs>
        <w:ind w:left="3718" w:hanging="360"/>
      </w:pPr>
      <w:rPr>
        <w:rFonts w:ascii="Arial" w:hAnsi="Arial" w:hint="default"/>
        <w:b/>
        <w:i w:val="0"/>
        <w:sz w:val="24"/>
        <w:szCs w:val="24"/>
      </w:rPr>
    </w:lvl>
    <w:lvl w:ilvl="1">
      <w:start w:val="1"/>
      <w:numFmt w:val="decimal"/>
      <w:lvlText w:val="%1.%2"/>
      <w:lvlJc w:val="left"/>
      <w:pPr>
        <w:tabs>
          <w:tab w:val="num" w:pos="1142"/>
        </w:tabs>
        <w:ind w:left="1142" w:hanging="432"/>
      </w:pPr>
      <w:rPr>
        <w:rFonts w:ascii="Arial" w:hAnsi="Arial" w:hint="default"/>
        <w:b/>
        <w:i w:val="0"/>
        <w:sz w:val="24"/>
        <w:szCs w:val="24"/>
      </w:rPr>
    </w:lvl>
    <w:lvl w:ilvl="2">
      <w:start w:val="1"/>
      <w:numFmt w:val="decimal"/>
      <w:lvlText w:val="%1.%2.%3"/>
      <w:lvlJc w:val="left"/>
      <w:pPr>
        <w:tabs>
          <w:tab w:val="num" w:pos="1430"/>
        </w:tabs>
        <w:ind w:left="1214" w:hanging="504"/>
      </w:pPr>
      <w:rPr>
        <w:rFonts w:hint="default"/>
        <w:b/>
      </w:rPr>
    </w:lvl>
    <w:lvl w:ilvl="3">
      <w:start w:val="1"/>
      <w:numFmt w:val="decimal"/>
      <w:lvlText w:val="%1.%2.%3.%4"/>
      <w:lvlJc w:val="left"/>
      <w:pPr>
        <w:tabs>
          <w:tab w:val="num" w:pos="5475"/>
        </w:tabs>
        <w:ind w:left="5043" w:hanging="648"/>
      </w:pPr>
      <w:rPr>
        <w:rFonts w:hint="default"/>
      </w:rPr>
    </w:lvl>
    <w:lvl w:ilvl="4">
      <w:start w:val="1"/>
      <w:numFmt w:val="decimal"/>
      <w:suff w:val="space"/>
      <w:lvlText w:val="%1.%2.%3.%4.%5"/>
      <w:lvlJc w:val="left"/>
      <w:pPr>
        <w:ind w:left="4798" w:firstLine="0"/>
      </w:pPr>
      <w:rPr>
        <w:rFonts w:hint="default"/>
      </w:rPr>
    </w:lvl>
    <w:lvl w:ilvl="5">
      <w:start w:val="1"/>
      <w:numFmt w:val="decimal"/>
      <w:lvlText w:val="%1.%2.%3.%4.%5.%6."/>
      <w:lvlJc w:val="left"/>
      <w:pPr>
        <w:tabs>
          <w:tab w:val="num" w:pos="6598"/>
        </w:tabs>
        <w:ind w:left="6094" w:hanging="936"/>
      </w:pPr>
      <w:rPr>
        <w:rFonts w:hint="default"/>
      </w:rPr>
    </w:lvl>
    <w:lvl w:ilvl="6">
      <w:start w:val="1"/>
      <w:numFmt w:val="decimal"/>
      <w:lvlText w:val="%1.%2.%3.%4.%5.%6.%7."/>
      <w:lvlJc w:val="left"/>
      <w:pPr>
        <w:tabs>
          <w:tab w:val="num" w:pos="6958"/>
        </w:tabs>
        <w:ind w:left="6598" w:hanging="1080"/>
      </w:pPr>
      <w:rPr>
        <w:rFonts w:hint="default"/>
      </w:rPr>
    </w:lvl>
    <w:lvl w:ilvl="7">
      <w:start w:val="1"/>
      <w:numFmt w:val="decimal"/>
      <w:lvlText w:val="%1.%2.%3.%4.%5.%6.%7.%8."/>
      <w:lvlJc w:val="left"/>
      <w:pPr>
        <w:tabs>
          <w:tab w:val="num" w:pos="7678"/>
        </w:tabs>
        <w:ind w:left="7102" w:hanging="1224"/>
      </w:pPr>
      <w:rPr>
        <w:rFonts w:hint="default"/>
      </w:rPr>
    </w:lvl>
    <w:lvl w:ilvl="8">
      <w:start w:val="1"/>
      <w:numFmt w:val="decimal"/>
      <w:lvlText w:val="%1.%2.%3.%4.%5.%6.%7.%8.%9."/>
      <w:lvlJc w:val="left"/>
      <w:pPr>
        <w:tabs>
          <w:tab w:val="num" w:pos="8038"/>
        </w:tabs>
        <w:ind w:left="7678" w:hanging="1440"/>
      </w:pPr>
      <w:rPr>
        <w:rFonts w:hint="default"/>
      </w:rPr>
    </w:lvl>
  </w:abstractNum>
  <w:abstractNum w:abstractNumId="9">
    <w:nsid w:val="34A0103B"/>
    <w:multiLevelType w:val="hybridMultilevel"/>
    <w:tmpl w:val="2BC47E0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EA03941"/>
    <w:multiLevelType w:val="hybridMultilevel"/>
    <w:tmpl w:val="F43E9782"/>
    <w:lvl w:ilvl="0" w:tplc="0C090017">
      <w:start w:val="1"/>
      <w:numFmt w:val="lowerLetter"/>
      <w:lvlText w:val="%1)"/>
      <w:lvlJc w:val="left"/>
      <w:pPr>
        <w:ind w:left="720" w:hanging="360"/>
      </w:pPr>
    </w:lvl>
    <w:lvl w:ilvl="1" w:tplc="659CAF5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3990FFE"/>
    <w:multiLevelType w:val="hybridMultilevel"/>
    <w:tmpl w:val="5D088380"/>
    <w:lvl w:ilvl="0" w:tplc="4C98C08E">
      <w:start w:val="1"/>
      <w:numFmt w:val="upperLetter"/>
      <w:pStyle w:val="Appendixheading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66E3B24"/>
    <w:multiLevelType w:val="hybridMultilevel"/>
    <w:tmpl w:val="EC8EC90C"/>
    <w:lvl w:ilvl="0" w:tplc="7B4C6E8C">
      <w:start w:val="1"/>
      <w:numFmt w:val="decimal"/>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86D3E1C"/>
    <w:multiLevelType w:val="hybridMultilevel"/>
    <w:tmpl w:val="F5BCEC42"/>
    <w:lvl w:ilvl="0" w:tplc="8C24B6DC">
      <w:start w:val="1"/>
      <w:numFmt w:val="bullet"/>
      <w:pStyle w:val="Body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A101BEE"/>
    <w:multiLevelType w:val="multilevel"/>
    <w:tmpl w:val="C8A2AC6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B1C3AF8"/>
    <w:multiLevelType w:val="hybridMultilevel"/>
    <w:tmpl w:val="DADC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735389"/>
    <w:multiLevelType w:val="hybridMultilevel"/>
    <w:tmpl w:val="E0081F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6594C69"/>
    <w:multiLevelType w:val="hybridMultilevel"/>
    <w:tmpl w:val="5316ED4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3184CBA"/>
    <w:multiLevelType w:val="hybridMultilevel"/>
    <w:tmpl w:val="D09EF4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405550A"/>
    <w:multiLevelType w:val="hybridMultilevel"/>
    <w:tmpl w:val="315889F0"/>
    <w:lvl w:ilvl="0" w:tplc="0C09000F">
      <w:start w:val="1"/>
      <w:numFmt w:val="decimal"/>
      <w:lvlText w:val="%1."/>
      <w:lvlJc w:val="left"/>
      <w:pPr>
        <w:ind w:left="1854" w:hanging="360"/>
      </w:p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0">
    <w:nsid w:val="644B6D8F"/>
    <w:multiLevelType w:val="multilevel"/>
    <w:tmpl w:val="C8A2A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794037"/>
    <w:multiLevelType w:val="multilevel"/>
    <w:tmpl w:val="C8A2AC6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8320D70"/>
    <w:multiLevelType w:val="hybridMultilevel"/>
    <w:tmpl w:val="30A0F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94262EC"/>
    <w:multiLevelType w:val="hybridMultilevel"/>
    <w:tmpl w:val="8080400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4">
    <w:nsid w:val="6E7A1DFE"/>
    <w:multiLevelType w:val="hybridMultilevel"/>
    <w:tmpl w:val="A2E01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17C7627"/>
    <w:multiLevelType w:val="hybridMultilevel"/>
    <w:tmpl w:val="EF3463B4"/>
    <w:lvl w:ilvl="0" w:tplc="401A7A14">
      <w:start w:val="1"/>
      <w:numFmt w:val="decimal"/>
      <w:pStyle w:val="Bodytext-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2C41FB0"/>
    <w:multiLevelType w:val="hybridMultilevel"/>
    <w:tmpl w:val="D116DCC6"/>
    <w:lvl w:ilvl="0" w:tplc="DEAAB4EA">
      <w:start w:val="1"/>
      <w:numFmt w:val="lowerRoman"/>
      <w:lvlText w:val="%1."/>
      <w:lvlJc w:val="right"/>
      <w:pPr>
        <w:ind w:left="1440" w:hanging="360"/>
      </w:pPr>
      <w:rPr>
        <w:rFonts w:hint="default"/>
      </w:rPr>
    </w:lvl>
    <w:lvl w:ilvl="1" w:tplc="DEAAB4EA">
      <w:start w:val="1"/>
      <w:numFmt w:val="lowerRoman"/>
      <w:lvlText w:val="%2."/>
      <w:lvlJc w:val="right"/>
      <w:pPr>
        <w:ind w:left="2160" w:hanging="36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74E136C2"/>
    <w:multiLevelType w:val="hybridMultilevel"/>
    <w:tmpl w:val="DC228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5290622"/>
    <w:multiLevelType w:val="hybridMultilevel"/>
    <w:tmpl w:val="ABB8411E"/>
    <w:lvl w:ilvl="0" w:tplc="868C38BC">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78DF46BE"/>
    <w:multiLevelType w:val="hybridMultilevel"/>
    <w:tmpl w:val="61D25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1672D0"/>
    <w:multiLevelType w:val="hybridMultilevel"/>
    <w:tmpl w:val="0F00CA2A"/>
    <w:lvl w:ilvl="0" w:tplc="0C09000F">
      <w:start w:val="1"/>
      <w:numFmt w:val="decimal"/>
      <w:lvlText w:val="%1."/>
      <w:lvlJc w:val="left"/>
      <w:pPr>
        <w:ind w:left="1080" w:hanging="360"/>
      </w:pPr>
    </w:lvl>
    <w:lvl w:ilvl="1" w:tplc="DEAAB4EA">
      <w:start w:val="1"/>
      <w:numFmt w:val="lowerRoman"/>
      <w:lvlText w:val="%2."/>
      <w:lvlJc w:val="righ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7F3C0190"/>
    <w:multiLevelType w:val="multilevel"/>
    <w:tmpl w:val="E3221524"/>
    <w:styleLink w:val="1111ATAGIWPreportheading4"/>
    <w:lvl w:ilvl="0">
      <w:start w:val="1"/>
      <w:numFmt w:val="decimal"/>
      <w:lvlText w:val="%1"/>
      <w:lvlJc w:val="left"/>
      <w:pPr>
        <w:tabs>
          <w:tab w:val="num" w:pos="3698"/>
        </w:tabs>
        <w:ind w:left="3718" w:hanging="360"/>
      </w:pPr>
      <w:rPr>
        <w:rFonts w:ascii="Arial" w:hAnsi="Arial" w:hint="default"/>
        <w:b/>
        <w:i w:val="0"/>
        <w:sz w:val="24"/>
        <w:szCs w:val="24"/>
      </w:rPr>
    </w:lvl>
    <w:lvl w:ilvl="1">
      <w:start w:val="1"/>
      <w:numFmt w:val="decimal"/>
      <w:lvlText w:val="%1.%2"/>
      <w:lvlJc w:val="left"/>
      <w:pPr>
        <w:tabs>
          <w:tab w:val="num" w:pos="1142"/>
        </w:tabs>
        <w:ind w:left="1142" w:hanging="432"/>
      </w:pPr>
      <w:rPr>
        <w:rFonts w:ascii="Arial" w:hAnsi="Arial" w:hint="default"/>
        <w:b/>
        <w:i w:val="0"/>
        <w:sz w:val="24"/>
        <w:szCs w:val="24"/>
      </w:rPr>
    </w:lvl>
    <w:lvl w:ilvl="2">
      <w:start w:val="1"/>
      <w:numFmt w:val="decimal"/>
      <w:lvlText w:val="%1.%2.%3"/>
      <w:lvlJc w:val="left"/>
      <w:pPr>
        <w:tabs>
          <w:tab w:val="num" w:pos="1430"/>
        </w:tabs>
        <w:ind w:left="1214" w:hanging="504"/>
      </w:pPr>
      <w:rPr>
        <w:rFonts w:hint="default"/>
        <w:b/>
      </w:rPr>
    </w:lvl>
    <w:lvl w:ilvl="3">
      <w:start w:val="1"/>
      <w:numFmt w:val="decimal"/>
      <w:lvlText w:val="%1.%2.%3.%4"/>
      <w:lvlJc w:val="left"/>
      <w:pPr>
        <w:tabs>
          <w:tab w:val="num" w:pos="5475"/>
        </w:tabs>
        <w:ind w:left="5043" w:hanging="648"/>
      </w:pPr>
      <w:rPr>
        <w:rFonts w:ascii="Arial" w:hAnsi="Arial" w:hint="default"/>
        <w:b/>
      </w:rPr>
    </w:lvl>
    <w:lvl w:ilvl="4">
      <w:start w:val="1"/>
      <w:numFmt w:val="decimal"/>
      <w:suff w:val="space"/>
      <w:lvlText w:val="%1.%2.%3.%4.%5"/>
      <w:lvlJc w:val="left"/>
      <w:pPr>
        <w:ind w:left="4798" w:firstLine="0"/>
      </w:pPr>
      <w:rPr>
        <w:rFonts w:hint="default"/>
      </w:rPr>
    </w:lvl>
    <w:lvl w:ilvl="5">
      <w:start w:val="1"/>
      <w:numFmt w:val="decimal"/>
      <w:lvlText w:val="%1.%2.%3.%4.%5.%6."/>
      <w:lvlJc w:val="left"/>
      <w:pPr>
        <w:tabs>
          <w:tab w:val="num" w:pos="6598"/>
        </w:tabs>
        <w:ind w:left="6094" w:hanging="936"/>
      </w:pPr>
      <w:rPr>
        <w:rFonts w:hint="default"/>
      </w:rPr>
    </w:lvl>
    <w:lvl w:ilvl="6">
      <w:start w:val="1"/>
      <w:numFmt w:val="decimal"/>
      <w:lvlText w:val="%1.%2.%3.%4.%5.%6.%7."/>
      <w:lvlJc w:val="left"/>
      <w:pPr>
        <w:tabs>
          <w:tab w:val="num" w:pos="6958"/>
        </w:tabs>
        <w:ind w:left="6598" w:hanging="1080"/>
      </w:pPr>
      <w:rPr>
        <w:rFonts w:hint="default"/>
      </w:rPr>
    </w:lvl>
    <w:lvl w:ilvl="7">
      <w:start w:val="1"/>
      <w:numFmt w:val="decimal"/>
      <w:lvlText w:val="%1.%2.%3.%4.%5.%6.%7.%8."/>
      <w:lvlJc w:val="left"/>
      <w:pPr>
        <w:tabs>
          <w:tab w:val="num" w:pos="7678"/>
        </w:tabs>
        <w:ind w:left="7102" w:hanging="1224"/>
      </w:pPr>
      <w:rPr>
        <w:rFonts w:hint="default"/>
      </w:rPr>
    </w:lvl>
    <w:lvl w:ilvl="8">
      <w:start w:val="1"/>
      <w:numFmt w:val="decimal"/>
      <w:lvlText w:val="%1.%2.%3.%4.%5.%6.%7.%8.%9."/>
      <w:lvlJc w:val="left"/>
      <w:pPr>
        <w:tabs>
          <w:tab w:val="num" w:pos="8038"/>
        </w:tabs>
        <w:ind w:left="7678" w:hanging="1440"/>
      </w:pPr>
      <w:rPr>
        <w:rFonts w:hint="default"/>
      </w:rPr>
    </w:lvl>
  </w:abstractNum>
  <w:num w:numId="1">
    <w:abstractNumId w:val="22"/>
  </w:num>
  <w:num w:numId="2">
    <w:abstractNumId w:val="10"/>
  </w:num>
  <w:num w:numId="3">
    <w:abstractNumId w:val="13"/>
  </w:num>
  <w:num w:numId="4">
    <w:abstractNumId w:val="6"/>
  </w:num>
  <w:num w:numId="5">
    <w:abstractNumId w:val="8"/>
  </w:num>
  <w:num w:numId="6">
    <w:abstractNumId w:val="31"/>
  </w:num>
  <w:num w:numId="7">
    <w:abstractNumId w:val="4"/>
  </w:num>
  <w:num w:numId="8">
    <w:abstractNumId w:val="25"/>
  </w:num>
  <w:num w:numId="9">
    <w:abstractNumId w:val="11"/>
  </w:num>
  <w:num w:numId="10">
    <w:abstractNumId w:val="0"/>
  </w:num>
  <w:num w:numId="11">
    <w:abstractNumId w:val="20"/>
  </w:num>
  <w:num w:numId="12">
    <w:abstractNumId w:val="24"/>
  </w:num>
  <w:num w:numId="13">
    <w:abstractNumId w:val="7"/>
  </w:num>
  <w:num w:numId="14">
    <w:abstractNumId w:val="9"/>
  </w:num>
  <w:num w:numId="15">
    <w:abstractNumId w:val="2"/>
  </w:num>
  <w:num w:numId="16">
    <w:abstractNumId w:val="1"/>
  </w:num>
  <w:num w:numId="17">
    <w:abstractNumId w:val="23"/>
  </w:num>
  <w:num w:numId="18">
    <w:abstractNumId w:val="19"/>
  </w:num>
  <w:num w:numId="19">
    <w:abstractNumId w:val="30"/>
  </w:num>
  <w:num w:numId="20">
    <w:abstractNumId w:val="12"/>
  </w:num>
  <w:num w:numId="21">
    <w:abstractNumId w:val="15"/>
  </w:num>
  <w:num w:numId="22">
    <w:abstractNumId w:val="18"/>
  </w:num>
  <w:num w:numId="23">
    <w:abstractNumId w:val="28"/>
  </w:num>
  <w:num w:numId="24">
    <w:abstractNumId w:val="16"/>
  </w:num>
  <w:num w:numId="25">
    <w:abstractNumId w:val="26"/>
  </w:num>
  <w:num w:numId="26">
    <w:abstractNumId w:val="17"/>
  </w:num>
  <w:num w:numId="27">
    <w:abstractNumId w:val="27"/>
  </w:num>
  <w:num w:numId="28">
    <w:abstractNumId w:val="5"/>
  </w:num>
  <w:num w:numId="29">
    <w:abstractNumId w:val="28"/>
    <w:lvlOverride w:ilvl="0">
      <w:startOverride w:val="1"/>
    </w:lvlOverride>
  </w:num>
  <w:num w:numId="30">
    <w:abstractNumId w:val="25"/>
    <w:lvlOverride w:ilvl="0">
      <w:startOverride w:val="1"/>
    </w:lvlOverride>
  </w:num>
  <w:num w:numId="31">
    <w:abstractNumId w:val="25"/>
    <w:lvlOverride w:ilvl="0">
      <w:startOverride w:val="1"/>
    </w:lvlOverride>
  </w:num>
  <w:num w:numId="32">
    <w:abstractNumId w:val="29"/>
  </w:num>
  <w:num w:numId="33">
    <w:abstractNumId w:val="3"/>
  </w:num>
  <w:num w:numId="34">
    <w:abstractNumId w:val="14"/>
  </w:num>
  <w:num w:numId="35">
    <w:abstractNumId w:val="2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Blyth">
    <w15:presenceInfo w15:providerId="AD" w15:userId="S-1-5-21-905479342-1514983418-1536837410-67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CIRS output styl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05e9rx03fdvrze5a555trdqz25tsfdstdpd&quot;&gt;Pneumo Main Library with PDF&lt;record-ids&gt;&lt;item&gt;994&lt;/item&gt;&lt;item&gt;1259&lt;/item&gt;&lt;/record-ids&gt;&lt;/item&gt;&lt;/Libraries&gt;"/>
  </w:docVars>
  <w:rsids>
    <w:rsidRoot w:val="008C4EF9"/>
    <w:rsid w:val="00003743"/>
    <w:rsid w:val="0000466F"/>
    <w:rsid w:val="00025E6D"/>
    <w:rsid w:val="000260E6"/>
    <w:rsid w:val="00035123"/>
    <w:rsid w:val="000426E7"/>
    <w:rsid w:val="0004502F"/>
    <w:rsid w:val="00045932"/>
    <w:rsid w:val="00067456"/>
    <w:rsid w:val="000738E3"/>
    <w:rsid w:val="00073F78"/>
    <w:rsid w:val="000935DA"/>
    <w:rsid w:val="000B10DE"/>
    <w:rsid w:val="000C33F1"/>
    <w:rsid w:val="000C67FD"/>
    <w:rsid w:val="000E0EE5"/>
    <w:rsid w:val="000F44E9"/>
    <w:rsid w:val="000F66F7"/>
    <w:rsid w:val="001020B2"/>
    <w:rsid w:val="0010353D"/>
    <w:rsid w:val="001100E0"/>
    <w:rsid w:val="00112254"/>
    <w:rsid w:val="00114AAA"/>
    <w:rsid w:val="00120010"/>
    <w:rsid w:val="0012720C"/>
    <w:rsid w:val="001324B0"/>
    <w:rsid w:val="00137826"/>
    <w:rsid w:val="001522A3"/>
    <w:rsid w:val="00157BA3"/>
    <w:rsid w:val="00160E18"/>
    <w:rsid w:val="001678EF"/>
    <w:rsid w:val="00175CF9"/>
    <w:rsid w:val="00182A0E"/>
    <w:rsid w:val="00186A97"/>
    <w:rsid w:val="0018750C"/>
    <w:rsid w:val="00187A57"/>
    <w:rsid w:val="0019704C"/>
    <w:rsid w:val="001A1F34"/>
    <w:rsid w:val="001A4E5D"/>
    <w:rsid w:val="001A688D"/>
    <w:rsid w:val="001A7B84"/>
    <w:rsid w:val="001B3443"/>
    <w:rsid w:val="001C054A"/>
    <w:rsid w:val="001C07A9"/>
    <w:rsid w:val="001E3B16"/>
    <w:rsid w:val="001E4B5D"/>
    <w:rsid w:val="001E69F5"/>
    <w:rsid w:val="001F14C6"/>
    <w:rsid w:val="001F7663"/>
    <w:rsid w:val="00205842"/>
    <w:rsid w:val="0020674E"/>
    <w:rsid w:val="00206EA1"/>
    <w:rsid w:val="00207CCB"/>
    <w:rsid w:val="002106D5"/>
    <w:rsid w:val="00212814"/>
    <w:rsid w:val="002154C8"/>
    <w:rsid w:val="00224826"/>
    <w:rsid w:val="00224834"/>
    <w:rsid w:val="002327E6"/>
    <w:rsid w:val="00236203"/>
    <w:rsid w:val="00246CBB"/>
    <w:rsid w:val="00250E38"/>
    <w:rsid w:val="00256A52"/>
    <w:rsid w:val="00256E70"/>
    <w:rsid w:val="00260776"/>
    <w:rsid w:val="00264247"/>
    <w:rsid w:val="00264D0F"/>
    <w:rsid w:val="002677FD"/>
    <w:rsid w:val="00294C5D"/>
    <w:rsid w:val="00297BE2"/>
    <w:rsid w:val="002A1C21"/>
    <w:rsid w:val="002B2144"/>
    <w:rsid w:val="002B567F"/>
    <w:rsid w:val="002B68BC"/>
    <w:rsid w:val="002B73B6"/>
    <w:rsid w:val="002C1B94"/>
    <w:rsid w:val="002C7AF4"/>
    <w:rsid w:val="002D5388"/>
    <w:rsid w:val="002D5435"/>
    <w:rsid w:val="002E598C"/>
    <w:rsid w:val="002E7376"/>
    <w:rsid w:val="002F3AE3"/>
    <w:rsid w:val="002F6DE1"/>
    <w:rsid w:val="00303FB9"/>
    <w:rsid w:val="00305468"/>
    <w:rsid w:val="0030786C"/>
    <w:rsid w:val="00313760"/>
    <w:rsid w:val="00322C6C"/>
    <w:rsid w:val="0032787F"/>
    <w:rsid w:val="003327E4"/>
    <w:rsid w:val="003356B4"/>
    <w:rsid w:val="00335A3F"/>
    <w:rsid w:val="00341AE4"/>
    <w:rsid w:val="0034507C"/>
    <w:rsid w:val="003460AB"/>
    <w:rsid w:val="003524FD"/>
    <w:rsid w:val="003553BF"/>
    <w:rsid w:val="00355D43"/>
    <w:rsid w:val="00372097"/>
    <w:rsid w:val="00372539"/>
    <w:rsid w:val="00373DCF"/>
    <w:rsid w:val="00380EBE"/>
    <w:rsid w:val="00385285"/>
    <w:rsid w:val="0038740A"/>
    <w:rsid w:val="00392945"/>
    <w:rsid w:val="003A74EA"/>
    <w:rsid w:val="003B0315"/>
    <w:rsid w:val="003C3B3C"/>
    <w:rsid w:val="003D17F9"/>
    <w:rsid w:val="003E1069"/>
    <w:rsid w:val="003E2366"/>
    <w:rsid w:val="003E4EEF"/>
    <w:rsid w:val="003F135B"/>
    <w:rsid w:val="003F73C6"/>
    <w:rsid w:val="003F7665"/>
    <w:rsid w:val="003F79D4"/>
    <w:rsid w:val="00406369"/>
    <w:rsid w:val="0041371B"/>
    <w:rsid w:val="00413C5D"/>
    <w:rsid w:val="0043707F"/>
    <w:rsid w:val="00453EEF"/>
    <w:rsid w:val="00461938"/>
    <w:rsid w:val="004747C4"/>
    <w:rsid w:val="004808DF"/>
    <w:rsid w:val="004867E2"/>
    <w:rsid w:val="00487EE9"/>
    <w:rsid w:val="004A6279"/>
    <w:rsid w:val="004A752A"/>
    <w:rsid w:val="004B1DF1"/>
    <w:rsid w:val="004C247C"/>
    <w:rsid w:val="004C4A80"/>
    <w:rsid w:val="004C69F7"/>
    <w:rsid w:val="004E5D25"/>
    <w:rsid w:val="005026AC"/>
    <w:rsid w:val="00504043"/>
    <w:rsid w:val="0050774B"/>
    <w:rsid w:val="0052041E"/>
    <w:rsid w:val="005231DD"/>
    <w:rsid w:val="005260FD"/>
    <w:rsid w:val="00527408"/>
    <w:rsid w:val="005560E2"/>
    <w:rsid w:val="00576468"/>
    <w:rsid w:val="00576F58"/>
    <w:rsid w:val="00577AC4"/>
    <w:rsid w:val="00581938"/>
    <w:rsid w:val="005850CB"/>
    <w:rsid w:val="00592A62"/>
    <w:rsid w:val="005A6F4A"/>
    <w:rsid w:val="005B1C8B"/>
    <w:rsid w:val="005B7AA7"/>
    <w:rsid w:val="005B7D7D"/>
    <w:rsid w:val="005D2C87"/>
    <w:rsid w:val="005D495F"/>
    <w:rsid w:val="005D5D94"/>
    <w:rsid w:val="005E4C63"/>
    <w:rsid w:val="005F61BE"/>
    <w:rsid w:val="005F6FFC"/>
    <w:rsid w:val="0060005A"/>
    <w:rsid w:val="00612FF5"/>
    <w:rsid w:val="00615B15"/>
    <w:rsid w:val="006178BD"/>
    <w:rsid w:val="00643275"/>
    <w:rsid w:val="006442E2"/>
    <w:rsid w:val="00656A90"/>
    <w:rsid w:val="00657A3D"/>
    <w:rsid w:val="0066400C"/>
    <w:rsid w:val="0067507E"/>
    <w:rsid w:val="006767A4"/>
    <w:rsid w:val="006767AD"/>
    <w:rsid w:val="0067755C"/>
    <w:rsid w:val="00684571"/>
    <w:rsid w:val="00696BC8"/>
    <w:rsid w:val="006A7FE7"/>
    <w:rsid w:val="006C1ECA"/>
    <w:rsid w:val="006C5720"/>
    <w:rsid w:val="006C5DA9"/>
    <w:rsid w:val="006D3E97"/>
    <w:rsid w:val="006E1819"/>
    <w:rsid w:val="006F1999"/>
    <w:rsid w:val="006F3631"/>
    <w:rsid w:val="006F7D16"/>
    <w:rsid w:val="007044F7"/>
    <w:rsid w:val="0070757D"/>
    <w:rsid w:val="00712898"/>
    <w:rsid w:val="00716802"/>
    <w:rsid w:val="00722CB0"/>
    <w:rsid w:val="00722DC4"/>
    <w:rsid w:val="00723A57"/>
    <w:rsid w:val="00737664"/>
    <w:rsid w:val="00741326"/>
    <w:rsid w:val="00750918"/>
    <w:rsid w:val="00751861"/>
    <w:rsid w:val="007536FF"/>
    <w:rsid w:val="00761099"/>
    <w:rsid w:val="0076686B"/>
    <w:rsid w:val="00780158"/>
    <w:rsid w:val="007851F3"/>
    <w:rsid w:val="0079567C"/>
    <w:rsid w:val="007A4308"/>
    <w:rsid w:val="007A70D9"/>
    <w:rsid w:val="007A733A"/>
    <w:rsid w:val="007A7A95"/>
    <w:rsid w:val="007C5B15"/>
    <w:rsid w:val="007C5E62"/>
    <w:rsid w:val="007C6867"/>
    <w:rsid w:val="007D2BD4"/>
    <w:rsid w:val="007D3FDD"/>
    <w:rsid w:val="007E4949"/>
    <w:rsid w:val="007E7F73"/>
    <w:rsid w:val="007F357E"/>
    <w:rsid w:val="007F6421"/>
    <w:rsid w:val="00802E2A"/>
    <w:rsid w:val="00804578"/>
    <w:rsid w:val="00813A3D"/>
    <w:rsid w:val="00817C8F"/>
    <w:rsid w:val="0082330A"/>
    <w:rsid w:val="00825130"/>
    <w:rsid w:val="00825B92"/>
    <w:rsid w:val="008264EB"/>
    <w:rsid w:val="00832A5E"/>
    <w:rsid w:val="008500B8"/>
    <w:rsid w:val="008509E6"/>
    <w:rsid w:val="00851907"/>
    <w:rsid w:val="008612BC"/>
    <w:rsid w:val="00862DE2"/>
    <w:rsid w:val="00865DEA"/>
    <w:rsid w:val="008724F1"/>
    <w:rsid w:val="00875A76"/>
    <w:rsid w:val="00875DB6"/>
    <w:rsid w:val="008776FD"/>
    <w:rsid w:val="008820CB"/>
    <w:rsid w:val="00887315"/>
    <w:rsid w:val="008874C5"/>
    <w:rsid w:val="00887A35"/>
    <w:rsid w:val="008925B4"/>
    <w:rsid w:val="00896090"/>
    <w:rsid w:val="008A7CEB"/>
    <w:rsid w:val="008B31F3"/>
    <w:rsid w:val="008B6F44"/>
    <w:rsid w:val="008C4EF9"/>
    <w:rsid w:val="008D31BD"/>
    <w:rsid w:val="008D432A"/>
    <w:rsid w:val="008D5B4F"/>
    <w:rsid w:val="008D6700"/>
    <w:rsid w:val="008F5FC8"/>
    <w:rsid w:val="008F6D36"/>
    <w:rsid w:val="008F6EFE"/>
    <w:rsid w:val="008F7F1D"/>
    <w:rsid w:val="00910C4F"/>
    <w:rsid w:val="00910E73"/>
    <w:rsid w:val="009113A7"/>
    <w:rsid w:val="00930E93"/>
    <w:rsid w:val="009350E8"/>
    <w:rsid w:val="00937320"/>
    <w:rsid w:val="0094769A"/>
    <w:rsid w:val="00956566"/>
    <w:rsid w:val="009660AD"/>
    <w:rsid w:val="00971DD4"/>
    <w:rsid w:val="00972E1A"/>
    <w:rsid w:val="009823DD"/>
    <w:rsid w:val="009826BA"/>
    <w:rsid w:val="00983CED"/>
    <w:rsid w:val="009869BA"/>
    <w:rsid w:val="0099004E"/>
    <w:rsid w:val="009948E7"/>
    <w:rsid w:val="00994AE8"/>
    <w:rsid w:val="009A0714"/>
    <w:rsid w:val="009A78ED"/>
    <w:rsid w:val="009B4924"/>
    <w:rsid w:val="009C649F"/>
    <w:rsid w:val="009D6F4A"/>
    <w:rsid w:val="009E147F"/>
    <w:rsid w:val="009E2333"/>
    <w:rsid w:val="009E332C"/>
    <w:rsid w:val="009F1C0A"/>
    <w:rsid w:val="009F7700"/>
    <w:rsid w:val="00A06E5F"/>
    <w:rsid w:val="00A11575"/>
    <w:rsid w:val="00A14A21"/>
    <w:rsid w:val="00A3526B"/>
    <w:rsid w:val="00A4512D"/>
    <w:rsid w:val="00A5108E"/>
    <w:rsid w:val="00A5128A"/>
    <w:rsid w:val="00A55403"/>
    <w:rsid w:val="00A6557E"/>
    <w:rsid w:val="00A705AF"/>
    <w:rsid w:val="00A70F96"/>
    <w:rsid w:val="00A86863"/>
    <w:rsid w:val="00A921DB"/>
    <w:rsid w:val="00A931FF"/>
    <w:rsid w:val="00AC592A"/>
    <w:rsid w:val="00AC5A9F"/>
    <w:rsid w:val="00AF06EA"/>
    <w:rsid w:val="00AF1539"/>
    <w:rsid w:val="00AF1B22"/>
    <w:rsid w:val="00AF2DDF"/>
    <w:rsid w:val="00B05C63"/>
    <w:rsid w:val="00B15F74"/>
    <w:rsid w:val="00B26FBE"/>
    <w:rsid w:val="00B33DF2"/>
    <w:rsid w:val="00B3650D"/>
    <w:rsid w:val="00B371F3"/>
    <w:rsid w:val="00B41670"/>
    <w:rsid w:val="00B42851"/>
    <w:rsid w:val="00B47646"/>
    <w:rsid w:val="00B538F8"/>
    <w:rsid w:val="00B61FBA"/>
    <w:rsid w:val="00B6318F"/>
    <w:rsid w:val="00B657A3"/>
    <w:rsid w:val="00B6750D"/>
    <w:rsid w:val="00B75829"/>
    <w:rsid w:val="00B809A3"/>
    <w:rsid w:val="00B81ACB"/>
    <w:rsid w:val="00B82838"/>
    <w:rsid w:val="00B83548"/>
    <w:rsid w:val="00B95041"/>
    <w:rsid w:val="00BA3368"/>
    <w:rsid w:val="00BA712E"/>
    <w:rsid w:val="00BA7E4E"/>
    <w:rsid w:val="00BB404B"/>
    <w:rsid w:val="00BB7086"/>
    <w:rsid w:val="00BB77DB"/>
    <w:rsid w:val="00BC48E6"/>
    <w:rsid w:val="00BD0156"/>
    <w:rsid w:val="00BD1328"/>
    <w:rsid w:val="00BD3555"/>
    <w:rsid w:val="00BD61FA"/>
    <w:rsid w:val="00C005BD"/>
    <w:rsid w:val="00C20303"/>
    <w:rsid w:val="00C24353"/>
    <w:rsid w:val="00C27481"/>
    <w:rsid w:val="00C31492"/>
    <w:rsid w:val="00C739A4"/>
    <w:rsid w:val="00C805A3"/>
    <w:rsid w:val="00C904CB"/>
    <w:rsid w:val="00C92008"/>
    <w:rsid w:val="00C95B41"/>
    <w:rsid w:val="00C96187"/>
    <w:rsid w:val="00CB5B1A"/>
    <w:rsid w:val="00CB63FE"/>
    <w:rsid w:val="00CC192A"/>
    <w:rsid w:val="00CC3FCC"/>
    <w:rsid w:val="00CC65DB"/>
    <w:rsid w:val="00CD0576"/>
    <w:rsid w:val="00CD3EC3"/>
    <w:rsid w:val="00CD5F7C"/>
    <w:rsid w:val="00CD6A3F"/>
    <w:rsid w:val="00CD6FC2"/>
    <w:rsid w:val="00CE1A84"/>
    <w:rsid w:val="00CE51B1"/>
    <w:rsid w:val="00CE5D46"/>
    <w:rsid w:val="00CF1A9D"/>
    <w:rsid w:val="00CF2597"/>
    <w:rsid w:val="00CF5841"/>
    <w:rsid w:val="00D02D1F"/>
    <w:rsid w:val="00D15D02"/>
    <w:rsid w:val="00D17C4D"/>
    <w:rsid w:val="00D21CFA"/>
    <w:rsid w:val="00D5129E"/>
    <w:rsid w:val="00D5164C"/>
    <w:rsid w:val="00D6041D"/>
    <w:rsid w:val="00D623EE"/>
    <w:rsid w:val="00D6304A"/>
    <w:rsid w:val="00D65E1A"/>
    <w:rsid w:val="00D67700"/>
    <w:rsid w:val="00D7497C"/>
    <w:rsid w:val="00D86A01"/>
    <w:rsid w:val="00D87D75"/>
    <w:rsid w:val="00D929BD"/>
    <w:rsid w:val="00D9344C"/>
    <w:rsid w:val="00D96AA9"/>
    <w:rsid w:val="00DD7F5B"/>
    <w:rsid w:val="00DE2AAC"/>
    <w:rsid w:val="00DE4A0B"/>
    <w:rsid w:val="00DE622B"/>
    <w:rsid w:val="00DF7437"/>
    <w:rsid w:val="00E039D5"/>
    <w:rsid w:val="00E04C04"/>
    <w:rsid w:val="00E13B8B"/>
    <w:rsid w:val="00E163A5"/>
    <w:rsid w:val="00E17A09"/>
    <w:rsid w:val="00E221C7"/>
    <w:rsid w:val="00E25EBD"/>
    <w:rsid w:val="00E36ACB"/>
    <w:rsid w:val="00E44C80"/>
    <w:rsid w:val="00E462DC"/>
    <w:rsid w:val="00E46E7F"/>
    <w:rsid w:val="00E536B7"/>
    <w:rsid w:val="00E5376C"/>
    <w:rsid w:val="00E60378"/>
    <w:rsid w:val="00E6269B"/>
    <w:rsid w:val="00E651EF"/>
    <w:rsid w:val="00E7595F"/>
    <w:rsid w:val="00E806E1"/>
    <w:rsid w:val="00E945D6"/>
    <w:rsid w:val="00E950B2"/>
    <w:rsid w:val="00EA25BE"/>
    <w:rsid w:val="00EA3A67"/>
    <w:rsid w:val="00EA7CE2"/>
    <w:rsid w:val="00EB11A4"/>
    <w:rsid w:val="00EB7E00"/>
    <w:rsid w:val="00EC0C7F"/>
    <w:rsid w:val="00EC70D6"/>
    <w:rsid w:val="00ED06FA"/>
    <w:rsid w:val="00ED5D4F"/>
    <w:rsid w:val="00ED7759"/>
    <w:rsid w:val="00EE2F00"/>
    <w:rsid w:val="00EE7CAD"/>
    <w:rsid w:val="00EF4AA5"/>
    <w:rsid w:val="00F00260"/>
    <w:rsid w:val="00F00E1F"/>
    <w:rsid w:val="00F218A8"/>
    <w:rsid w:val="00F25650"/>
    <w:rsid w:val="00F42F4D"/>
    <w:rsid w:val="00F43C64"/>
    <w:rsid w:val="00F52311"/>
    <w:rsid w:val="00F72109"/>
    <w:rsid w:val="00F7367F"/>
    <w:rsid w:val="00F86DA9"/>
    <w:rsid w:val="00F950C9"/>
    <w:rsid w:val="00F97637"/>
    <w:rsid w:val="00FA29A1"/>
    <w:rsid w:val="00FB543B"/>
    <w:rsid w:val="00FB7683"/>
    <w:rsid w:val="00FC18E4"/>
    <w:rsid w:val="00FC4615"/>
    <w:rsid w:val="00FE3D67"/>
    <w:rsid w:val="00FF1C7B"/>
    <w:rsid w:val="00FF2B55"/>
  </w:rsids>
  <m:mathPr>
    <m:mathFont m:val="Cambria Math"/>
    <m:brkBin m:val="before"/>
    <m:brkBinSub m:val="--"/>
    <m:smallFrac m:val="0"/>
    <m:dispDef/>
    <m:lMargin m:val="0"/>
    <m:rMargin m:val="0"/>
    <m:defJc m:val="centerGroup"/>
    <m:wrapIndent m:val="1440"/>
    <m:intLim m:val="subSup"/>
    <m:naryLim m:val="undOvr"/>
  </m:mathPr>
  <w:themeFontLang w:val="en-AU" w:eastAsia="ja-JP"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4E1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9D5"/>
    <w:pPr>
      <w:spacing w:before="120" w:line="259" w:lineRule="auto"/>
    </w:pPr>
    <w:rPr>
      <w:sz w:val="24"/>
      <w:szCs w:val="24"/>
    </w:rPr>
  </w:style>
  <w:style w:type="paragraph" w:styleId="Heading1">
    <w:name w:val="heading 1"/>
    <w:basedOn w:val="Normal"/>
    <w:next w:val="Normal"/>
    <w:link w:val="Heading1Char"/>
    <w:qFormat/>
    <w:rsid w:val="008509E6"/>
    <w:pPr>
      <w:keepNext/>
      <w:spacing w:before="360" w:after="240"/>
      <w:outlineLvl w:val="0"/>
    </w:pPr>
    <w:rPr>
      <w:rFonts w:cs="Arial"/>
      <w:b/>
      <w:bCs/>
      <w:kern w:val="28"/>
      <w:szCs w:val="32"/>
    </w:rPr>
  </w:style>
  <w:style w:type="paragraph" w:styleId="Heading2">
    <w:name w:val="heading 2"/>
    <w:basedOn w:val="ListParagraph"/>
    <w:next w:val="Normal"/>
    <w:link w:val="Heading2Char"/>
    <w:qFormat/>
    <w:rsid w:val="00CF1A9D"/>
    <w:pPr>
      <w:keepNext/>
      <w:numPr>
        <w:numId w:val="23"/>
      </w:numPr>
      <w:spacing w:before="360"/>
      <w:ind w:left="357" w:hanging="357"/>
      <w:outlineLvl w:val="1"/>
    </w:pPr>
    <w:rPr>
      <w:b/>
    </w:rPr>
  </w:style>
  <w:style w:type="paragraph" w:styleId="Heading3">
    <w:name w:val="heading 3"/>
    <w:basedOn w:val="Normal"/>
    <w:next w:val="Normal"/>
    <w:link w:val="Heading3Char1"/>
    <w:qFormat/>
    <w:rsid w:val="00CF1A9D"/>
    <w:pPr>
      <w:outlineLvl w:val="2"/>
    </w:pPr>
    <w:rPr>
      <w:b/>
    </w:rPr>
  </w:style>
  <w:style w:type="paragraph" w:styleId="Heading4">
    <w:name w:val="heading 4"/>
    <w:basedOn w:val="Normal"/>
    <w:next w:val="Normal"/>
    <w:link w:val="Heading4Char"/>
    <w:qFormat/>
    <w:rsid w:val="00CF1A9D"/>
    <w:pPr>
      <w:keepNext/>
      <w:spacing w:before="240" w:after="60"/>
      <w:outlineLvl w:val="3"/>
    </w:pPr>
    <w:rPr>
      <w:bCs/>
      <w:i/>
      <w:szCs w:val="28"/>
    </w:rPr>
  </w:style>
  <w:style w:type="paragraph" w:styleId="Heading5">
    <w:name w:val="heading 5"/>
    <w:next w:val="Normal"/>
    <w:link w:val="Heading5Char"/>
    <w:qFormat/>
    <w:rsid w:val="00CF1A9D"/>
    <w:pPr>
      <w:numPr>
        <w:numId w:val="28"/>
      </w:numPr>
      <w:spacing w:before="240" w:after="120"/>
      <w:ind w:left="1077" w:hanging="357"/>
      <w:outlineLvl w:val="4"/>
    </w:pPr>
    <w:rPr>
      <w:i/>
      <w:sz w:val="24"/>
      <w:szCs w:val="24"/>
    </w:rPr>
  </w:style>
  <w:style w:type="paragraph" w:styleId="Heading6">
    <w:name w:val="heading 6"/>
    <w:basedOn w:val="Normal"/>
    <w:next w:val="Normal"/>
    <w:link w:val="Heading6Char"/>
    <w:uiPriority w:val="9"/>
    <w:qFormat/>
    <w:rsid w:val="00A705AF"/>
    <w:pPr>
      <w:keepNext/>
      <w:spacing w:before="240" w:after="60"/>
      <w:outlineLvl w:val="5"/>
    </w:pPr>
    <w:rPr>
      <w:b/>
      <w:bCs/>
      <w:i/>
      <w:szCs w:val="22"/>
    </w:rPr>
  </w:style>
  <w:style w:type="paragraph" w:styleId="Heading7">
    <w:name w:val="heading 7"/>
    <w:basedOn w:val="Normal"/>
    <w:next w:val="Normal"/>
    <w:link w:val="Heading7Char"/>
    <w:uiPriority w:val="9"/>
    <w:semiHidden/>
    <w:unhideWhenUsed/>
    <w:qFormat/>
    <w:rsid w:val="002D5435"/>
    <w:pPr>
      <w:keepNext/>
      <w:keepLines/>
      <w:spacing w:before="200"/>
      <w:ind w:left="1296" w:hanging="1296"/>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unhideWhenUsed/>
    <w:qFormat/>
    <w:rsid w:val="002D5435"/>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5435"/>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Titletext"/>
    <w:next w:val="Normal"/>
    <w:link w:val="TitleChar"/>
    <w:qFormat/>
    <w:rsid w:val="00CF1A9D"/>
  </w:style>
  <w:style w:type="character" w:customStyle="1" w:styleId="TitleChar">
    <w:name w:val="Title Char"/>
    <w:basedOn w:val="DefaultParagraphFont"/>
    <w:link w:val="Title"/>
    <w:rsid w:val="00CF1A9D"/>
    <w:rPr>
      <w:b/>
      <w:sz w:val="24"/>
      <w:szCs w:val="26"/>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18750C"/>
    <w:pPr>
      <w:spacing w:after="120"/>
      <w:ind w:left="720"/>
    </w:pPr>
  </w:style>
  <w:style w:type="table" w:styleId="TableGrid">
    <w:name w:val="Table Grid"/>
    <w:basedOn w:val="TableNormal"/>
    <w:rsid w:val="008C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6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2D54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543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D5435"/>
    <w:rPr>
      <w:rFonts w:asciiTheme="majorHAnsi" w:eastAsiaTheme="majorEastAsia" w:hAnsiTheme="majorHAnsi" w:cstheme="majorBidi"/>
      <w:i/>
      <w:iCs/>
      <w:color w:val="404040" w:themeColor="text1" w:themeTint="BF"/>
    </w:rPr>
  </w:style>
  <w:style w:type="paragraph" w:customStyle="1" w:styleId="Bodytext-bullet">
    <w:name w:val="Body text - bullet"/>
    <w:basedOn w:val="Bodytext-indent"/>
    <w:link w:val="Bodytext-bulletChar"/>
    <w:qFormat/>
    <w:rsid w:val="002D5435"/>
    <w:pPr>
      <w:numPr>
        <w:numId w:val="3"/>
      </w:numPr>
      <w:ind w:left="357" w:hanging="357"/>
    </w:pPr>
  </w:style>
  <w:style w:type="paragraph" w:styleId="Header">
    <w:name w:val="header"/>
    <w:basedOn w:val="Normal"/>
    <w:link w:val="HeaderChar"/>
    <w:uiPriority w:val="99"/>
    <w:unhideWhenUsed/>
    <w:rsid w:val="002D5435"/>
    <w:pPr>
      <w:tabs>
        <w:tab w:val="center" w:pos="4513"/>
        <w:tab w:val="right" w:pos="9026"/>
      </w:tabs>
    </w:pPr>
    <w:rPr>
      <w:rFonts w:ascii="Times" w:hAnsi="Times"/>
      <w:sz w:val="20"/>
      <w:szCs w:val="20"/>
    </w:rPr>
  </w:style>
  <w:style w:type="character" w:customStyle="1" w:styleId="HeaderChar">
    <w:name w:val="Header Char"/>
    <w:basedOn w:val="DefaultParagraphFont"/>
    <w:link w:val="Header"/>
    <w:uiPriority w:val="99"/>
    <w:rsid w:val="002D5435"/>
    <w:rPr>
      <w:rFonts w:ascii="Times" w:hAnsi="Times"/>
    </w:rPr>
  </w:style>
  <w:style w:type="paragraph" w:styleId="Footer">
    <w:name w:val="footer"/>
    <w:basedOn w:val="Normal"/>
    <w:link w:val="FooterChar"/>
    <w:uiPriority w:val="99"/>
    <w:rsid w:val="008509E6"/>
    <w:pPr>
      <w:pBdr>
        <w:top w:val="single" w:sz="4" w:space="1" w:color="auto"/>
      </w:pBdr>
      <w:tabs>
        <w:tab w:val="center" w:pos="4513"/>
        <w:tab w:val="left" w:pos="4935"/>
        <w:tab w:val="right" w:pos="9026"/>
      </w:tabs>
      <w:spacing w:before="0"/>
    </w:pPr>
    <w:rPr>
      <w:rFonts w:ascii="Times" w:hAnsi="Times"/>
      <w:sz w:val="20"/>
      <w:szCs w:val="20"/>
    </w:rPr>
  </w:style>
  <w:style w:type="character" w:customStyle="1" w:styleId="FooterChar">
    <w:name w:val="Footer Char"/>
    <w:basedOn w:val="DefaultParagraphFont"/>
    <w:link w:val="Footer"/>
    <w:uiPriority w:val="99"/>
    <w:rsid w:val="008509E6"/>
    <w:rPr>
      <w:rFonts w:ascii="Times" w:hAnsi="Times"/>
    </w:rPr>
  </w:style>
  <w:style w:type="paragraph" w:styleId="BalloonText">
    <w:name w:val="Balloon Text"/>
    <w:basedOn w:val="Normal"/>
    <w:link w:val="BalloonTextChar"/>
    <w:unhideWhenUsed/>
    <w:rsid w:val="002D5435"/>
    <w:rPr>
      <w:rFonts w:ascii="Tahoma" w:hAnsi="Tahoma" w:cs="Tahoma"/>
      <w:sz w:val="16"/>
      <w:szCs w:val="16"/>
    </w:rPr>
  </w:style>
  <w:style w:type="character" w:customStyle="1" w:styleId="BalloonTextChar">
    <w:name w:val="Balloon Text Char"/>
    <w:basedOn w:val="DefaultParagraphFont"/>
    <w:link w:val="BalloonText"/>
    <w:rsid w:val="002D5435"/>
    <w:rPr>
      <w:rFonts w:ascii="Tahoma" w:hAnsi="Tahoma" w:cs="Tahoma"/>
      <w:sz w:val="16"/>
      <w:szCs w:val="16"/>
    </w:rPr>
  </w:style>
  <w:style w:type="table" w:customStyle="1" w:styleId="TableGrid1">
    <w:name w:val="Table Grid1"/>
    <w:basedOn w:val="TableNormal"/>
    <w:next w:val="TableGrid"/>
    <w:uiPriority w:val="59"/>
    <w:rsid w:val="002D5435"/>
    <w:rPr>
      <w:rFonts w:ascii="Times" w:eastAsiaTheme="minorHAnsi"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D5435"/>
    <w:pPr>
      <w:jc w:val="center"/>
    </w:pPr>
    <w:rPr>
      <w:rFonts w:ascii="Calibri" w:hAnsi="Calibri" w:cs="Calibri"/>
      <w:noProof/>
      <w:sz w:val="22"/>
      <w:szCs w:val="20"/>
      <w:lang w:val="en-US"/>
    </w:rPr>
  </w:style>
  <w:style w:type="character" w:customStyle="1" w:styleId="Bodytext-bulletChar">
    <w:name w:val="Body text - bullet Char"/>
    <w:basedOn w:val="DefaultParagraphFont"/>
    <w:link w:val="Bodytext-bullet"/>
    <w:rsid w:val="002D5435"/>
    <w:rPr>
      <w:noProof/>
      <w:sz w:val="22"/>
    </w:rPr>
  </w:style>
  <w:style w:type="character" w:customStyle="1" w:styleId="EndNoteBibliographyTitleChar">
    <w:name w:val="EndNote Bibliography Title Char"/>
    <w:basedOn w:val="Bodytext-bulletChar"/>
    <w:link w:val="EndNoteBibliographyTitle"/>
    <w:rsid w:val="002D5435"/>
    <w:rPr>
      <w:rFonts w:ascii="Calibri" w:hAnsi="Calibri" w:cs="Calibri"/>
      <w:noProof/>
      <w:sz w:val="22"/>
      <w:lang w:val="en-US"/>
    </w:rPr>
  </w:style>
  <w:style w:type="paragraph" w:customStyle="1" w:styleId="EndNoteBibliography">
    <w:name w:val="EndNote Bibliography"/>
    <w:basedOn w:val="Normal"/>
    <w:link w:val="EndNoteBibliographyChar"/>
    <w:rsid w:val="002D5435"/>
    <w:rPr>
      <w:rFonts w:ascii="Calibri" w:hAnsi="Calibri" w:cs="Calibri"/>
      <w:noProof/>
      <w:sz w:val="22"/>
      <w:szCs w:val="20"/>
      <w:lang w:val="en-US"/>
    </w:rPr>
  </w:style>
  <w:style w:type="character" w:customStyle="1" w:styleId="EndNoteBibliographyChar">
    <w:name w:val="EndNote Bibliography Char"/>
    <w:basedOn w:val="Bodytext-bulletChar"/>
    <w:link w:val="EndNoteBibliography"/>
    <w:rsid w:val="002D5435"/>
    <w:rPr>
      <w:rFonts w:ascii="Calibri" w:hAnsi="Calibri" w:cs="Calibri"/>
      <w:noProof/>
      <w:sz w:val="22"/>
      <w:lang w:val="en-US"/>
    </w:rPr>
  </w:style>
  <w:style w:type="character" w:styleId="Hyperlink">
    <w:name w:val="Hyperlink"/>
    <w:rsid w:val="002D5435"/>
    <w:rPr>
      <w:rFonts w:ascii="Times New Roman" w:hAnsi="Times New Roman"/>
      <w:color w:val="auto"/>
      <w:sz w:val="22"/>
      <w:u w:val="single"/>
    </w:rPr>
  </w:style>
  <w:style w:type="character" w:styleId="CommentReference">
    <w:name w:val="annotation reference"/>
    <w:basedOn w:val="DefaultParagraphFont"/>
    <w:unhideWhenUsed/>
    <w:rsid w:val="002D5435"/>
    <w:rPr>
      <w:sz w:val="16"/>
      <w:szCs w:val="16"/>
    </w:rPr>
  </w:style>
  <w:style w:type="paragraph" w:styleId="CommentText">
    <w:name w:val="annotation text"/>
    <w:basedOn w:val="Normal"/>
    <w:link w:val="CommentTextChar"/>
    <w:unhideWhenUsed/>
    <w:rsid w:val="004808DF"/>
    <w:pPr>
      <w:spacing w:line="240" w:lineRule="auto"/>
    </w:pPr>
    <w:rPr>
      <w:sz w:val="20"/>
      <w:szCs w:val="20"/>
    </w:rPr>
  </w:style>
  <w:style w:type="character" w:customStyle="1" w:styleId="CommentTextChar">
    <w:name w:val="Comment Text Char"/>
    <w:basedOn w:val="DefaultParagraphFont"/>
    <w:link w:val="CommentText"/>
    <w:rsid w:val="004808DF"/>
  </w:style>
  <w:style w:type="paragraph" w:styleId="CommentSubject">
    <w:name w:val="annotation subject"/>
    <w:basedOn w:val="Normal"/>
    <w:next w:val="CommentText"/>
    <w:link w:val="CommentSubjectChar"/>
    <w:unhideWhenUsed/>
    <w:rsid w:val="00DE622B"/>
    <w:rPr>
      <w:rFonts w:ascii="Times" w:hAnsi="Times"/>
      <w:b/>
      <w:bCs/>
      <w:sz w:val="20"/>
      <w:szCs w:val="20"/>
    </w:rPr>
  </w:style>
  <w:style w:type="character" w:customStyle="1" w:styleId="CommentSubjectChar">
    <w:name w:val="Comment Subject Char"/>
    <w:basedOn w:val="DefaultParagraphFont"/>
    <w:link w:val="CommentSubject"/>
    <w:rsid w:val="00DE622B"/>
    <w:rPr>
      <w:rFonts w:ascii="Times" w:hAnsi="Times"/>
      <w:b/>
      <w:bCs/>
    </w:rPr>
  </w:style>
  <w:style w:type="table" w:customStyle="1" w:styleId="TableGrid4">
    <w:name w:val="Table Grid4"/>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5435"/>
    <w:rPr>
      <w:rFonts w:ascii="Times" w:hAnsi="Times"/>
      <w:sz w:val="24"/>
      <w:szCs w:val="24"/>
    </w:rPr>
  </w:style>
  <w:style w:type="paragraph" w:styleId="NormalWeb">
    <w:name w:val="Normal (Web)"/>
    <w:basedOn w:val="Normal"/>
    <w:uiPriority w:val="99"/>
    <w:unhideWhenUsed/>
    <w:rsid w:val="002D5435"/>
    <w:pPr>
      <w:spacing w:before="100" w:beforeAutospacing="1" w:after="100" w:afterAutospacing="1"/>
    </w:pPr>
    <w:rPr>
      <w:rFonts w:eastAsiaTheme="minorEastAsia"/>
    </w:rPr>
  </w:style>
  <w:style w:type="character" w:customStyle="1" w:styleId="Heading1Char">
    <w:name w:val="Heading 1 Char"/>
    <w:basedOn w:val="DefaultParagraphFont"/>
    <w:link w:val="Heading1"/>
    <w:rsid w:val="008509E6"/>
    <w:rPr>
      <w:rFonts w:cs="Arial"/>
      <w:b/>
      <w:bCs/>
      <w:kern w:val="28"/>
      <w:sz w:val="24"/>
      <w:szCs w:val="32"/>
    </w:rPr>
  </w:style>
  <w:style w:type="character" w:customStyle="1" w:styleId="Heading2Char">
    <w:name w:val="Heading 2 Char"/>
    <w:basedOn w:val="DefaultParagraphFont"/>
    <w:link w:val="Heading2"/>
    <w:rsid w:val="00CF1A9D"/>
    <w:rPr>
      <w:b/>
      <w:sz w:val="24"/>
      <w:szCs w:val="24"/>
    </w:rPr>
  </w:style>
  <w:style w:type="character" w:customStyle="1" w:styleId="Heading3Char">
    <w:name w:val="Heading 3 Char"/>
    <w:basedOn w:val="DefaultParagraphFont"/>
    <w:rsid w:val="00E221C7"/>
    <w:rPr>
      <w:rFonts w:cs="Arial"/>
      <w:b/>
      <w:bCs/>
      <w:i/>
      <w:sz w:val="24"/>
      <w:szCs w:val="26"/>
    </w:rPr>
  </w:style>
  <w:style w:type="character" w:customStyle="1" w:styleId="Heading4Char">
    <w:name w:val="Heading 4 Char"/>
    <w:basedOn w:val="DefaultParagraphFont"/>
    <w:link w:val="Heading4"/>
    <w:rsid w:val="00CF1A9D"/>
    <w:rPr>
      <w:bCs/>
      <w:i/>
      <w:sz w:val="24"/>
      <w:szCs w:val="28"/>
    </w:rPr>
  </w:style>
  <w:style w:type="character" w:customStyle="1" w:styleId="Heading5Char">
    <w:name w:val="Heading 5 Char"/>
    <w:basedOn w:val="DefaultParagraphFont"/>
    <w:link w:val="Heading5"/>
    <w:rsid w:val="00CF1A9D"/>
    <w:rPr>
      <w:i/>
      <w:sz w:val="24"/>
      <w:szCs w:val="24"/>
    </w:rPr>
  </w:style>
  <w:style w:type="character" w:customStyle="1" w:styleId="Heading6Char">
    <w:name w:val="Heading 6 Char"/>
    <w:basedOn w:val="DefaultParagraphFont"/>
    <w:link w:val="Heading6"/>
    <w:uiPriority w:val="9"/>
    <w:rsid w:val="002D5435"/>
    <w:rPr>
      <w:b/>
      <w:bCs/>
      <w:i/>
      <w:sz w:val="24"/>
      <w:szCs w:val="22"/>
      <w:lang w:eastAsia="en-US"/>
    </w:rPr>
  </w:style>
  <w:style w:type="paragraph" w:customStyle="1" w:styleId="Tableheading">
    <w:name w:val="Table heading"/>
    <w:next w:val="Normal"/>
    <w:qFormat/>
    <w:rsid w:val="003F7665"/>
    <w:pPr>
      <w:spacing w:before="240" w:after="120"/>
    </w:pPr>
    <w:rPr>
      <w:rFonts w:cs="Arial"/>
      <w:bCs/>
      <w:sz w:val="22"/>
      <w:szCs w:val="26"/>
    </w:rPr>
  </w:style>
  <w:style w:type="paragraph" w:styleId="PlainText">
    <w:name w:val="Plain Text"/>
    <w:basedOn w:val="Normal"/>
    <w:link w:val="PlainTextChar"/>
    <w:uiPriority w:val="99"/>
    <w:rsid w:val="002D5435"/>
    <w:rPr>
      <w:rFonts w:ascii="Consolas" w:hAnsi="Consolas"/>
      <w:sz w:val="21"/>
      <w:szCs w:val="21"/>
    </w:rPr>
  </w:style>
  <w:style w:type="character" w:customStyle="1" w:styleId="PlainTextChar">
    <w:name w:val="Plain Text Char"/>
    <w:basedOn w:val="DefaultParagraphFont"/>
    <w:link w:val="PlainText"/>
    <w:uiPriority w:val="99"/>
    <w:rsid w:val="002D5435"/>
    <w:rPr>
      <w:rFonts w:ascii="Consolas" w:hAnsi="Consolas"/>
      <w:sz w:val="21"/>
      <w:szCs w:val="21"/>
    </w:rPr>
  </w:style>
  <w:style w:type="paragraph" w:styleId="BodyText">
    <w:name w:val="Body Text"/>
    <w:link w:val="BodyTextChar"/>
    <w:rsid w:val="002D5435"/>
    <w:pPr>
      <w:spacing w:after="120" w:line="259" w:lineRule="auto"/>
    </w:pPr>
    <w:rPr>
      <w:sz w:val="22"/>
    </w:rPr>
  </w:style>
  <w:style w:type="character" w:customStyle="1" w:styleId="BodyTextChar">
    <w:name w:val="Body Text Char"/>
    <w:basedOn w:val="DefaultParagraphFont"/>
    <w:link w:val="BodyText"/>
    <w:rsid w:val="002D5435"/>
    <w:rPr>
      <w:sz w:val="22"/>
    </w:rPr>
  </w:style>
  <w:style w:type="paragraph" w:styleId="TOC1">
    <w:name w:val="toc 1"/>
    <w:next w:val="BodyText"/>
    <w:uiPriority w:val="39"/>
    <w:unhideWhenUsed/>
    <w:rsid w:val="002D5435"/>
    <w:pPr>
      <w:spacing w:after="100"/>
      <w:ind w:left="284" w:right="284" w:hanging="284"/>
    </w:pPr>
    <w:rPr>
      <w:sz w:val="22"/>
    </w:rPr>
  </w:style>
  <w:style w:type="paragraph" w:styleId="TOC2">
    <w:name w:val="toc 2"/>
    <w:next w:val="BodyText"/>
    <w:uiPriority w:val="39"/>
    <w:unhideWhenUsed/>
    <w:rsid w:val="002D5435"/>
    <w:pPr>
      <w:spacing w:after="100"/>
      <w:ind w:left="709" w:right="284" w:hanging="425"/>
    </w:pPr>
    <w:rPr>
      <w:sz w:val="22"/>
    </w:rPr>
  </w:style>
  <w:style w:type="paragraph" w:styleId="TOC3">
    <w:name w:val="toc 3"/>
    <w:next w:val="BodyText"/>
    <w:uiPriority w:val="39"/>
    <w:unhideWhenUsed/>
    <w:rsid w:val="002D5435"/>
    <w:pPr>
      <w:spacing w:after="100"/>
      <w:ind w:left="1276" w:hanging="709"/>
    </w:pPr>
    <w:rPr>
      <w:sz w:val="22"/>
    </w:rPr>
  </w:style>
  <w:style w:type="paragraph" w:customStyle="1" w:styleId="Figureheading">
    <w:name w:val="Figure heading"/>
    <w:next w:val="Normal"/>
    <w:qFormat/>
    <w:rsid w:val="007E7F73"/>
    <w:pPr>
      <w:keepNext/>
      <w:tabs>
        <w:tab w:val="left" w:pos="1134"/>
      </w:tabs>
      <w:spacing w:before="240" w:after="240"/>
      <w:ind w:left="1134" w:hanging="1134"/>
    </w:pPr>
    <w:rPr>
      <w:b/>
      <w:sz w:val="22"/>
    </w:rPr>
  </w:style>
  <w:style w:type="paragraph" w:customStyle="1" w:styleId="References">
    <w:name w:val="References"/>
    <w:qFormat/>
    <w:rsid w:val="002D5435"/>
    <w:pPr>
      <w:tabs>
        <w:tab w:val="left" w:pos="567"/>
      </w:tabs>
      <w:ind w:left="567" w:hanging="567"/>
    </w:pPr>
    <w:rPr>
      <w:sz w:val="22"/>
    </w:rPr>
  </w:style>
  <w:style w:type="paragraph" w:styleId="TableofFigures">
    <w:name w:val="table of figures"/>
    <w:basedOn w:val="Normal"/>
    <w:next w:val="Normal"/>
    <w:uiPriority w:val="99"/>
    <w:rsid w:val="002D5435"/>
    <w:pPr>
      <w:tabs>
        <w:tab w:val="left" w:pos="1021"/>
        <w:tab w:val="right" w:leader="dot" w:pos="9639"/>
      </w:tabs>
      <w:spacing w:after="120"/>
      <w:ind w:left="1021" w:right="284" w:hanging="1021"/>
    </w:pPr>
    <w:rPr>
      <w:rFonts w:cs="Arial"/>
      <w:noProof/>
      <w:sz w:val="22"/>
      <w:szCs w:val="20"/>
    </w:rPr>
  </w:style>
  <w:style w:type="numbering" w:customStyle="1" w:styleId="Style12">
    <w:name w:val="Style12"/>
    <w:rsid w:val="002D5435"/>
    <w:pPr>
      <w:numPr>
        <w:numId w:val="4"/>
      </w:numPr>
    </w:pPr>
  </w:style>
  <w:style w:type="numbering" w:customStyle="1" w:styleId="111ATAGIWPreportheading3">
    <w:name w:val="1.1.1 ATAGI WP report heading 3"/>
    <w:basedOn w:val="NoList"/>
    <w:rsid w:val="002D5435"/>
    <w:pPr>
      <w:numPr>
        <w:numId w:val="5"/>
      </w:numPr>
    </w:pPr>
  </w:style>
  <w:style w:type="numbering" w:customStyle="1" w:styleId="1111ATAGIWPreportheading4">
    <w:name w:val="1.1.1.1 ATAGI WP report heading 4"/>
    <w:basedOn w:val="NoList"/>
    <w:rsid w:val="002D5435"/>
    <w:pPr>
      <w:numPr>
        <w:numId w:val="6"/>
      </w:numPr>
    </w:pPr>
  </w:style>
  <w:style w:type="numbering" w:customStyle="1" w:styleId="WPReportTemplate">
    <w:name w:val="WP Report Template"/>
    <w:uiPriority w:val="99"/>
    <w:rsid w:val="002D5435"/>
    <w:pPr>
      <w:numPr>
        <w:numId w:val="7"/>
      </w:numPr>
    </w:pPr>
  </w:style>
  <w:style w:type="paragraph" w:customStyle="1" w:styleId="Bodytext-indent">
    <w:name w:val="Body text - indent"/>
    <w:basedOn w:val="BodyText"/>
    <w:qFormat/>
    <w:rsid w:val="007A7A95"/>
    <w:pPr>
      <w:tabs>
        <w:tab w:val="left" w:pos="357"/>
      </w:tabs>
      <w:spacing w:before="120"/>
      <w:ind w:left="714" w:hanging="357"/>
    </w:pPr>
    <w:rPr>
      <w:noProof/>
      <w:sz w:val="20"/>
    </w:rPr>
  </w:style>
  <w:style w:type="paragraph" w:customStyle="1" w:styleId="Bodytext-numberedlist">
    <w:name w:val="Body text - numbered list"/>
    <w:qFormat/>
    <w:rsid w:val="003F7665"/>
    <w:pPr>
      <w:numPr>
        <w:numId w:val="8"/>
      </w:numPr>
      <w:spacing w:after="120" w:line="259" w:lineRule="auto"/>
      <w:ind w:left="1077" w:hanging="357"/>
    </w:pPr>
    <w:rPr>
      <w:sz w:val="24"/>
    </w:rPr>
  </w:style>
  <w:style w:type="paragraph" w:styleId="BodyTextIndent">
    <w:name w:val="Body Text Indent"/>
    <w:basedOn w:val="Normal"/>
    <w:link w:val="BodyTextIndentChar"/>
    <w:uiPriority w:val="99"/>
    <w:unhideWhenUsed/>
    <w:rsid w:val="002D5435"/>
    <w:pPr>
      <w:spacing w:after="120"/>
      <w:ind w:left="283"/>
    </w:pPr>
    <w:rPr>
      <w:rFonts w:ascii="Times" w:hAnsi="Times"/>
      <w:sz w:val="20"/>
      <w:szCs w:val="20"/>
    </w:rPr>
  </w:style>
  <w:style w:type="character" w:customStyle="1" w:styleId="BodyTextIndentChar">
    <w:name w:val="Body Text Indent Char"/>
    <w:basedOn w:val="DefaultParagraphFont"/>
    <w:link w:val="BodyTextIndent"/>
    <w:uiPriority w:val="99"/>
    <w:rsid w:val="002D5435"/>
    <w:rPr>
      <w:rFonts w:ascii="Times" w:hAnsi="Times"/>
    </w:rPr>
  </w:style>
  <w:style w:type="paragraph" w:customStyle="1" w:styleId="Titlepageblueboxtext">
    <w:name w:val="Title page blue box text"/>
    <w:qFormat/>
    <w:rsid w:val="002D5435"/>
    <w:pPr>
      <w:keepNext/>
      <w:tabs>
        <w:tab w:val="left" w:pos="851"/>
      </w:tabs>
      <w:spacing w:before="600" w:after="240"/>
      <w:jc w:val="center"/>
      <w:outlineLvl w:val="0"/>
    </w:pPr>
    <w:rPr>
      <w:b/>
      <w:bCs/>
      <w:iCs/>
      <w:color w:val="FFFFFF" w:themeColor="background1"/>
      <w:sz w:val="44"/>
      <w:szCs w:val="28"/>
    </w:rPr>
  </w:style>
  <w:style w:type="paragraph" w:customStyle="1" w:styleId="Titlepagepreparedbytext">
    <w:name w:val="Title page prepared by text"/>
    <w:rsid w:val="002D5435"/>
    <w:pPr>
      <w:spacing w:before="120" w:after="120"/>
      <w:jc w:val="center"/>
    </w:pPr>
    <w:rPr>
      <w:b/>
      <w:sz w:val="32"/>
      <w:szCs w:val="26"/>
    </w:rPr>
  </w:style>
  <w:style w:type="paragraph" w:customStyle="1" w:styleId="Tabletext">
    <w:name w:val="Table text"/>
    <w:qFormat/>
    <w:rsid w:val="00B371F3"/>
    <w:pPr>
      <w:spacing w:before="60" w:after="60"/>
    </w:pPr>
    <w:rPr>
      <w:lang w:val="en-US" w:eastAsia="ja-JP"/>
    </w:rPr>
  </w:style>
  <w:style w:type="paragraph" w:customStyle="1" w:styleId="Abbreviationslist-tabbed">
    <w:name w:val="Abbreviations list - tabbed"/>
    <w:rsid w:val="002D5435"/>
    <w:pPr>
      <w:tabs>
        <w:tab w:val="left" w:pos="2268"/>
      </w:tabs>
      <w:spacing w:after="120"/>
      <w:ind w:left="2268" w:hanging="2268"/>
    </w:pPr>
    <w:rPr>
      <w:sz w:val="22"/>
    </w:rPr>
  </w:style>
  <w:style w:type="paragraph" w:customStyle="1" w:styleId="Appendixheadings">
    <w:name w:val="Appendix headings"/>
    <w:next w:val="Normal"/>
    <w:rsid w:val="002D5435"/>
    <w:pPr>
      <w:numPr>
        <w:numId w:val="9"/>
      </w:numPr>
      <w:tabs>
        <w:tab w:val="left" w:pos="357"/>
      </w:tabs>
      <w:spacing w:before="240" w:after="120"/>
      <w:ind w:left="357" w:hanging="357"/>
    </w:pPr>
    <w:rPr>
      <w:rFonts w:ascii="Arial" w:hAnsi="Arial"/>
      <w:b/>
      <w:sz w:val="24"/>
    </w:rPr>
  </w:style>
  <w:style w:type="paragraph" w:customStyle="1" w:styleId="Summaryboxbullettext">
    <w:name w:val="Summary box bullet text"/>
    <w:qFormat/>
    <w:rsid w:val="002D5435"/>
    <w:pPr>
      <w:numPr>
        <w:numId w:val="10"/>
      </w:numPr>
      <w:tabs>
        <w:tab w:val="left" w:pos="357"/>
      </w:tabs>
      <w:spacing w:after="120"/>
      <w:ind w:left="357" w:hanging="357"/>
    </w:pPr>
    <w:rPr>
      <w:sz w:val="22"/>
    </w:rPr>
  </w:style>
  <w:style w:type="character" w:customStyle="1" w:styleId="CommentTextChar1">
    <w:name w:val="Comment Text Char1"/>
    <w:aliases w:val="Comment Text Char Char, Char2 Char Char,Char2 Char Char,Char2 Char1 Char1"/>
    <w:semiHidden/>
    <w:rsid w:val="002D5435"/>
    <w:rPr>
      <w:rFonts w:ascii="Univers (W1)" w:hAnsi="Univers (W1)"/>
      <w:lang w:val="en-AU" w:eastAsia="en-AU" w:bidi="ar-SA"/>
    </w:rPr>
  </w:style>
  <w:style w:type="paragraph" w:customStyle="1" w:styleId="Summaryboxheading">
    <w:name w:val="Summary box heading"/>
    <w:basedOn w:val="Normal"/>
    <w:qFormat/>
    <w:rsid w:val="002D5435"/>
    <w:pPr>
      <w:spacing w:after="120"/>
    </w:pPr>
    <w:rPr>
      <w:rFonts w:ascii="Arial" w:hAnsi="Arial"/>
      <w:szCs w:val="20"/>
    </w:rPr>
  </w:style>
  <w:style w:type="paragraph" w:customStyle="1" w:styleId="Tablecolumnheading">
    <w:name w:val="Table column heading"/>
    <w:qFormat/>
    <w:rsid w:val="00C27481"/>
    <w:pPr>
      <w:spacing w:before="60" w:after="60"/>
      <w:jc w:val="center"/>
    </w:pPr>
    <w:rPr>
      <w:b/>
      <w:color w:val="FFFFFF" w:themeColor="background1"/>
    </w:rPr>
  </w:style>
  <w:style w:type="paragraph" w:customStyle="1" w:styleId="Tablefootnote">
    <w:name w:val="Table footnote"/>
    <w:qFormat/>
    <w:rsid w:val="00B371F3"/>
    <w:pPr>
      <w:tabs>
        <w:tab w:val="left" w:pos="284"/>
      </w:tabs>
      <w:spacing w:before="60"/>
      <w:ind w:left="284" w:hanging="284"/>
    </w:pPr>
    <w:rPr>
      <w:sz w:val="16"/>
      <w:lang w:val="en-US" w:eastAsia="ja-JP"/>
    </w:rPr>
  </w:style>
  <w:style w:type="paragraph" w:customStyle="1" w:styleId="Titletext">
    <w:name w:val="Title text"/>
    <w:rsid w:val="008509E6"/>
    <w:pPr>
      <w:spacing w:before="240"/>
      <w:jc w:val="center"/>
    </w:pPr>
    <w:rPr>
      <w:b/>
      <w:sz w:val="24"/>
      <w:szCs w:val="26"/>
    </w:rPr>
  </w:style>
  <w:style w:type="paragraph" w:customStyle="1" w:styleId="Executivesummary">
    <w:name w:val="Executive summary"/>
    <w:basedOn w:val="BodyText"/>
    <w:qFormat/>
    <w:rsid w:val="002D5435"/>
    <w:pPr>
      <w:pBdr>
        <w:top w:val="single" w:sz="4" w:space="6" w:color="auto"/>
        <w:left w:val="single" w:sz="4" w:space="4" w:color="auto"/>
        <w:bottom w:val="single" w:sz="4" w:space="6" w:color="auto"/>
        <w:right w:val="single" w:sz="4" w:space="4" w:color="auto"/>
      </w:pBdr>
    </w:pPr>
  </w:style>
  <w:style w:type="paragraph" w:customStyle="1" w:styleId="BodyText1">
    <w:name w:val="Body Text1"/>
    <w:qFormat/>
    <w:rsid w:val="002D5435"/>
    <w:pPr>
      <w:spacing w:after="120"/>
    </w:pPr>
    <w:rPr>
      <w:sz w:val="22"/>
    </w:rPr>
  </w:style>
  <w:style w:type="table" w:styleId="LightGrid-Accent6">
    <w:name w:val="Light Grid Accent 6"/>
    <w:basedOn w:val="TableNormal"/>
    <w:uiPriority w:val="62"/>
    <w:rsid w:val="003C3B3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HBTablefootnote">
    <w:name w:val="HB Table footnote"/>
    <w:basedOn w:val="Normal"/>
    <w:next w:val="Normal"/>
    <w:link w:val="HBTablefootnoteChar"/>
    <w:rsid w:val="0060005A"/>
    <w:pPr>
      <w:tabs>
        <w:tab w:val="left" w:pos="284"/>
      </w:tabs>
      <w:spacing w:before="60"/>
      <w:ind w:left="284" w:hanging="284"/>
    </w:pPr>
    <w:rPr>
      <w:sz w:val="16"/>
      <w:szCs w:val="20"/>
    </w:rPr>
  </w:style>
  <w:style w:type="character" w:customStyle="1" w:styleId="HBTablefootnoteChar">
    <w:name w:val="HB Table footnote Char"/>
    <w:link w:val="HBTablefootnote"/>
    <w:rsid w:val="0060005A"/>
    <w:rPr>
      <w:sz w:val="16"/>
    </w:rPr>
  </w:style>
  <w:style w:type="paragraph" w:customStyle="1" w:styleId="StyleTableheadingBoldItalic">
    <w:name w:val="Style Table heading + Bold Italic"/>
    <w:basedOn w:val="Tableheading"/>
    <w:rsid w:val="001A4E5D"/>
    <w:pPr>
      <w:spacing w:before="360"/>
    </w:pPr>
    <w:rPr>
      <w:b/>
      <w:i/>
      <w:iCs/>
    </w:rPr>
  </w:style>
  <w:style w:type="character" w:styleId="FollowedHyperlink">
    <w:name w:val="FollowedHyperlink"/>
    <w:basedOn w:val="DefaultParagraphFont"/>
    <w:semiHidden/>
    <w:unhideWhenUsed/>
    <w:rsid w:val="009660AD"/>
    <w:rPr>
      <w:color w:val="800080" w:themeColor="followedHyperlink"/>
      <w:u w:val="single"/>
    </w:rPr>
  </w:style>
  <w:style w:type="character" w:customStyle="1" w:styleId="Heading3Char1">
    <w:name w:val="Heading 3 Char1"/>
    <w:basedOn w:val="DefaultParagraphFont"/>
    <w:link w:val="Heading3"/>
    <w:rsid w:val="00CF1A9D"/>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9D5"/>
    <w:pPr>
      <w:spacing w:before="120" w:line="259" w:lineRule="auto"/>
    </w:pPr>
    <w:rPr>
      <w:sz w:val="24"/>
      <w:szCs w:val="24"/>
    </w:rPr>
  </w:style>
  <w:style w:type="paragraph" w:styleId="Heading1">
    <w:name w:val="heading 1"/>
    <w:basedOn w:val="Normal"/>
    <w:next w:val="Normal"/>
    <w:link w:val="Heading1Char"/>
    <w:qFormat/>
    <w:rsid w:val="008509E6"/>
    <w:pPr>
      <w:keepNext/>
      <w:spacing w:before="360" w:after="240"/>
      <w:outlineLvl w:val="0"/>
    </w:pPr>
    <w:rPr>
      <w:rFonts w:cs="Arial"/>
      <w:b/>
      <w:bCs/>
      <w:kern w:val="28"/>
      <w:szCs w:val="32"/>
    </w:rPr>
  </w:style>
  <w:style w:type="paragraph" w:styleId="Heading2">
    <w:name w:val="heading 2"/>
    <w:basedOn w:val="ListParagraph"/>
    <w:next w:val="Normal"/>
    <w:link w:val="Heading2Char"/>
    <w:qFormat/>
    <w:rsid w:val="00CF1A9D"/>
    <w:pPr>
      <w:keepNext/>
      <w:numPr>
        <w:numId w:val="23"/>
      </w:numPr>
      <w:spacing w:before="360"/>
      <w:ind w:left="357" w:hanging="357"/>
      <w:outlineLvl w:val="1"/>
    </w:pPr>
    <w:rPr>
      <w:b/>
    </w:rPr>
  </w:style>
  <w:style w:type="paragraph" w:styleId="Heading3">
    <w:name w:val="heading 3"/>
    <w:basedOn w:val="Normal"/>
    <w:next w:val="Normal"/>
    <w:link w:val="Heading3Char1"/>
    <w:qFormat/>
    <w:rsid w:val="00CF1A9D"/>
    <w:pPr>
      <w:outlineLvl w:val="2"/>
    </w:pPr>
    <w:rPr>
      <w:b/>
    </w:rPr>
  </w:style>
  <w:style w:type="paragraph" w:styleId="Heading4">
    <w:name w:val="heading 4"/>
    <w:basedOn w:val="Normal"/>
    <w:next w:val="Normal"/>
    <w:link w:val="Heading4Char"/>
    <w:qFormat/>
    <w:rsid w:val="00CF1A9D"/>
    <w:pPr>
      <w:keepNext/>
      <w:spacing w:before="240" w:after="60"/>
      <w:outlineLvl w:val="3"/>
    </w:pPr>
    <w:rPr>
      <w:bCs/>
      <w:i/>
      <w:szCs w:val="28"/>
    </w:rPr>
  </w:style>
  <w:style w:type="paragraph" w:styleId="Heading5">
    <w:name w:val="heading 5"/>
    <w:next w:val="Normal"/>
    <w:link w:val="Heading5Char"/>
    <w:qFormat/>
    <w:rsid w:val="00CF1A9D"/>
    <w:pPr>
      <w:numPr>
        <w:numId w:val="28"/>
      </w:numPr>
      <w:spacing w:before="240" w:after="120"/>
      <w:ind w:left="1077" w:hanging="357"/>
      <w:outlineLvl w:val="4"/>
    </w:pPr>
    <w:rPr>
      <w:i/>
      <w:sz w:val="24"/>
      <w:szCs w:val="24"/>
    </w:rPr>
  </w:style>
  <w:style w:type="paragraph" w:styleId="Heading6">
    <w:name w:val="heading 6"/>
    <w:basedOn w:val="Normal"/>
    <w:next w:val="Normal"/>
    <w:link w:val="Heading6Char"/>
    <w:uiPriority w:val="9"/>
    <w:qFormat/>
    <w:rsid w:val="00A705AF"/>
    <w:pPr>
      <w:keepNext/>
      <w:spacing w:before="240" w:after="60"/>
      <w:outlineLvl w:val="5"/>
    </w:pPr>
    <w:rPr>
      <w:b/>
      <w:bCs/>
      <w:i/>
      <w:szCs w:val="22"/>
    </w:rPr>
  </w:style>
  <w:style w:type="paragraph" w:styleId="Heading7">
    <w:name w:val="heading 7"/>
    <w:basedOn w:val="Normal"/>
    <w:next w:val="Normal"/>
    <w:link w:val="Heading7Char"/>
    <w:uiPriority w:val="9"/>
    <w:semiHidden/>
    <w:unhideWhenUsed/>
    <w:qFormat/>
    <w:rsid w:val="002D5435"/>
    <w:pPr>
      <w:keepNext/>
      <w:keepLines/>
      <w:spacing w:before="200"/>
      <w:ind w:left="1296" w:hanging="1296"/>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unhideWhenUsed/>
    <w:qFormat/>
    <w:rsid w:val="002D5435"/>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5435"/>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Titletext"/>
    <w:next w:val="Normal"/>
    <w:link w:val="TitleChar"/>
    <w:qFormat/>
    <w:rsid w:val="00CF1A9D"/>
  </w:style>
  <w:style w:type="character" w:customStyle="1" w:styleId="TitleChar">
    <w:name w:val="Title Char"/>
    <w:basedOn w:val="DefaultParagraphFont"/>
    <w:link w:val="Title"/>
    <w:rsid w:val="00CF1A9D"/>
    <w:rPr>
      <w:b/>
      <w:sz w:val="24"/>
      <w:szCs w:val="26"/>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18750C"/>
    <w:pPr>
      <w:spacing w:after="120"/>
      <w:ind w:left="720"/>
    </w:pPr>
  </w:style>
  <w:style w:type="table" w:styleId="TableGrid">
    <w:name w:val="Table Grid"/>
    <w:basedOn w:val="TableNormal"/>
    <w:rsid w:val="008C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6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2D54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543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D5435"/>
    <w:rPr>
      <w:rFonts w:asciiTheme="majorHAnsi" w:eastAsiaTheme="majorEastAsia" w:hAnsiTheme="majorHAnsi" w:cstheme="majorBidi"/>
      <w:i/>
      <w:iCs/>
      <w:color w:val="404040" w:themeColor="text1" w:themeTint="BF"/>
    </w:rPr>
  </w:style>
  <w:style w:type="paragraph" w:customStyle="1" w:styleId="Bodytext-bullet">
    <w:name w:val="Body text - bullet"/>
    <w:basedOn w:val="Bodytext-indent"/>
    <w:link w:val="Bodytext-bulletChar"/>
    <w:qFormat/>
    <w:rsid w:val="002D5435"/>
    <w:pPr>
      <w:numPr>
        <w:numId w:val="3"/>
      </w:numPr>
      <w:ind w:left="357" w:hanging="357"/>
    </w:pPr>
  </w:style>
  <w:style w:type="paragraph" w:styleId="Header">
    <w:name w:val="header"/>
    <w:basedOn w:val="Normal"/>
    <w:link w:val="HeaderChar"/>
    <w:uiPriority w:val="99"/>
    <w:unhideWhenUsed/>
    <w:rsid w:val="002D5435"/>
    <w:pPr>
      <w:tabs>
        <w:tab w:val="center" w:pos="4513"/>
        <w:tab w:val="right" w:pos="9026"/>
      </w:tabs>
    </w:pPr>
    <w:rPr>
      <w:rFonts w:ascii="Times" w:hAnsi="Times"/>
      <w:sz w:val="20"/>
      <w:szCs w:val="20"/>
    </w:rPr>
  </w:style>
  <w:style w:type="character" w:customStyle="1" w:styleId="HeaderChar">
    <w:name w:val="Header Char"/>
    <w:basedOn w:val="DefaultParagraphFont"/>
    <w:link w:val="Header"/>
    <w:uiPriority w:val="99"/>
    <w:rsid w:val="002D5435"/>
    <w:rPr>
      <w:rFonts w:ascii="Times" w:hAnsi="Times"/>
    </w:rPr>
  </w:style>
  <w:style w:type="paragraph" w:styleId="Footer">
    <w:name w:val="footer"/>
    <w:basedOn w:val="Normal"/>
    <w:link w:val="FooterChar"/>
    <w:uiPriority w:val="99"/>
    <w:rsid w:val="008509E6"/>
    <w:pPr>
      <w:pBdr>
        <w:top w:val="single" w:sz="4" w:space="1" w:color="auto"/>
      </w:pBdr>
      <w:tabs>
        <w:tab w:val="center" w:pos="4513"/>
        <w:tab w:val="left" w:pos="4935"/>
        <w:tab w:val="right" w:pos="9026"/>
      </w:tabs>
      <w:spacing w:before="0"/>
    </w:pPr>
    <w:rPr>
      <w:rFonts w:ascii="Times" w:hAnsi="Times"/>
      <w:sz w:val="20"/>
      <w:szCs w:val="20"/>
    </w:rPr>
  </w:style>
  <w:style w:type="character" w:customStyle="1" w:styleId="FooterChar">
    <w:name w:val="Footer Char"/>
    <w:basedOn w:val="DefaultParagraphFont"/>
    <w:link w:val="Footer"/>
    <w:uiPriority w:val="99"/>
    <w:rsid w:val="008509E6"/>
    <w:rPr>
      <w:rFonts w:ascii="Times" w:hAnsi="Times"/>
    </w:rPr>
  </w:style>
  <w:style w:type="paragraph" w:styleId="BalloonText">
    <w:name w:val="Balloon Text"/>
    <w:basedOn w:val="Normal"/>
    <w:link w:val="BalloonTextChar"/>
    <w:unhideWhenUsed/>
    <w:rsid w:val="002D5435"/>
    <w:rPr>
      <w:rFonts w:ascii="Tahoma" w:hAnsi="Tahoma" w:cs="Tahoma"/>
      <w:sz w:val="16"/>
      <w:szCs w:val="16"/>
    </w:rPr>
  </w:style>
  <w:style w:type="character" w:customStyle="1" w:styleId="BalloonTextChar">
    <w:name w:val="Balloon Text Char"/>
    <w:basedOn w:val="DefaultParagraphFont"/>
    <w:link w:val="BalloonText"/>
    <w:rsid w:val="002D5435"/>
    <w:rPr>
      <w:rFonts w:ascii="Tahoma" w:hAnsi="Tahoma" w:cs="Tahoma"/>
      <w:sz w:val="16"/>
      <w:szCs w:val="16"/>
    </w:rPr>
  </w:style>
  <w:style w:type="table" w:customStyle="1" w:styleId="TableGrid1">
    <w:name w:val="Table Grid1"/>
    <w:basedOn w:val="TableNormal"/>
    <w:next w:val="TableGrid"/>
    <w:uiPriority w:val="59"/>
    <w:rsid w:val="002D5435"/>
    <w:rPr>
      <w:rFonts w:ascii="Times" w:eastAsiaTheme="minorHAnsi"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D5435"/>
    <w:pPr>
      <w:jc w:val="center"/>
    </w:pPr>
    <w:rPr>
      <w:rFonts w:ascii="Calibri" w:hAnsi="Calibri" w:cs="Calibri"/>
      <w:noProof/>
      <w:sz w:val="22"/>
      <w:szCs w:val="20"/>
      <w:lang w:val="en-US"/>
    </w:rPr>
  </w:style>
  <w:style w:type="character" w:customStyle="1" w:styleId="Bodytext-bulletChar">
    <w:name w:val="Body text - bullet Char"/>
    <w:basedOn w:val="DefaultParagraphFont"/>
    <w:link w:val="Bodytext-bullet"/>
    <w:rsid w:val="002D5435"/>
    <w:rPr>
      <w:noProof/>
      <w:sz w:val="22"/>
    </w:rPr>
  </w:style>
  <w:style w:type="character" w:customStyle="1" w:styleId="EndNoteBibliographyTitleChar">
    <w:name w:val="EndNote Bibliography Title Char"/>
    <w:basedOn w:val="Bodytext-bulletChar"/>
    <w:link w:val="EndNoteBibliographyTitle"/>
    <w:rsid w:val="002D5435"/>
    <w:rPr>
      <w:rFonts w:ascii="Calibri" w:hAnsi="Calibri" w:cs="Calibri"/>
      <w:noProof/>
      <w:sz w:val="22"/>
      <w:lang w:val="en-US"/>
    </w:rPr>
  </w:style>
  <w:style w:type="paragraph" w:customStyle="1" w:styleId="EndNoteBibliography">
    <w:name w:val="EndNote Bibliography"/>
    <w:basedOn w:val="Normal"/>
    <w:link w:val="EndNoteBibliographyChar"/>
    <w:rsid w:val="002D5435"/>
    <w:rPr>
      <w:rFonts w:ascii="Calibri" w:hAnsi="Calibri" w:cs="Calibri"/>
      <w:noProof/>
      <w:sz w:val="22"/>
      <w:szCs w:val="20"/>
      <w:lang w:val="en-US"/>
    </w:rPr>
  </w:style>
  <w:style w:type="character" w:customStyle="1" w:styleId="EndNoteBibliographyChar">
    <w:name w:val="EndNote Bibliography Char"/>
    <w:basedOn w:val="Bodytext-bulletChar"/>
    <w:link w:val="EndNoteBibliography"/>
    <w:rsid w:val="002D5435"/>
    <w:rPr>
      <w:rFonts w:ascii="Calibri" w:hAnsi="Calibri" w:cs="Calibri"/>
      <w:noProof/>
      <w:sz w:val="22"/>
      <w:lang w:val="en-US"/>
    </w:rPr>
  </w:style>
  <w:style w:type="character" w:styleId="Hyperlink">
    <w:name w:val="Hyperlink"/>
    <w:rsid w:val="002D5435"/>
    <w:rPr>
      <w:rFonts w:ascii="Times New Roman" w:hAnsi="Times New Roman"/>
      <w:color w:val="auto"/>
      <w:sz w:val="22"/>
      <w:u w:val="single"/>
    </w:rPr>
  </w:style>
  <w:style w:type="character" w:styleId="CommentReference">
    <w:name w:val="annotation reference"/>
    <w:basedOn w:val="DefaultParagraphFont"/>
    <w:unhideWhenUsed/>
    <w:rsid w:val="002D5435"/>
    <w:rPr>
      <w:sz w:val="16"/>
      <w:szCs w:val="16"/>
    </w:rPr>
  </w:style>
  <w:style w:type="paragraph" w:styleId="CommentText">
    <w:name w:val="annotation text"/>
    <w:basedOn w:val="Normal"/>
    <w:link w:val="CommentTextChar"/>
    <w:unhideWhenUsed/>
    <w:rsid w:val="004808DF"/>
    <w:pPr>
      <w:spacing w:line="240" w:lineRule="auto"/>
    </w:pPr>
    <w:rPr>
      <w:sz w:val="20"/>
      <w:szCs w:val="20"/>
    </w:rPr>
  </w:style>
  <w:style w:type="character" w:customStyle="1" w:styleId="CommentTextChar">
    <w:name w:val="Comment Text Char"/>
    <w:basedOn w:val="DefaultParagraphFont"/>
    <w:link w:val="CommentText"/>
    <w:rsid w:val="004808DF"/>
  </w:style>
  <w:style w:type="paragraph" w:styleId="CommentSubject">
    <w:name w:val="annotation subject"/>
    <w:basedOn w:val="Normal"/>
    <w:next w:val="CommentText"/>
    <w:link w:val="CommentSubjectChar"/>
    <w:unhideWhenUsed/>
    <w:rsid w:val="00DE622B"/>
    <w:rPr>
      <w:rFonts w:ascii="Times" w:hAnsi="Times"/>
      <w:b/>
      <w:bCs/>
      <w:sz w:val="20"/>
      <w:szCs w:val="20"/>
    </w:rPr>
  </w:style>
  <w:style w:type="character" w:customStyle="1" w:styleId="CommentSubjectChar">
    <w:name w:val="Comment Subject Char"/>
    <w:basedOn w:val="DefaultParagraphFont"/>
    <w:link w:val="CommentSubject"/>
    <w:rsid w:val="00DE622B"/>
    <w:rPr>
      <w:rFonts w:ascii="Times" w:hAnsi="Times"/>
      <w:b/>
      <w:bCs/>
    </w:rPr>
  </w:style>
  <w:style w:type="table" w:customStyle="1" w:styleId="TableGrid4">
    <w:name w:val="Table Grid4"/>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5435"/>
    <w:rPr>
      <w:rFonts w:ascii="Times" w:hAnsi="Times"/>
      <w:sz w:val="24"/>
      <w:szCs w:val="24"/>
    </w:rPr>
  </w:style>
  <w:style w:type="paragraph" w:styleId="NormalWeb">
    <w:name w:val="Normal (Web)"/>
    <w:basedOn w:val="Normal"/>
    <w:uiPriority w:val="99"/>
    <w:unhideWhenUsed/>
    <w:rsid w:val="002D5435"/>
    <w:pPr>
      <w:spacing w:before="100" w:beforeAutospacing="1" w:after="100" w:afterAutospacing="1"/>
    </w:pPr>
    <w:rPr>
      <w:rFonts w:eastAsiaTheme="minorEastAsia"/>
    </w:rPr>
  </w:style>
  <w:style w:type="character" w:customStyle="1" w:styleId="Heading1Char">
    <w:name w:val="Heading 1 Char"/>
    <w:basedOn w:val="DefaultParagraphFont"/>
    <w:link w:val="Heading1"/>
    <w:rsid w:val="008509E6"/>
    <w:rPr>
      <w:rFonts w:cs="Arial"/>
      <w:b/>
      <w:bCs/>
      <w:kern w:val="28"/>
      <w:sz w:val="24"/>
      <w:szCs w:val="32"/>
    </w:rPr>
  </w:style>
  <w:style w:type="character" w:customStyle="1" w:styleId="Heading2Char">
    <w:name w:val="Heading 2 Char"/>
    <w:basedOn w:val="DefaultParagraphFont"/>
    <w:link w:val="Heading2"/>
    <w:rsid w:val="00CF1A9D"/>
    <w:rPr>
      <w:b/>
      <w:sz w:val="24"/>
      <w:szCs w:val="24"/>
    </w:rPr>
  </w:style>
  <w:style w:type="character" w:customStyle="1" w:styleId="Heading3Char">
    <w:name w:val="Heading 3 Char"/>
    <w:basedOn w:val="DefaultParagraphFont"/>
    <w:rsid w:val="00E221C7"/>
    <w:rPr>
      <w:rFonts w:cs="Arial"/>
      <w:b/>
      <w:bCs/>
      <w:i/>
      <w:sz w:val="24"/>
      <w:szCs w:val="26"/>
    </w:rPr>
  </w:style>
  <w:style w:type="character" w:customStyle="1" w:styleId="Heading4Char">
    <w:name w:val="Heading 4 Char"/>
    <w:basedOn w:val="DefaultParagraphFont"/>
    <w:link w:val="Heading4"/>
    <w:rsid w:val="00CF1A9D"/>
    <w:rPr>
      <w:bCs/>
      <w:i/>
      <w:sz w:val="24"/>
      <w:szCs w:val="28"/>
    </w:rPr>
  </w:style>
  <w:style w:type="character" w:customStyle="1" w:styleId="Heading5Char">
    <w:name w:val="Heading 5 Char"/>
    <w:basedOn w:val="DefaultParagraphFont"/>
    <w:link w:val="Heading5"/>
    <w:rsid w:val="00CF1A9D"/>
    <w:rPr>
      <w:i/>
      <w:sz w:val="24"/>
      <w:szCs w:val="24"/>
    </w:rPr>
  </w:style>
  <w:style w:type="character" w:customStyle="1" w:styleId="Heading6Char">
    <w:name w:val="Heading 6 Char"/>
    <w:basedOn w:val="DefaultParagraphFont"/>
    <w:link w:val="Heading6"/>
    <w:uiPriority w:val="9"/>
    <w:rsid w:val="002D5435"/>
    <w:rPr>
      <w:b/>
      <w:bCs/>
      <w:i/>
      <w:sz w:val="24"/>
      <w:szCs w:val="22"/>
      <w:lang w:eastAsia="en-US"/>
    </w:rPr>
  </w:style>
  <w:style w:type="paragraph" w:customStyle="1" w:styleId="Tableheading">
    <w:name w:val="Table heading"/>
    <w:next w:val="Normal"/>
    <w:qFormat/>
    <w:rsid w:val="003F7665"/>
    <w:pPr>
      <w:spacing w:before="240" w:after="120"/>
    </w:pPr>
    <w:rPr>
      <w:rFonts w:cs="Arial"/>
      <w:bCs/>
      <w:sz w:val="22"/>
      <w:szCs w:val="26"/>
    </w:rPr>
  </w:style>
  <w:style w:type="paragraph" w:styleId="PlainText">
    <w:name w:val="Plain Text"/>
    <w:basedOn w:val="Normal"/>
    <w:link w:val="PlainTextChar"/>
    <w:uiPriority w:val="99"/>
    <w:rsid w:val="002D5435"/>
    <w:rPr>
      <w:rFonts w:ascii="Consolas" w:hAnsi="Consolas"/>
      <w:sz w:val="21"/>
      <w:szCs w:val="21"/>
    </w:rPr>
  </w:style>
  <w:style w:type="character" w:customStyle="1" w:styleId="PlainTextChar">
    <w:name w:val="Plain Text Char"/>
    <w:basedOn w:val="DefaultParagraphFont"/>
    <w:link w:val="PlainText"/>
    <w:uiPriority w:val="99"/>
    <w:rsid w:val="002D5435"/>
    <w:rPr>
      <w:rFonts w:ascii="Consolas" w:hAnsi="Consolas"/>
      <w:sz w:val="21"/>
      <w:szCs w:val="21"/>
    </w:rPr>
  </w:style>
  <w:style w:type="paragraph" w:styleId="BodyText">
    <w:name w:val="Body Text"/>
    <w:link w:val="BodyTextChar"/>
    <w:rsid w:val="002D5435"/>
    <w:pPr>
      <w:spacing w:after="120" w:line="259" w:lineRule="auto"/>
    </w:pPr>
    <w:rPr>
      <w:sz w:val="22"/>
    </w:rPr>
  </w:style>
  <w:style w:type="character" w:customStyle="1" w:styleId="BodyTextChar">
    <w:name w:val="Body Text Char"/>
    <w:basedOn w:val="DefaultParagraphFont"/>
    <w:link w:val="BodyText"/>
    <w:rsid w:val="002D5435"/>
    <w:rPr>
      <w:sz w:val="22"/>
    </w:rPr>
  </w:style>
  <w:style w:type="paragraph" w:styleId="TOC1">
    <w:name w:val="toc 1"/>
    <w:next w:val="BodyText"/>
    <w:uiPriority w:val="39"/>
    <w:unhideWhenUsed/>
    <w:rsid w:val="002D5435"/>
    <w:pPr>
      <w:spacing w:after="100"/>
      <w:ind w:left="284" w:right="284" w:hanging="284"/>
    </w:pPr>
    <w:rPr>
      <w:sz w:val="22"/>
    </w:rPr>
  </w:style>
  <w:style w:type="paragraph" w:styleId="TOC2">
    <w:name w:val="toc 2"/>
    <w:next w:val="BodyText"/>
    <w:uiPriority w:val="39"/>
    <w:unhideWhenUsed/>
    <w:rsid w:val="002D5435"/>
    <w:pPr>
      <w:spacing w:after="100"/>
      <w:ind w:left="709" w:right="284" w:hanging="425"/>
    </w:pPr>
    <w:rPr>
      <w:sz w:val="22"/>
    </w:rPr>
  </w:style>
  <w:style w:type="paragraph" w:styleId="TOC3">
    <w:name w:val="toc 3"/>
    <w:next w:val="BodyText"/>
    <w:uiPriority w:val="39"/>
    <w:unhideWhenUsed/>
    <w:rsid w:val="002D5435"/>
    <w:pPr>
      <w:spacing w:after="100"/>
      <w:ind w:left="1276" w:hanging="709"/>
    </w:pPr>
    <w:rPr>
      <w:sz w:val="22"/>
    </w:rPr>
  </w:style>
  <w:style w:type="paragraph" w:customStyle="1" w:styleId="Figureheading">
    <w:name w:val="Figure heading"/>
    <w:next w:val="Normal"/>
    <w:qFormat/>
    <w:rsid w:val="007E7F73"/>
    <w:pPr>
      <w:keepNext/>
      <w:tabs>
        <w:tab w:val="left" w:pos="1134"/>
      </w:tabs>
      <w:spacing w:before="240" w:after="240"/>
      <w:ind w:left="1134" w:hanging="1134"/>
    </w:pPr>
    <w:rPr>
      <w:b/>
      <w:sz w:val="22"/>
    </w:rPr>
  </w:style>
  <w:style w:type="paragraph" w:customStyle="1" w:styleId="References">
    <w:name w:val="References"/>
    <w:qFormat/>
    <w:rsid w:val="002D5435"/>
    <w:pPr>
      <w:tabs>
        <w:tab w:val="left" w:pos="567"/>
      </w:tabs>
      <w:ind w:left="567" w:hanging="567"/>
    </w:pPr>
    <w:rPr>
      <w:sz w:val="22"/>
    </w:rPr>
  </w:style>
  <w:style w:type="paragraph" w:styleId="TableofFigures">
    <w:name w:val="table of figures"/>
    <w:basedOn w:val="Normal"/>
    <w:next w:val="Normal"/>
    <w:uiPriority w:val="99"/>
    <w:rsid w:val="002D5435"/>
    <w:pPr>
      <w:tabs>
        <w:tab w:val="left" w:pos="1021"/>
        <w:tab w:val="right" w:leader="dot" w:pos="9639"/>
      </w:tabs>
      <w:spacing w:after="120"/>
      <w:ind w:left="1021" w:right="284" w:hanging="1021"/>
    </w:pPr>
    <w:rPr>
      <w:rFonts w:cs="Arial"/>
      <w:noProof/>
      <w:sz w:val="22"/>
      <w:szCs w:val="20"/>
    </w:rPr>
  </w:style>
  <w:style w:type="numbering" w:customStyle="1" w:styleId="Style12">
    <w:name w:val="Style12"/>
    <w:rsid w:val="002D5435"/>
    <w:pPr>
      <w:numPr>
        <w:numId w:val="4"/>
      </w:numPr>
    </w:pPr>
  </w:style>
  <w:style w:type="numbering" w:customStyle="1" w:styleId="111ATAGIWPreportheading3">
    <w:name w:val="1.1.1 ATAGI WP report heading 3"/>
    <w:basedOn w:val="NoList"/>
    <w:rsid w:val="002D5435"/>
    <w:pPr>
      <w:numPr>
        <w:numId w:val="5"/>
      </w:numPr>
    </w:pPr>
  </w:style>
  <w:style w:type="numbering" w:customStyle="1" w:styleId="1111ATAGIWPreportheading4">
    <w:name w:val="1.1.1.1 ATAGI WP report heading 4"/>
    <w:basedOn w:val="NoList"/>
    <w:rsid w:val="002D5435"/>
    <w:pPr>
      <w:numPr>
        <w:numId w:val="6"/>
      </w:numPr>
    </w:pPr>
  </w:style>
  <w:style w:type="numbering" w:customStyle="1" w:styleId="WPReportTemplate">
    <w:name w:val="WP Report Template"/>
    <w:uiPriority w:val="99"/>
    <w:rsid w:val="002D5435"/>
    <w:pPr>
      <w:numPr>
        <w:numId w:val="7"/>
      </w:numPr>
    </w:pPr>
  </w:style>
  <w:style w:type="paragraph" w:customStyle="1" w:styleId="Bodytext-indent">
    <w:name w:val="Body text - indent"/>
    <w:basedOn w:val="BodyText"/>
    <w:qFormat/>
    <w:rsid w:val="007A7A95"/>
    <w:pPr>
      <w:tabs>
        <w:tab w:val="left" w:pos="357"/>
      </w:tabs>
      <w:spacing w:before="120"/>
      <w:ind w:left="714" w:hanging="357"/>
    </w:pPr>
    <w:rPr>
      <w:noProof/>
      <w:sz w:val="20"/>
    </w:rPr>
  </w:style>
  <w:style w:type="paragraph" w:customStyle="1" w:styleId="Bodytext-numberedlist">
    <w:name w:val="Body text - numbered list"/>
    <w:qFormat/>
    <w:rsid w:val="003F7665"/>
    <w:pPr>
      <w:numPr>
        <w:numId w:val="8"/>
      </w:numPr>
      <w:spacing w:after="120" w:line="259" w:lineRule="auto"/>
      <w:ind w:left="1077" w:hanging="357"/>
    </w:pPr>
    <w:rPr>
      <w:sz w:val="24"/>
    </w:rPr>
  </w:style>
  <w:style w:type="paragraph" w:styleId="BodyTextIndent">
    <w:name w:val="Body Text Indent"/>
    <w:basedOn w:val="Normal"/>
    <w:link w:val="BodyTextIndentChar"/>
    <w:uiPriority w:val="99"/>
    <w:unhideWhenUsed/>
    <w:rsid w:val="002D5435"/>
    <w:pPr>
      <w:spacing w:after="120"/>
      <w:ind w:left="283"/>
    </w:pPr>
    <w:rPr>
      <w:rFonts w:ascii="Times" w:hAnsi="Times"/>
      <w:sz w:val="20"/>
      <w:szCs w:val="20"/>
    </w:rPr>
  </w:style>
  <w:style w:type="character" w:customStyle="1" w:styleId="BodyTextIndentChar">
    <w:name w:val="Body Text Indent Char"/>
    <w:basedOn w:val="DefaultParagraphFont"/>
    <w:link w:val="BodyTextIndent"/>
    <w:uiPriority w:val="99"/>
    <w:rsid w:val="002D5435"/>
    <w:rPr>
      <w:rFonts w:ascii="Times" w:hAnsi="Times"/>
    </w:rPr>
  </w:style>
  <w:style w:type="paragraph" w:customStyle="1" w:styleId="Titlepageblueboxtext">
    <w:name w:val="Title page blue box text"/>
    <w:qFormat/>
    <w:rsid w:val="002D5435"/>
    <w:pPr>
      <w:keepNext/>
      <w:tabs>
        <w:tab w:val="left" w:pos="851"/>
      </w:tabs>
      <w:spacing w:before="600" w:after="240"/>
      <w:jc w:val="center"/>
      <w:outlineLvl w:val="0"/>
    </w:pPr>
    <w:rPr>
      <w:b/>
      <w:bCs/>
      <w:iCs/>
      <w:color w:val="FFFFFF" w:themeColor="background1"/>
      <w:sz w:val="44"/>
      <w:szCs w:val="28"/>
    </w:rPr>
  </w:style>
  <w:style w:type="paragraph" w:customStyle="1" w:styleId="Titlepagepreparedbytext">
    <w:name w:val="Title page prepared by text"/>
    <w:rsid w:val="002D5435"/>
    <w:pPr>
      <w:spacing w:before="120" w:after="120"/>
      <w:jc w:val="center"/>
    </w:pPr>
    <w:rPr>
      <w:b/>
      <w:sz w:val="32"/>
      <w:szCs w:val="26"/>
    </w:rPr>
  </w:style>
  <w:style w:type="paragraph" w:customStyle="1" w:styleId="Tabletext">
    <w:name w:val="Table text"/>
    <w:qFormat/>
    <w:rsid w:val="00B371F3"/>
    <w:pPr>
      <w:spacing w:before="60" w:after="60"/>
    </w:pPr>
    <w:rPr>
      <w:lang w:val="en-US" w:eastAsia="ja-JP"/>
    </w:rPr>
  </w:style>
  <w:style w:type="paragraph" w:customStyle="1" w:styleId="Abbreviationslist-tabbed">
    <w:name w:val="Abbreviations list - tabbed"/>
    <w:rsid w:val="002D5435"/>
    <w:pPr>
      <w:tabs>
        <w:tab w:val="left" w:pos="2268"/>
      </w:tabs>
      <w:spacing w:after="120"/>
      <w:ind w:left="2268" w:hanging="2268"/>
    </w:pPr>
    <w:rPr>
      <w:sz w:val="22"/>
    </w:rPr>
  </w:style>
  <w:style w:type="paragraph" w:customStyle="1" w:styleId="Appendixheadings">
    <w:name w:val="Appendix headings"/>
    <w:next w:val="Normal"/>
    <w:rsid w:val="002D5435"/>
    <w:pPr>
      <w:numPr>
        <w:numId w:val="9"/>
      </w:numPr>
      <w:tabs>
        <w:tab w:val="left" w:pos="357"/>
      </w:tabs>
      <w:spacing w:before="240" w:after="120"/>
      <w:ind w:left="357" w:hanging="357"/>
    </w:pPr>
    <w:rPr>
      <w:rFonts w:ascii="Arial" w:hAnsi="Arial"/>
      <w:b/>
      <w:sz w:val="24"/>
    </w:rPr>
  </w:style>
  <w:style w:type="paragraph" w:customStyle="1" w:styleId="Summaryboxbullettext">
    <w:name w:val="Summary box bullet text"/>
    <w:qFormat/>
    <w:rsid w:val="002D5435"/>
    <w:pPr>
      <w:numPr>
        <w:numId w:val="10"/>
      </w:numPr>
      <w:tabs>
        <w:tab w:val="left" w:pos="357"/>
      </w:tabs>
      <w:spacing w:after="120"/>
      <w:ind w:left="357" w:hanging="357"/>
    </w:pPr>
    <w:rPr>
      <w:sz w:val="22"/>
    </w:rPr>
  </w:style>
  <w:style w:type="character" w:customStyle="1" w:styleId="CommentTextChar1">
    <w:name w:val="Comment Text Char1"/>
    <w:aliases w:val="Comment Text Char Char, Char2 Char Char,Char2 Char Char,Char2 Char1 Char1"/>
    <w:semiHidden/>
    <w:rsid w:val="002D5435"/>
    <w:rPr>
      <w:rFonts w:ascii="Univers (W1)" w:hAnsi="Univers (W1)"/>
      <w:lang w:val="en-AU" w:eastAsia="en-AU" w:bidi="ar-SA"/>
    </w:rPr>
  </w:style>
  <w:style w:type="paragraph" w:customStyle="1" w:styleId="Summaryboxheading">
    <w:name w:val="Summary box heading"/>
    <w:basedOn w:val="Normal"/>
    <w:qFormat/>
    <w:rsid w:val="002D5435"/>
    <w:pPr>
      <w:spacing w:after="120"/>
    </w:pPr>
    <w:rPr>
      <w:rFonts w:ascii="Arial" w:hAnsi="Arial"/>
      <w:szCs w:val="20"/>
    </w:rPr>
  </w:style>
  <w:style w:type="paragraph" w:customStyle="1" w:styleId="Tablecolumnheading">
    <w:name w:val="Table column heading"/>
    <w:qFormat/>
    <w:rsid w:val="00C27481"/>
    <w:pPr>
      <w:spacing w:before="60" w:after="60"/>
      <w:jc w:val="center"/>
    </w:pPr>
    <w:rPr>
      <w:b/>
      <w:color w:val="FFFFFF" w:themeColor="background1"/>
    </w:rPr>
  </w:style>
  <w:style w:type="paragraph" w:customStyle="1" w:styleId="Tablefootnote">
    <w:name w:val="Table footnote"/>
    <w:qFormat/>
    <w:rsid w:val="00B371F3"/>
    <w:pPr>
      <w:tabs>
        <w:tab w:val="left" w:pos="284"/>
      </w:tabs>
      <w:spacing w:before="60"/>
      <w:ind w:left="284" w:hanging="284"/>
    </w:pPr>
    <w:rPr>
      <w:sz w:val="16"/>
      <w:lang w:val="en-US" w:eastAsia="ja-JP"/>
    </w:rPr>
  </w:style>
  <w:style w:type="paragraph" w:customStyle="1" w:styleId="Titletext">
    <w:name w:val="Title text"/>
    <w:rsid w:val="008509E6"/>
    <w:pPr>
      <w:spacing w:before="240"/>
      <w:jc w:val="center"/>
    </w:pPr>
    <w:rPr>
      <w:b/>
      <w:sz w:val="24"/>
      <w:szCs w:val="26"/>
    </w:rPr>
  </w:style>
  <w:style w:type="paragraph" w:customStyle="1" w:styleId="Executivesummary">
    <w:name w:val="Executive summary"/>
    <w:basedOn w:val="BodyText"/>
    <w:qFormat/>
    <w:rsid w:val="002D5435"/>
    <w:pPr>
      <w:pBdr>
        <w:top w:val="single" w:sz="4" w:space="6" w:color="auto"/>
        <w:left w:val="single" w:sz="4" w:space="4" w:color="auto"/>
        <w:bottom w:val="single" w:sz="4" w:space="6" w:color="auto"/>
        <w:right w:val="single" w:sz="4" w:space="4" w:color="auto"/>
      </w:pBdr>
    </w:pPr>
  </w:style>
  <w:style w:type="paragraph" w:customStyle="1" w:styleId="BodyText1">
    <w:name w:val="Body Text1"/>
    <w:qFormat/>
    <w:rsid w:val="002D5435"/>
    <w:pPr>
      <w:spacing w:after="120"/>
    </w:pPr>
    <w:rPr>
      <w:sz w:val="22"/>
    </w:rPr>
  </w:style>
  <w:style w:type="table" w:styleId="LightGrid-Accent6">
    <w:name w:val="Light Grid Accent 6"/>
    <w:basedOn w:val="TableNormal"/>
    <w:uiPriority w:val="62"/>
    <w:rsid w:val="003C3B3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HBTablefootnote">
    <w:name w:val="HB Table footnote"/>
    <w:basedOn w:val="Normal"/>
    <w:next w:val="Normal"/>
    <w:link w:val="HBTablefootnoteChar"/>
    <w:rsid w:val="0060005A"/>
    <w:pPr>
      <w:tabs>
        <w:tab w:val="left" w:pos="284"/>
      </w:tabs>
      <w:spacing w:before="60"/>
      <w:ind w:left="284" w:hanging="284"/>
    </w:pPr>
    <w:rPr>
      <w:sz w:val="16"/>
      <w:szCs w:val="20"/>
    </w:rPr>
  </w:style>
  <w:style w:type="character" w:customStyle="1" w:styleId="HBTablefootnoteChar">
    <w:name w:val="HB Table footnote Char"/>
    <w:link w:val="HBTablefootnote"/>
    <w:rsid w:val="0060005A"/>
    <w:rPr>
      <w:sz w:val="16"/>
    </w:rPr>
  </w:style>
  <w:style w:type="paragraph" w:customStyle="1" w:styleId="StyleTableheadingBoldItalic">
    <w:name w:val="Style Table heading + Bold Italic"/>
    <w:basedOn w:val="Tableheading"/>
    <w:rsid w:val="001A4E5D"/>
    <w:pPr>
      <w:spacing w:before="360"/>
    </w:pPr>
    <w:rPr>
      <w:b/>
      <w:i/>
      <w:iCs/>
    </w:rPr>
  </w:style>
  <w:style w:type="character" w:styleId="FollowedHyperlink">
    <w:name w:val="FollowedHyperlink"/>
    <w:basedOn w:val="DefaultParagraphFont"/>
    <w:semiHidden/>
    <w:unhideWhenUsed/>
    <w:rsid w:val="009660AD"/>
    <w:rPr>
      <w:color w:val="800080" w:themeColor="followedHyperlink"/>
      <w:u w:val="single"/>
    </w:rPr>
  </w:style>
  <w:style w:type="character" w:customStyle="1" w:styleId="Heading3Char1">
    <w:name w:val="Heading 3 Char1"/>
    <w:basedOn w:val="DefaultParagraphFont"/>
    <w:link w:val="Heading3"/>
    <w:rsid w:val="00CF1A9D"/>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58139">
      <w:bodyDiv w:val="1"/>
      <w:marLeft w:val="0"/>
      <w:marRight w:val="0"/>
      <w:marTop w:val="0"/>
      <w:marBottom w:val="0"/>
      <w:divBdr>
        <w:top w:val="none" w:sz="0" w:space="0" w:color="auto"/>
        <w:left w:val="none" w:sz="0" w:space="0" w:color="auto"/>
        <w:bottom w:val="none" w:sz="0" w:space="0" w:color="auto"/>
        <w:right w:val="none" w:sz="0" w:space="0" w:color="auto"/>
      </w:divBdr>
      <w:divsChild>
        <w:div w:id="862085958">
          <w:marLeft w:val="0"/>
          <w:marRight w:val="0"/>
          <w:marTop w:val="240"/>
          <w:marBottom w:val="480"/>
          <w:divBdr>
            <w:top w:val="none" w:sz="0" w:space="0" w:color="auto"/>
            <w:left w:val="none" w:sz="0" w:space="0" w:color="auto"/>
            <w:bottom w:val="none" w:sz="0" w:space="0" w:color="auto"/>
            <w:right w:val="none" w:sz="0" w:space="0" w:color="auto"/>
          </w:divBdr>
          <w:divsChild>
            <w:div w:id="1042168020">
              <w:marLeft w:val="0"/>
              <w:marRight w:val="0"/>
              <w:marTop w:val="0"/>
              <w:marBottom w:val="0"/>
              <w:divBdr>
                <w:top w:val="none" w:sz="0" w:space="0" w:color="auto"/>
                <w:left w:val="none" w:sz="0" w:space="0" w:color="auto"/>
                <w:bottom w:val="none" w:sz="0" w:space="0" w:color="auto"/>
                <w:right w:val="none" w:sz="0" w:space="0" w:color="auto"/>
              </w:divBdr>
              <w:divsChild>
                <w:div w:id="1393655385">
                  <w:marLeft w:val="0"/>
                  <w:marRight w:val="0"/>
                  <w:marTop w:val="0"/>
                  <w:marBottom w:val="0"/>
                  <w:divBdr>
                    <w:top w:val="none" w:sz="0" w:space="0" w:color="auto"/>
                    <w:left w:val="none" w:sz="0" w:space="0" w:color="auto"/>
                    <w:bottom w:val="none" w:sz="0" w:space="0" w:color="auto"/>
                    <w:right w:val="none" w:sz="0" w:space="0" w:color="auto"/>
                  </w:divBdr>
                  <w:divsChild>
                    <w:div w:id="1817527893">
                      <w:marLeft w:val="0"/>
                      <w:marRight w:val="0"/>
                      <w:marTop w:val="0"/>
                      <w:marBottom w:val="0"/>
                      <w:divBdr>
                        <w:top w:val="none" w:sz="0" w:space="0" w:color="auto"/>
                        <w:left w:val="none" w:sz="0" w:space="0" w:color="auto"/>
                        <w:bottom w:val="none" w:sz="0" w:space="0" w:color="auto"/>
                        <w:right w:val="none" w:sz="0" w:space="0" w:color="auto"/>
                      </w:divBdr>
                      <w:divsChild>
                        <w:div w:id="1530142508">
                          <w:marLeft w:val="0"/>
                          <w:marRight w:val="0"/>
                          <w:marTop w:val="0"/>
                          <w:marBottom w:val="0"/>
                          <w:divBdr>
                            <w:top w:val="none" w:sz="0" w:space="0" w:color="auto"/>
                            <w:left w:val="none" w:sz="0" w:space="0" w:color="auto"/>
                            <w:bottom w:val="none" w:sz="0" w:space="0" w:color="auto"/>
                            <w:right w:val="none" w:sz="0" w:space="0" w:color="auto"/>
                          </w:divBdr>
                          <w:divsChild>
                            <w:div w:id="14819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07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tagi.secretariat@health.gov.au" TargetMode="External"/><Relationship Id="rId18" Type="http://schemas.openxmlformats.org/officeDocument/2006/relationships/hyperlink" Target="https://doi.org/10.1093/cid/cix418"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academic.oup.com/cid/article-abstract/64/2/175/2698919/Long-term-Impact-of-a-3-0-Schedule-for-7-and-13"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pbs.gov.au/industry/listing/elements/pbac-meetings/psd/2010-07/Pneumococcal_PREVENAR-13_PSD_Wyeth.pdf" TargetMode="External"/><Relationship Id="rId20" Type="http://schemas.openxmlformats.org/officeDocument/2006/relationships/hyperlink" Target="http://www.immunise.health.gov.au/internet/immunise/publishing.nsf/Content/Handbook10-home~handbook10part4~handbook10-4-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ebs.tga.gov.au/ebs/picmi/picmirepository.nsf/pdf?OpenAgent&amp;id=CP-2010-PI-07066-3&amp;d=2017080816114622483"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cademic.oup.com/cid/article-abstract/4077000/Characteristics-and-Serotype-Distribution-o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mmunise.health.gov.au/internet/immunise/publishing.nsf/Content/Handbook10-home~handbook10part4~handbook10-4-1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uality_x0020_Reviewer_x0028_s_x0029_ xmlns="2bd5d25a-ed67-4748-9d94-e4b1e4baa595">
      <UserInfo>
        <DisplayName>BREUGELMANS, Kristy</DisplayName>
        <AccountId>2488</AccountId>
        <AccountType/>
      </UserInfo>
    </Quality_x0020_Reviewer_x0028_s_x0029_>
    <Content_x0020_Owner_x0020_Designation xmlns="2bd5d25a-ed67-4748-9d94-e4b1e4baa595">Assistant Secretary</Content_x0020_Owner_x0020_Designation>
    <Publishing_x0020_Required_x0020_By xmlns="2bd5d25a-ed67-4748-9d94-e4b1e4baa595">2018-03-11T13:00:00+00:00</Publishing_x0020_Required_x0020_By>
    <Approved_x0020_Date xmlns="2bd5d25a-ed67-4748-9d94-e4b1e4baa595">2018-03-13T13:00:00+00:00</Approved_x0020_Date>
    <IconOverlay xmlns="http://schemas.microsoft.com/sharepoint/v4" xsi:nil="true"/>
    <Content_x0020_Approver xmlns="2bd5d25a-ed67-4748-9d94-e4b1e4baa595">
      <UserInfo>
        <DisplayName>SOMI, Masha</DisplayName>
        <AccountId>904</AccountId>
        <AccountType/>
      </UserInfo>
    </Content_x0020_Approver>
    <Content_x0020_Owner_x0020_Division xmlns="2bd5d25a-ed67-4748-9d94-e4b1e4baa595">Office of Health Protection DIV</Content_x0020_Owner_x0020_Division>
    <Content_x0020_Owner_x0020_Branch xmlns="2bd5d25a-ed67-4748-9d94-e4b1e4baa595">OHPD Immunisation BR</Content_x0020_Owner_x0020_Branch>
    <Package_x0020_Status xmlns="2bd5d25a-ed67-4748-9d94-e4b1e4baa595">Approved</Package_x0020_Status>
    <Content_x0020_Owner_x0020_Section xmlns="2bd5d25a-ed67-4748-9d94-e4b1e4baa595">OHPD IB Executive SN</Content_x0020_Owner_x0020_Section>
    <Peer_x0020_Review_x0020_Required_x0020_By xmlns="2bd5d25a-ed67-4748-9d94-e4b1e4baa595">
      <UserInfo>
        <DisplayName>PEISLEY, Hope</DisplayName>
        <AccountId>4376</AccountId>
        <AccountType/>
      </UserInfo>
    </Peer_x0020_Review_x0020_Required_x0020_By>
    <Content_x0020_Owner xmlns="2bd5d25a-ed67-4748-9d94-e4b1e4baa595">
      <UserInfo>
        <DisplayName>SOMI, Masha</DisplayName>
        <AccountId>904</AccountId>
        <AccountType/>
      </UserInfo>
    </Content_x0020_Owner>
  </documentManagement>
</p:properties>
</file>

<file path=customXml/item3.xml><?xml version="1.0" encoding="utf-8"?>
<ct:contentTypeSchema xmlns:ct="http://schemas.microsoft.com/office/2006/metadata/contentType" xmlns:ma="http://schemas.microsoft.com/office/2006/metadata/properties/metaAttributes" ct:_="" ma:_="" ma:contentTypeName="Standard Content" ma:contentTypeID="0x0101000361B2D965776F46A203A558DA3BDE9C010068A92C094D8C8E439A2AE59D29D483FC" ma:contentTypeVersion="11" ma:contentTypeDescription="" ma:contentTypeScope="" ma:versionID="fda28e8f4d81d3bda79cafce45542f99">
  <xsd:schema xmlns:xsd="http://www.w3.org/2001/XMLSchema" xmlns:xs="http://www.w3.org/2001/XMLSchema" xmlns:p="http://schemas.microsoft.com/office/2006/metadata/properties" xmlns:ns1="http://schemas.microsoft.com/sharepoint/v3" xmlns:ns2="2bd5d25a-ed67-4748-9d94-e4b1e4baa595" xmlns:ns4="http://schemas.microsoft.com/sharepoint/v4" targetNamespace="http://schemas.microsoft.com/office/2006/metadata/properties" ma:root="true" ma:fieldsID="d54c29beb52bb81063455bddecc952cc" ns1:_="" ns2:_="" ns4:_="">
    <xsd:import namespace="http://schemas.microsoft.com/sharepoint/v3"/>
    <xsd:import namespace="2bd5d25a-ed67-4748-9d94-e4b1e4baa595"/>
    <xsd:import namespace="http://schemas.microsoft.com/sharepoint/v4"/>
    <xsd:element name="properties">
      <xsd:complexType>
        <xsd:sequence>
          <xsd:element name="documentManagement">
            <xsd:complexType>
              <xsd:all>
                <xsd:element ref="ns2:Publishing_x0020_Required_x0020_By" minOccurs="0"/>
                <xsd:element ref="ns2:Package_x0020_Status" minOccurs="0"/>
                <xsd:element ref="ns2:Content_x0020_Owner_x0020_Designation" minOccurs="0"/>
                <xsd:element ref="ns2:Content_x0020_Owner_x0020_Section" minOccurs="0"/>
                <xsd:element ref="ns2:Content_x0020_Owner_x0020_Division" minOccurs="0"/>
                <xsd:element ref="ns2:Content_x0020_Owner_x0020_Branch" minOccurs="0"/>
                <xsd:element ref="ns2:Approved_x0020_Date" minOccurs="0"/>
                <xsd:element ref="ns2:Content_x0020_Owner"/>
                <xsd:element ref="ns2:Quality_x0020_Reviewer_x0028_s_x0029_"/>
                <xsd:element ref="ns2:Peer_x0020_Review_x0020_Required_x0020_By" minOccurs="0"/>
                <xsd:element ref="ns2:Content_x0020_Approver"/>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d25a-ed67-4748-9d94-e4b1e4baa595" elementFormDefault="qualified">
    <xsd:import namespace="http://schemas.microsoft.com/office/2006/documentManagement/types"/>
    <xsd:import namespace="http://schemas.microsoft.com/office/infopath/2007/PartnerControls"/>
    <xsd:element name="Publishing_x0020_Required_x0020_By" ma:index="8" nillable="true" ma:displayName="Publishing Required By" ma:description="Select the date this web page is due to be published." ma:format="DateOnly" ma:internalName="Publishing_x0020_Required_x0020_By">
      <xsd:simpleType>
        <xsd:restriction base="dms:DateTime"/>
      </xsd:simpleType>
    </xsd:element>
    <xsd:element name="Package_x0020_Status" ma:index="9" nillable="true" ma:displayName="Package Status" ma:default="Draft" ma:description="Note: DO NOT ADD A VALUE TO THIS" ma:format="Dropdown" ma:internalName="Package_x0020_Status">
      <xsd:simpleType>
        <xsd:restriction base="dms:Choice">
          <xsd:enumeration value="Draft"/>
          <xsd:enumeration value="Peer Review In Progress"/>
          <xsd:enumeration value="Quality Review In Progress"/>
          <xsd:enumeration value="Content Approval In Progress"/>
          <xsd:enumeration value="Approved"/>
          <xsd:enumeration value="Published"/>
        </xsd:restriction>
      </xsd:simpleType>
    </xsd:element>
    <xsd:element name="Content_x0020_Owner_x0020_Designation" ma:index="10" nillable="true" ma:displayName="Content Owner Designation" ma:description="Note: Leave this field blank to have it automatically populated via workflow" ma:internalName="Content_x0020_Owner_x0020_Designation">
      <xsd:simpleType>
        <xsd:restriction base="dms:Text">
          <xsd:maxLength value="255"/>
        </xsd:restriction>
      </xsd:simpleType>
    </xsd:element>
    <xsd:element name="Content_x0020_Owner_x0020_Section" ma:index="11" nillable="true" ma:displayName="Content Owner Section" ma:description="Note: Leave this field blank to have it automatically populated via workflow" ma:internalName="Content_x0020_Owner_x0020_Section">
      <xsd:simpleType>
        <xsd:restriction base="dms:Text">
          <xsd:maxLength value="255"/>
        </xsd:restriction>
      </xsd:simpleType>
    </xsd:element>
    <xsd:element name="Content_x0020_Owner_x0020_Division" ma:index="12" nillable="true" ma:displayName="Content Owner Division" ma:description="Note: Leave this field blank to have it automatically populated via workflow" ma:internalName="Content_x0020_Owner_x0020_Division">
      <xsd:simpleType>
        <xsd:restriction base="dms:Text">
          <xsd:maxLength value="255"/>
        </xsd:restriction>
      </xsd:simpleType>
    </xsd:element>
    <xsd:element name="Content_x0020_Owner_x0020_Branch" ma:index="13" nillable="true" ma:displayName="Content Owner Branch" ma:description="Note: Leave this field blank to have it automatically populated via workflow" ma:internalName="Content_x0020_Owner_x0020_Branch">
      <xsd:simpleType>
        <xsd:restriction base="dms:Text">
          <xsd:maxLength value="255"/>
        </xsd:restriction>
      </xsd:simpleType>
    </xsd:element>
    <xsd:element name="Approved_x0020_Date" ma:index="14" nillable="true" ma:displayName="Approved Date" ma:description="Note: DO NOT ADD A VALUE TO THIS" ma:format="DateOnly" ma:internalName="Approved_x0020_Date">
      <xsd:simpleType>
        <xsd:restriction base="dms:DateTime"/>
      </xsd:simpleType>
    </xsd:element>
    <xsd:element name="Content_x0020_Owner" ma:index="17" ma:displayName="Content Owner" ma:description="Specify the owner (Branch Head) of the content"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ality_x0020_Reviewer_x0028_s_x0029_" ma:index="18" ma:displayName="Quality Reviewer(s)" ma:list="UserInfo" ma:SharePointGroup="0" ma:internalName="Quality_x0020_Review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eer_x0020_Review_x0020_Required_x0020_By" ma:index="19" nillable="true" ma:displayName="Peer Review Required By" ma:list="UserInfo" ma:SharePointGroup="0" ma:internalName="Peer_x0020_Review_x0020_Requir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20" ma:displayName="Content Approver" ma:description="Specify the Content Approver (EL2 or above) to approve your content" ma:list="UserInfo" ma:SharePointGroup="0" ma:internalName="Content_x0020_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0154A-A3F0-4984-A2CA-2DEEB889000C}">
  <ds:schemaRefs>
    <ds:schemaRef ds:uri="http://schemas.microsoft.com/sharepoint/v3/contenttype/forms"/>
  </ds:schemaRefs>
</ds:datastoreItem>
</file>

<file path=customXml/itemProps2.xml><?xml version="1.0" encoding="utf-8"?>
<ds:datastoreItem xmlns:ds="http://schemas.openxmlformats.org/officeDocument/2006/customXml" ds:itemID="{ADDD823F-6684-409F-867A-2947DD5BACBA}">
  <ds:schemaRefs>
    <ds:schemaRef ds:uri="http://schemas.microsoft.com/sharepoint/v4"/>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schemas.microsoft.com/sharepoint/v3"/>
    <ds:schemaRef ds:uri="http://schemas.openxmlformats.org/package/2006/metadata/core-properties"/>
    <ds:schemaRef ds:uri="2bd5d25a-ed67-4748-9d94-e4b1e4baa595"/>
    <ds:schemaRef ds:uri="http://purl.org/dc/terms/"/>
  </ds:schemaRefs>
</ds:datastoreItem>
</file>

<file path=customXml/itemProps3.xml><?xml version="1.0" encoding="utf-8"?>
<ds:datastoreItem xmlns:ds="http://schemas.openxmlformats.org/officeDocument/2006/customXml" ds:itemID="{5FD48914-A5A6-475C-8DE1-82CC5E272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d5d25a-ed67-4748-9d94-e4b1e4baa5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FA046-24F9-49F0-A8E7-0A2D19FC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4581</Words>
  <Characters>27924</Characters>
  <Application>Microsoft Office Word</Application>
  <DocSecurity>0</DocSecurity>
  <Lines>581</Lines>
  <Paragraphs>237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Jayasinghe (SCHN)</dc:creator>
  <cp:lastModifiedBy>BREUGELMANS, Kristy</cp:lastModifiedBy>
  <cp:revision>3</cp:revision>
  <cp:lastPrinted>2017-08-25T06:43:00Z</cp:lastPrinted>
  <dcterms:created xsi:type="dcterms:W3CDTF">2018-03-27T04:20:00Z</dcterms:created>
  <dcterms:modified xsi:type="dcterms:W3CDTF">2018-03-27T04:45:00Z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0x0101000361B2D965776F46A203A558DA3BDE9C010068A92C094D8C8E439A2AE59D29D483FC</vt:lpwstr>
  </property>
  <property fmtid="{D5CDD505-2E9C-101B-9397-08002B2CF9AE}" pid="3" name="_docset_NoMedatataSyncRequired">
    <vt:lpwstr>False</vt:lpwstr>
  </property>
  <property fmtid="{D5CDD505-2E9C-101B-9397-08002B2CF9AE}" pid="4" name="WorkflowChangePath">
    <vt:lpwstr>b55235ed-5ca5-4ec6-8961-3a05ae543b2a,4;b55235ed-5ca5-4ec6-8961-3a05ae543b2a,4;b55235ed-5ca5-4ec6-8961-3a05ae543b2a,4;b55235ed-5ca5-4ec6-8961-3a05ae543b2a,4;</vt:lpwstr>
  </property>
</Properties>
</file>